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Ex1.xml" ContentType="application/vnd.ms-office.chartex+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eading=h.gjdgxs" w:colFirst="0" w:colLast="0" w:displacedByCustomXml="next"/>
    <w:bookmarkEnd w:id="0" w:displacedByCustomXml="next"/>
    <w:sdt>
      <w:sdtPr>
        <w:id w:val="588588525"/>
        <w:docPartObj>
          <w:docPartGallery w:val="Cover Pages"/>
          <w:docPartUnique/>
        </w:docPartObj>
      </w:sdtPr>
      <w:sdtEndPr/>
      <w:sdtContent>
        <w:p w14:paraId="11020CE0" w14:textId="2F536FA8" w:rsidR="0086134F" w:rsidRDefault="00F962B6">
          <w:r>
            <w:rPr>
              <w:rFonts w:ascii="Times New Roman" w:eastAsiaTheme="minorHAnsi" w:hAnsi="Times New Roman" w:cs="Times New Roman"/>
              <w:noProof/>
              <w:sz w:val="24"/>
              <w:szCs w:val="24"/>
              <w:lang w:val="en-GB" w:eastAsia="en-GB"/>
            </w:rPr>
            <mc:AlternateContent>
              <mc:Choice Requires="wpg">
                <w:drawing>
                  <wp:anchor distT="0" distB="0" distL="114300" distR="114300" simplePos="0" relativeHeight="251663360" behindDoc="0" locked="0" layoutInCell="1" allowOverlap="1" wp14:anchorId="18600BC6" wp14:editId="6823372D">
                    <wp:simplePos x="0" y="0"/>
                    <wp:positionH relativeFrom="margin">
                      <wp:posOffset>-1095375</wp:posOffset>
                    </wp:positionH>
                    <wp:positionV relativeFrom="margin">
                      <wp:posOffset>-945515</wp:posOffset>
                    </wp:positionV>
                    <wp:extent cx="7610475" cy="10799445"/>
                    <wp:effectExtent l="0" t="0" r="9525" b="1905"/>
                    <wp:wrapSquare wrapText="bothSides"/>
                    <wp:docPr id="1" name="Grupo 1"/>
                    <wp:cNvGraphicFramePr/>
                    <a:graphic xmlns:a="http://schemas.openxmlformats.org/drawingml/2006/main">
                      <a:graphicData uri="http://schemas.microsoft.com/office/word/2010/wordprocessingGroup">
                        <wpg:wgp>
                          <wpg:cNvGrpSpPr/>
                          <wpg:grpSpPr>
                            <a:xfrm>
                              <a:off x="0" y="0"/>
                              <a:ext cx="7610475" cy="10799445"/>
                              <a:chOff x="10585" y="0"/>
                              <a:chExt cx="7613202" cy="10799445"/>
                            </a:xfrm>
                          </wpg:grpSpPr>
                          <wps:wsp>
                            <wps:cNvPr id="81" name="Rectángulo 81"/>
                            <wps:cNvSpPr/>
                            <wps:spPr>
                              <a:xfrm>
                                <a:off x="40897" y="0"/>
                                <a:ext cx="7559675" cy="10799445"/>
                              </a:xfrm>
                              <a:prstGeom prst="rect">
                                <a:avLst/>
                              </a:prstGeom>
                              <a:solidFill>
                                <a:srgbClr val="F7F7F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82" name="Grupo 82"/>
                            <wpg:cNvGrpSpPr/>
                            <wpg:grpSpPr>
                              <a:xfrm>
                                <a:off x="10585" y="42203"/>
                                <a:ext cx="7613202" cy="10708542"/>
                                <a:chOff x="10585" y="42203"/>
                                <a:chExt cx="7613390" cy="9574507"/>
                              </a:xfrm>
                            </wpg:grpSpPr>
                            <wpg:grpSp>
                              <wpg:cNvPr id="83" name="Grupo 83"/>
                              <wpg:cNvGrpSpPr/>
                              <wpg:grpSpPr>
                                <a:xfrm>
                                  <a:off x="10585" y="42203"/>
                                  <a:ext cx="7613390" cy="9574507"/>
                                  <a:chOff x="10585" y="42203"/>
                                  <a:chExt cx="7613390" cy="9574507"/>
                                </a:xfrm>
                              </wpg:grpSpPr>
                              <wps:wsp>
                                <wps:cNvPr id="85" name="Rectángulo 100"/>
                                <wps:cNvSpPr/>
                                <wps:spPr>
                                  <a:xfrm>
                                    <a:off x="10585" y="477823"/>
                                    <a:ext cx="7596000" cy="5943449"/>
                                  </a:xfrm>
                                  <a:custGeom>
                                    <a:avLst/>
                                    <a:gdLst>
                                      <a:gd name="connsiteX0" fmla="*/ 0 w 7559661"/>
                                      <a:gd name="connsiteY0" fmla="*/ 0 h 4998532"/>
                                      <a:gd name="connsiteX1" fmla="*/ 7559661 w 7559661"/>
                                      <a:gd name="connsiteY1" fmla="*/ 0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3459292 h 4998532"/>
                                      <a:gd name="connsiteX3" fmla="*/ 0 w 7559661"/>
                                      <a:gd name="connsiteY3" fmla="*/ 4998532 h 4998532"/>
                                      <a:gd name="connsiteX4" fmla="*/ 0 w 7559661"/>
                                      <a:gd name="connsiteY4" fmla="*/ 0 h 4998532"/>
                                      <a:gd name="connsiteX0" fmla="*/ 0 w 7651101"/>
                                      <a:gd name="connsiteY0" fmla="*/ 0 h 5196652"/>
                                      <a:gd name="connsiteX1" fmla="*/ 7559661 w 7651101"/>
                                      <a:gd name="connsiteY1" fmla="*/ 4998532 h 5196652"/>
                                      <a:gd name="connsiteX2" fmla="*/ 7651101 w 7651101"/>
                                      <a:gd name="connsiteY2" fmla="*/ 5196652 h 5196652"/>
                                      <a:gd name="connsiteX3" fmla="*/ 0 w 7651101"/>
                                      <a:gd name="connsiteY3" fmla="*/ 4998532 h 5196652"/>
                                      <a:gd name="connsiteX4" fmla="*/ 0 w 7651101"/>
                                      <a:gd name="connsiteY4" fmla="*/ 0 h 5196652"/>
                                      <a:gd name="connsiteX0" fmla="*/ 0 w 7651101"/>
                                      <a:gd name="connsiteY0" fmla="*/ 0 h 5196652"/>
                                      <a:gd name="connsiteX1" fmla="*/ 7651101 w 7651101"/>
                                      <a:gd name="connsiteY1" fmla="*/ 2941132 h 5196652"/>
                                      <a:gd name="connsiteX2" fmla="*/ 7651101 w 7651101"/>
                                      <a:gd name="connsiteY2" fmla="*/ 5196652 h 5196652"/>
                                      <a:gd name="connsiteX3" fmla="*/ 0 w 7651101"/>
                                      <a:gd name="connsiteY3" fmla="*/ 4998532 h 5196652"/>
                                      <a:gd name="connsiteX4" fmla="*/ 0 w 7651101"/>
                                      <a:gd name="connsiteY4" fmla="*/ 0 h 5196652"/>
                                      <a:gd name="connsiteX0" fmla="*/ 0 w 7651101"/>
                                      <a:gd name="connsiteY0" fmla="*/ 0 h 5196652"/>
                                      <a:gd name="connsiteX1" fmla="*/ 7651101 w 7651101"/>
                                      <a:gd name="connsiteY1" fmla="*/ 2941132 h 5196652"/>
                                      <a:gd name="connsiteX2" fmla="*/ 7651101 w 7651101"/>
                                      <a:gd name="connsiteY2" fmla="*/ 5196652 h 5196652"/>
                                      <a:gd name="connsiteX3" fmla="*/ 0 w 7651101"/>
                                      <a:gd name="connsiteY3" fmla="*/ 4998532 h 5196652"/>
                                      <a:gd name="connsiteX4" fmla="*/ 0 w 7651101"/>
                                      <a:gd name="connsiteY4" fmla="*/ 0 h 5196652"/>
                                      <a:gd name="connsiteX0" fmla="*/ 0 w 7651101"/>
                                      <a:gd name="connsiteY0" fmla="*/ 0 h 5120452"/>
                                      <a:gd name="connsiteX1" fmla="*/ 7651101 w 7651101"/>
                                      <a:gd name="connsiteY1" fmla="*/ 2941132 h 5120452"/>
                                      <a:gd name="connsiteX2" fmla="*/ 7651101 w 7651101"/>
                                      <a:gd name="connsiteY2" fmla="*/ 5120452 h 5120452"/>
                                      <a:gd name="connsiteX3" fmla="*/ 0 w 7651101"/>
                                      <a:gd name="connsiteY3" fmla="*/ 4998532 h 5120452"/>
                                      <a:gd name="connsiteX4" fmla="*/ 0 w 7651101"/>
                                      <a:gd name="connsiteY4" fmla="*/ 0 h 5120452"/>
                                      <a:gd name="connsiteX0" fmla="*/ 0 w 7651101"/>
                                      <a:gd name="connsiteY0" fmla="*/ 0 h 5120452"/>
                                      <a:gd name="connsiteX1" fmla="*/ 7651101 w 7651101"/>
                                      <a:gd name="connsiteY1" fmla="*/ 2941132 h 5120452"/>
                                      <a:gd name="connsiteX2" fmla="*/ 7651101 w 7651101"/>
                                      <a:gd name="connsiteY2" fmla="*/ 5120452 h 5120452"/>
                                      <a:gd name="connsiteX3" fmla="*/ 0 w 7651101"/>
                                      <a:gd name="connsiteY3" fmla="*/ 4998532 h 5120452"/>
                                      <a:gd name="connsiteX4" fmla="*/ 0 w 7651101"/>
                                      <a:gd name="connsiteY4" fmla="*/ 0 h 5120452"/>
                                      <a:gd name="connsiteX0" fmla="*/ 0 w 7651101"/>
                                      <a:gd name="connsiteY0" fmla="*/ 0 h 5120452"/>
                                      <a:gd name="connsiteX1" fmla="*/ 7651101 w 7651101"/>
                                      <a:gd name="connsiteY1" fmla="*/ 2941132 h 5120452"/>
                                      <a:gd name="connsiteX2" fmla="*/ 7651101 w 7651101"/>
                                      <a:gd name="connsiteY2" fmla="*/ 5120452 h 5120452"/>
                                      <a:gd name="connsiteX3" fmla="*/ 0 w 7651101"/>
                                      <a:gd name="connsiteY3" fmla="*/ 4998532 h 5120452"/>
                                      <a:gd name="connsiteX4" fmla="*/ 0 w 7651101"/>
                                      <a:gd name="connsiteY4" fmla="*/ 0 h 5120452"/>
                                      <a:gd name="connsiteX0" fmla="*/ 0 w 7651101"/>
                                      <a:gd name="connsiteY0" fmla="*/ 0 h 5044252"/>
                                      <a:gd name="connsiteX1" fmla="*/ 7651101 w 7651101"/>
                                      <a:gd name="connsiteY1" fmla="*/ 2941132 h 5044252"/>
                                      <a:gd name="connsiteX2" fmla="*/ 7651101 w 7651101"/>
                                      <a:gd name="connsiteY2" fmla="*/ 5044252 h 5044252"/>
                                      <a:gd name="connsiteX3" fmla="*/ 0 w 7651101"/>
                                      <a:gd name="connsiteY3" fmla="*/ 4998532 h 5044252"/>
                                      <a:gd name="connsiteX4" fmla="*/ 0 w 7651101"/>
                                      <a:gd name="connsiteY4" fmla="*/ 0 h 5044252"/>
                                      <a:gd name="connsiteX0" fmla="*/ 0 w 7651115"/>
                                      <a:gd name="connsiteY0" fmla="*/ 0 h 6476812"/>
                                      <a:gd name="connsiteX1" fmla="*/ 7651115 w 7651115"/>
                                      <a:gd name="connsiteY1" fmla="*/ 4373692 h 6476812"/>
                                      <a:gd name="connsiteX2" fmla="*/ 7651115 w 7651115"/>
                                      <a:gd name="connsiteY2" fmla="*/ 6476812 h 6476812"/>
                                      <a:gd name="connsiteX3" fmla="*/ 14 w 7651115"/>
                                      <a:gd name="connsiteY3" fmla="*/ 6431092 h 6476812"/>
                                      <a:gd name="connsiteX4" fmla="*/ 0 w 7651115"/>
                                      <a:gd name="connsiteY4" fmla="*/ 0 h 6476812"/>
                                      <a:gd name="connsiteX0" fmla="*/ 0 w 7651115"/>
                                      <a:gd name="connsiteY0" fmla="*/ 0 h 6479710"/>
                                      <a:gd name="connsiteX1" fmla="*/ 7651115 w 7651115"/>
                                      <a:gd name="connsiteY1" fmla="*/ 4373692 h 6479710"/>
                                      <a:gd name="connsiteX2" fmla="*/ 7651115 w 7651115"/>
                                      <a:gd name="connsiteY2" fmla="*/ 6476812 h 6479710"/>
                                      <a:gd name="connsiteX3" fmla="*/ 6964680 w 7651115"/>
                                      <a:gd name="connsiteY3" fmla="*/ 6476812 h 6479710"/>
                                      <a:gd name="connsiteX4" fmla="*/ 14 w 7651115"/>
                                      <a:gd name="connsiteY4" fmla="*/ 6431092 h 6479710"/>
                                      <a:gd name="connsiteX5" fmla="*/ 0 w 7651115"/>
                                      <a:gd name="connsiteY5" fmla="*/ 0 h 6479710"/>
                                      <a:gd name="connsiteX0" fmla="*/ 0 w 7651115"/>
                                      <a:gd name="connsiteY0" fmla="*/ 0 h 6479710"/>
                                      <a:gd name="connsiteX1" fmla="*/ 7651115 w 7651115"/>
                                      <a:gd name="connsiteY1" fmla="*/ 4373692 h 6479710"/>
                                      <a:gd name="connsiteX2" fmla="*/ 7651115 w 7651115"/>
                                      <a:gd name="connsiteY2" fmla="*/ 6476812 h 6479710"/>
                                      <a:gd name="connsiteX3" fmla="*/ 6964680 w 7651115"/>
                                      <a:gd name="connsiteY3" fmla="*/ 6476812 h 6479710"/>
                                      <a:gd name="connsiteX4" fmla="*/ 8 w 7651115"/>
                                      <a:gd name="connsiteY4" fmla="*/ 6479710 h 6479710"/>
                                      <a:gd name="connsiteX5" fmla="*/ 0 w 7651115"/>
                                      <a:gd name="connsiteY5" fmla="*/ 0 h 6479710"/>
                                      <a:gd name="connsiteX0" fmla="*/ 0 w 7651115"/>
                                      <a:gd name="connsiteY0" fmla="*/ 0 h 6479710"/>
                                      <a:gd name="connsiteX1" fmla="*/ 7651115 w 7651115"/>
                                      <a:gd name="connsiteY1" fmla="*/ 3630914 h 6479710"/>
                                      <a:gd name="connsiteX2" fmla="*/ 7651115 w 7651115"/>
                                      <a:gd name="connsiteY2" fmla="*/ 6476812 h 6479710"/>
                                      <a:gd name="connsiteX3" fmla="*/ 6964680 w 7651115"/>
                                      <a:gd name="connsiteY3" fmla="*/ 6476812 h 6479710"/>
                                      <a:gd name="connsiteX4" fmla="*/ 8 w 7651115"/>
                                      <a:gd name="connsiteY4" fmla="*/ 6479710 h 6479710"/>
                                      <a:gd name="connsiteX5" fmla="*/ 0 w 7651115"/>
                                      <a:gd name="connsiteY5" fmla="*/ 0 h 6479710"/>
                                      <a:gd name="connsiteX0" fmla="*/ 0 w 7651115"/>
                                      <a:gd name="connsiteY0" fmla="*/ 0 h 6479710"/>
                                      <a:gd name="connsiteX1" fmla="*/ 7651115 w 7651115"/>
                                      <a:gd name="connsiteY1" fmla="*/ 2977269 h 6479710"/>
                                      <a:gd name="connsiteX2" fmla="*/ 7651115 w 7651115"/>
                                      <a:gd name="connsiteY2" fmla="*/ 6476812 h 6479710"/>
                                      <a:gd name="connsiteX3" fmla="*/ 6964680 w 7651115"/>
                                      <a:gd name="connsiteY3" fmla="*/ 6476812 h 6479710"/>
                                      <a:gd name="connsiteX4" fmla="*/ 8 w 7651115"/>
                                      <a:gd name="connsiteY4" fmla="*/ 6479710 h 6479710"/>
                                      <a:gd name="connsiteX5" fmla="*/ 0 w 7651115"/>
                                      <a:gd name="connsiteY5" fmla="*/ 0 h 64797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51115" h="6479710">
                                        <a:moveTo>
                                          <a:pt x="0" y="0"/>
                                        </a:moveTo>
                                        <a:cubicBezTo>
                                          <a:pt x="2641807" y="3053017"/>
                                          <a:pt x="5695108" y="3444692"/>
                                          <a:pt x="7651115" y="2977269"/>
                                        </a:cubicBezTo>
                                        <a:lnTo>
                                          <a:pt x="7651115" y="6476812"/>
                                        </a:lnTo>
                                        <a:cubicBezTo>
                                          <a:pt x="7422303" y="6466770"/>
                                          <a:pt x="7193492" y="6486854"/>
                                          <a:pt x="6964680" y="6476812"/>
                                        </a:cubicBezTo>
                                        <a:lnTo>
                                          <a:pt x="8" y="6479710"/>
                                        </a:lnTo>
                                        <a:cubicBezTo>
                                          <a:pt x="3" y="4336013"/>
                                          <a:pt x="5" y="2143697"/>
                                          <a:pt x="0" y="0"/>
                                        </a:cubicBezTo>
                                        <a:close/>
                                      </a:path>
                                    </a:pathLst>
                                  </a:custGeom>
                                  <a:solidFill>
                                    <a:srgbClr val="DCDCD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B068E6" w14:textId="77777777" w:rsidR="005C0C7B" w:rsidRDefault="005C0C7B" w:rsidP="00F962B6">
                                      <w:pPr>
                                        <w:rPr>
                                          <w:rFonts w:ascii="Montserrat Bold" w:hAnsi="Montserrat Bold" w:cs="Open Sans"/>
                                          <w:color w:val="FFC000"/>
                                          <w:sz w:val="88"/>
                                          <w:szCs w:val="420"/>
                                          <w:lang w:val="es-PE"/>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 name="Rectángulo 86"/>
                                <wps:cNvSpPr/>
                                <wps:spPr>
                                  <a:xfrm>
                                    <a:off x="1416076" y="42203"/>
                                    <a:ext cx="4104000" cy="160930"/>
                                  </a:xfrm>
                                  <a:prstGeom prst="rect">
                                    <a:avLst/>
                                  </a:prstGeom>
                                  <a:solidFill>
                                    <a:srgbClr val="E0484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 name="Rectángulo 87"/>
                                <wps:cNvSpPr/>
                                <wps:spPr>
                                  <a:xfrm>
                                    <a:off x="25664" y="9359222"/>
                                    <a:ext cx="7598311" cy="257488"/>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8DD586" w14:textId="77777777" w:rsidR="005C0C7B" w:rsidRDefault="005C0C7B" w:rsidP="00F962B6">
                                      <w:pPr>
                                        <w:rPr>
                                          <w:rFonts w:ascii="Montserrat Bold" w:hAnsi="Montserrat Bold" w:cs="Open Sans"/>
                                          <w:color w:val="FFC000"/>
                                          <w:sz w:val="88"/>
                                          <w:szCs w:val="420"/>
                                          <w:lang w:val="es-PE"/>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8" name="Rectángulo 100"/>
                                <wps:cNvSpPr/>
                                <wps:spPr>
                                  <a:xfrm>
                                    <a:off x="11293" y="572864"/>
                                    <a:ext cx="7596000" cy="5943449"/>
                                  </a:xfrm>
                                  <a:custGeom>
                                    <a:avLst/>
                                    <a:gdLst>
                                      <a:gd name="connsiteX0" fmla="*/ 0 w 7559661"/>
                                      <a:gd name="connsiteY0" fmla="*/ 0 h 4998532"/>
                                      <a:gd name="connsiteX1" fmla="*/ 7559661 w 7559661"/>
                                      <a:gd name="connsiteY1" fmla="*/ 0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3459292 h 4998532"/>
                                      <a:gd name="connsiteX3" fmla="*/ 0 w 7559661"/>
                                      <a:gd name="connsiteY3" fmla="*/ 4998532 h 4998532"/>
                                      <a:gd name="connsiteX4" fmla="*/ 0 w 7559661"/>
                                      <a:gd name="connsiteY4" fmla="*/ 0 h 4998532"/>
                                      <a:gd name="connsiteX0" fmla="*/ 0 w 7651101"/>
                                      <a:gd name="connsiteY0" fmla="*/ 0 h 5196652"/>
                                      <a:gd name="connsiteX1" fmla="*/ 7559661 w 7651101"/>
                                      <a:gd name="connsiteY1" fmla="*/ 4998532 h 5196652"/>
                                      <a:gd name="connsiteX2" fmla="*/ 7651101 w 7651101"/>
                                      <a:gd name="connsiteY2" fmla="*/ 5196652 h 5196652"/>
                                      <a:gd name="connsiteX3" fmla="*/ 0 w 7651101"/>
                                      <a:gd name="connsiteY3" fmla="*/ 4998532 h 5196652"/>
                                      <a:gd name="connsiteX4" fmla="*/ 0 w 7651101"/>
                                      <a:gd name="connsiteY4" fmla="*/ 0 h 5196652"/>
                                      <a:gd name="connsiteX0" fmla="*/ 0 w 7651101"/>
                                      <a:gd name="connsiteY0" fmla="*/ 0 h 5196652"/>
                                      <a:gd name="connsiteX1" fmla="*/ 7651101 w 7651101"/>
                                      <a:gd name="connsiteY1" fmla="*/ 2941132 h 5196652"/>
                                      <a:gd name="connsiteX2" fmla="*/ 7651101 w 7651101"/>
                                      <a:gd name="connsiteY2" fmla="*/ 5196652 h 5196652"/>
                                      <a:gd name="connsiteX3" fmla="*/ 0 w 7651101"/>
                                      <a:gd name="connsiteY3" fmla="*/ 4998532 h 5196652"/>
                                      <a:gd name="connsiteX4" fmla="*/ 0 w 7651101"/>
                                      <a:gd name="connsiteY4" fmla="*/ 0 h 5196652"/>
                                      <a:gd name="connsiteX0" fmla="*/ 0 w 7651101"/>
                                      <a:gd name="connsiteY0" fmla="*/ 0 h 5196652"/>
                                      <a:gd name="connsiteX1" fmla="*/ 7651101 w 7651101"/>
                                      <a:gd name="connsiteY1" fmla="*/ 2941132 h 5196652"/>
                                      <a:gd name="connsiteX2" fmla="*/ 7651101 w 7651101"/>
                                      <a:gd name="connsiteY2" fmla="*/ 5196652 h 5196652"/>
                                      <a:gd name="connsiteX3" fmla="*/ 0 w 7651101"/>
                                      <a:gd name="connsiteY3" fmla="*/ 4998532 h 5196652"/>
                                      <a:gd name="connsiteX4" fmla="*/ 0 w 7651101"/>
                                      <a:gd name="connsiteY4" fmla="*/ 0 h 5196652"/>
                                      <a:gd name="connsiteX0" fmla="*/ 0 w 7651101"/>
                                      <a:gd name="connsiteY0" fmla="*/ 0 h 5120452"/>
                                      <a:gd name="connsiteX1" fmla="*/ 7651101 w 7651101"/>
                                      <a:gd name="connsiteY1" fmla="*/ 2941132 h 5120452"/>
                                      <a:gd name="connsiteX2" fmla="*/ 7651101 w 7651101"/>
                                      <a:gd name="connsiteY2" fmla="*/ 5120452 h 5120452"/>
                                      <a:gd name="connsiteX3" fmla="*/ 0 w 7651101"/>
                                      <a:gd name="connsiteY3" fmla="*/ 4998532 h 5120452"/>
                                      <a:gd name="connsiteX4" fmla="*/ 0 w 7651101"/>
                                      <a:gd name="connsiteY4" fmla="*/ 0 h 5120452"/>
                                      <a:gd name="connsiteX0" fmla="*/ 0 w 7651101"/>
                                      <a:gd name="connsiteY0" fmla="*/ 0 h 5120452"/>
                                      <a:gd name="connsiteX1" fmla="*/ 7651101 w 7651101"/>
                                      <a:gd name="connsiteY1" fmla="*/ 2941132 h 5120452"/>
                                      <a:gd name="connsiteX2" fmla="*/ 7651101 w 7651101"/>
                                      <a:gd name="connsiteY2" fmla="*/ 5120452 h 5120452"/>
                                      <a:gd name="connsiteX3" fmla="*/ 0 w 7651101"/>
                                      <a:gd name="connsiteY3" fmla="*/ 4998532 h 5120452"/>
                                      <a:gd name="connsiteX4" fmla="*/ 0 w 7651101"/>
                                      <a:gd name="connsiteY4" fmla="*/ 0 h 5120452"/>
                                      <a:gd name="connsiteX0" fmla="*/ 0 w 7651101"/>
                                      <a:gd name="connsiteY0" fmla="*/ 0 h 5120452"/>
                                      <a:gd name="connsiteX1" fmla="*/ 7651101 w 7651101"/>
                                      <a:gd name="connsiteY1" fmla="*/ 2941132 h 5120452"/>
                                      <a:gd name="connsiteX2" fmla="*/ 7651101 w 7651101"/>
                                      <a:gd name="connsiteY2" fmla="*/ 5120452 h 5120452"/>
                                      <a:gd name="connsiteX3" fmla="*/ 0 w 7651101"/>
                                      <a:gd name="connsiteY3" fmla="*/ 4998532 h 5120452"/>
                                      <a:gd name="connsiteX4" fmla="*/ 0 w 7651101"/>
                                      <a:gd name="connsiteY4" fmla="*/ 0 h 5120452"/>
                                      <a:gd name="connsiteX0" fmla="*/ 0 w 7651101"/>
                                      <a:gd name="connsiteY0" fmla="*/ 0 h 5044252"/>
                                      <a:gd name="connsiteX1" fmla="*/ 7651101 w 7651101"/>
                                      <a:gd name="connsiteY1" fmla="*/ 2941132 h 5044252"/>
                                      <a:gd name="connsiteX2" fmla="*/ 7651101 w 7651101"/>
                                      <a:gd name="connsiteY2" fmla="*/ 5044252 h 5044252"/>
                                      <a:gd name="connsiteX3" fmla="*/ 0 w 7651101"/>
                                      <a:gd name="connsiteY3" fmla="*/ 4998532 h 5044252"/>
                                      <a:gd name="connsiteX4" fmla="*/ 0 w 7651101"/>
                                      <a:gd name="connsiteY4" fmla="*/ 0 h 5044252"/>
                                      <a:gd name="connsiteX0" fmla="*/ 0 w 7651115"/>
                                      <a:gd name="connsiteY0" fmla="*/ 0 h 6476812"/>
                                      <a:gd name="connsiteX1" fmla="*/ 7651115 w 7651115"/>
                                      <a:gd name="connsiteY1" fmla="*/ 4373692 h 6476812"/>
                                      <a:gd name="connsiteX2" fmla="*/ 7651115 w 7651115"/>
                                      <a:gd name="connsiteY2" fmla="*/ 6476812 h 6476812"/>
                                      <a:gd name="connsiteX3" fmla="*/ 14 w 7651115"/>
                                      <a:gd name="connsiteY3" fmla="*/ 6431092 h 6476812"/>
                                      <a:gd name="connsiteX4" fmla="*/ 0 w 7651115"/>
                                      <a:gd name="connsiteY4" fmla="*/ 0 h 6476812"/>
                                      <a:gd name="connsiteX0" fmla="*/ 0 w 7651115"/>
                                      <a:gd name="connsiteY0" fmla="*/ 0 h 6479710"/>
                                      <a:gd name="connsiteX1" fmla="*/ 7651115 w 7651115"/>
                                      <a:gd name="connsiteY1" fmla="*/ 4373692 h 6479710"/>
                                      <a:gd name="connsiteX2" fmla="*/ 7651115 w 7651115"/>
                                      <a:gd name="connsiteY2" fmla="*/ 6476812 h 6479710"/>
                                      <a:gd name="connsiteX3" fmla="*/ 6964680 w 7651115"/>
                                      <a:gd name="connsiteY3" fmla="*/ 6476812 h 6479710"/>
                                      <a:gd name="connsiteX4" fmla="*/ 14 w 7651115"/>
                                      <a:gd name="connsiteY4" fmla="*/ 6431092 h 6479710"/>
                                      <a:gd name="connsiteX5" fmla="*/ 0 w 7651115"/>
                                      <a:gd name="connsiteY5" fmla="*/ 0 h 6479710"/>
                                      <a:gd name="connsiteX0" fmla="*/ 0 w 7651115"/>
                                      <a:gd name="connsiteY0" fmla="*/ 0 h 6479710"/>
                                      <a:gd name="connsiteX1" fmla="*/ 7651115 w 7651115"/>
                                      <a:gd name="connsiteY1" fmla="*/ 4373692 h 6479710"/>
                                      <a:gd name="connsiteX2" fmla="*/ 7651115 w 7651115"/>
                                      <a:gd name="connsiteY2" fmla="*/ 6476812 h 6479710"/>
                                      <a:gd name="connsiteX3" fmla="*/ 6964680 w 7651115"/>
                                      <a:gd name="connsiteY3" fmla="*/ 6476812 h 6479710"/>
                                      <a:gd name="connsiteX4" fmla="*/ 8 w 7651115"/>
                                      <a:gd name="connsiteY4" fmla="*/ 6479710 h 6479710"/>
                                      <a:gd name="connsiteX5" fmla="*/ 0 w 7651115"/>
                                      <a:gd name="connsiteY5" fmla="*/ 0 h 6479710"/>
                                      <a:gd name="connsiteX0" fmla="*/ 0 w 7651115"/>
                                      <a:gd name="connsiteY0" fmla="*/ 0 h 6479710"/>
                                      <a:gd name="connsiteX1" fmla="*/ 7651115 w 7651115"/>
                                      <a:gd name="connsiteY1" fmla="*/ 3734903 h 6479710"/>
                                      <a:gd name="connsiteX2" fmla="*/ 7651115 w 7651115"/>
                                      <a:gd name="connsiteY2" fmla="*/ 6476812 h 6479710"/>
                                      <a:gd name="connsiteX3" fmla="*/ 6964680 w 7651115"/>
                                      <a:gd name="connsiteY3" fmla="*/ 6476812 h 6479710"/>
                                      <a:gd name="connsiteX4" fmla="*/ 8 w 7651115"/>
                                      <a:gd name="connsiteY4" fmla="*/ 6479710 h 6479710"/>
                                      <a:gd name="connsiteX5" fmla="*/ 0 w 7651115"/>
                                      <a:gd name="connsiteY5" fmla="*/ 0 h 6479710"/>
                                      <a:gd name="connsiteX0" fmla="*/ 0 w 7651115"/>
                                      <a:gd name="connsiteY0" fmla="*/ 0 h 6479710"/>
                                      <a:gd name="connsiteX1" fmla="*/ 7651115 w 7651115"/>
                                      <a:gd name="connsiteY1" fmla="*/ 4196298 h 6479710"/>
                                      <a:gd name="connsiteX2" fmla="*/ 7651115 w 7651115"/>
                                      <a:gd name="connsiteY2" fmla="*/ 6476812 h 6479710"/>
                                      <a:gd name="connsiteX3" fmla="*/ 6964680 w 7651115"/>
                                      <a:gd name="connsiteY3" fmla="*/ 6476812 h 6479710"/>
                                      <a:gd name="connsiteX4" fmla="*/ 8 w 7651115"/>
                                      <a:gd name="connsiteY4" fmla="*/ 6479710 h 6479710"/>
                                      <a:gd name="connsiteX5" fmla="*/ 0 w 7651115"/>
                                      <a:gd name="connsiteY5" fmla="*/ 0 h 64797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51115" h="6479710">
                                        <a:moveTo>
                                          <a:pt x="0" y="0"/>
                                        </a:moveTo>
                                        <a:cubicBezTo>
                                          <a:pt x="2641807" y="3053017"/>
                                          <a:pt x="5695108" y="4663721"/>
                                          <a:pt x="7651115" y="4196298"/>
                                        </a:cubicBezTo>
                                        <a:lnTo>
                                          <a:pt x="7651115" y="6476812"/>
                                        </a:lnTo>
                                        <a:cubicBezTo>
                                          <a:pt x="7422303" y="6466770"/>
                                          <a:pt x="7193492" y="6486854"/>
                                          <a:pt x="6964680" y="6476812"/>
                                        </a:cubicBezTo>
                                        <a:lnTo>
                                          <a:pt x="8" y="6479710"/>
                                        </a:lnTo>
                                        <a:cubicBezTo>
                                          <a:pt x="3" y="4336013"/>
                                          <a:pt x="5" y="2143697"/>
                                          <a:pt x="0" y="0"/>
                                        </a:cubicBezTo>
                                        <a:close/>
                                      </a:path>
                                    </a:pathLst>
                                  </a:custGeom>
                                  <a:solidFill>
                                    <a:srgbClr val="E6E6E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C72F83" w14:textId="77777777" w:rsidR="005C0C7B" w:rsidRDefault="005C0C7B" w:rsidP="00F962B6">
                                      <w:pPr>
                                        <w:rPr>
                                          <w:rFonts w:ascii="Montserrat Bold" w:hAnsi="Montserrat Bold" w:cs="Open Sans"/>
                                          <w:color w:val="FFC000"/>
                                          <w:sz w:val="88"/>
                                          <w:szCs w:val="420"/>
                                          <w:lang w:val="es-PE"/>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9" name="Rectángulo 100"/>
                                <wps:cNvSpPr/>
                                <wps:spPr>
                                  <a:xfrm>
                                    <a:off x="42762" y="749918"/>
                                    <a:ext cx="7558763" cy="5670990"/>
                                  </a:xfrm>
                                  <a:custGeom>
                                    <a:avLst/>
                                    <a:gdLst>
                                      <a:gd name="connsiteX0" fmla="*/ 0 w 7559661"/>
                                      <a:gd name="connsiteY0" fmla="*/ 0 h 4998532"/>
                                      <a:gd name="connsiteX1" fmla="*/ 7559661 w 7559661"/>
                                      <a:gd name="connsiteY1" fmla="*/ 0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4998532 h 4998532"/>
                                      <a:gd name="connsiteX3" fmla="*/ 0 w 7559661"/>
                                      <a:gd name="connsiteY3" fmla="*/ 4998532 h 4998532"/>
                                      <a:gd name="connsiteX4" fmla="*/ 0 w 7559661"/>
                                      <a:gd name="connsiteY4" fmla="*/ 0 h 4998532"/>
                                      <a:gd name="connsiteX0" fmla="*/ 0 w 7559661"/>
                                      <a:gd name="connsiteY0" fmla="*/ 0 h 4998532"/>
                                      <a:gd name="connsiteX1" fmla="*/ 7559661 w 7559661"/>
                                      <a:gd name="connsiteY1" fmla="*/ 4998532 h 4998532"/>
                                      <a:gd name="connsiteX2" fmla="*/ 7559661 w 7559661"/>
                                      <a:gd name="connsiteY2" fmla="*/ 3459292 h 4998532"/>
                                      <a:gd name="connsiteX3" fmla="*/ 0 w 7559661"/>
                                      <a:gd name="connsiteY3" fmla="*/ 4998532 h 4998532"/>
                                      <a:gd name="connsiteX4" fmla="*/ 0 w 7559661"/>
                                      <a:gd name="connsiteY4" fmla="*/ 0 h 4998532"/>
                                      <a:gd name="connsiteX0" fmla="*/ 0 w 7651101"/>
                                      <a:gd name="connsiteY0" fmla="*/ 0 h 5196652"/>
                                      <a:gd name="connsiteX1" fmla="*/ 7559661 w 7651101"/>
                                      <a:gd name="connsiteY1" fmla="*/ 4998532 h 5196652"/>
                                      <a:gd name="connsiteX2" fmla="*/ 7651101 w 7651101"/>
                                      <a:gd name="connsiteY2" fmla="*/ 5196652 h 5196652"/>
                                      <a:gd name="connsiteX3" fmla="*/ 0 w 7651101"/>
                                      <a:gd name="connsiteY3" fmla="*/ 4998532 h 5196652"/>
                                      <a:gd name="connsiteX4" fmla="*/ 0 w 7651101"/>
                                      <a:gd name="connsiteY4" fmla="*/ 0 h 5196652"/>
                                      <a:gd name="connsiteX0" fmla="*/ 0 w 7651101"/>
                                      <a:gd name="connsiteY0" fmla="*/ 0 h 5196652"/>
                                      <a:gd name="connsiteX1" fmla="*/ 7651101 w 7651101"/>
                                      <a:gd name="connsiteY1" fmla="*/ 2941132 h 5196652"/>
                                      <a:gd name="connsiteX2" fmla="*/ 7651101 w 7651101"/>
                                      <a:gd name="connsiteY2" fmla="*/ 5196652 h 5196652"/>
                                      <a:gd name="connsiteX3" fmla="*/ 0 w 7651101"/>
                                      <a:gd name="connsiteY3" fmla="*/ 4998532 h 5196652"/>
                                      <a:gd name="connsiteX4" fmla="*/ 0 w 7651101"/>
                                      <a:gd name="connsiteY4" fmla="*/ 0 h 5196652"/>
                                      <a:gd name="connsiteX0" fmla="*/ 0 w 7651101"/>
                                      <a:gd name="connsiteY0" fmla="*/ 0 h 5196652"/>
                                      <a:gd name="connsiteX1" fmla="*/ 7651101 w 7651101"/>
                                      <a:gd name="connsiteY1" fmla="*/ 2941132 h 5196652"/>
                                      <a:gd name="connsiteX2" fmla="*/ 7651101 w 7651101"/>
                                      <a:gd name="connsiteY2" fmla="*/ 5196652 h 5196652"/>
                                      <a:gd name="connsiteX3" fmla="*/ 0 w 7651101"/>
                                      <a:gd name="connsiteY3" fmla="*/ 4998532 h 5196652"/>
                                      <a:gd name="connsiteX4" fmla="*/ 0 w 7651101"/>
                                      <a:gd name="connsiteY4" fmla="*/ 0 h 5196652"/>
                                      <a:gd name="connsiteX0" fmla="*/ 0 w 7651101"/>
                                      <a:gd name="connsiteY0" fmla="*/ 0 h 5120452"/>
                                      <a:gd name="connsiteX1" fmla="*/ 7651101 w 7651101"/>
                                      <a:gd name="connsiteY1" fmla="*/ 2941132 h 5120452"/>
                                      <a:gd name="connsiteX2" fmla="*/ 7651101 w 7651101"/>
                                      <a:gd name="connsiteY2" fmla="*/ 5120452 h 5120452"/>
                                      <a:gd name="connsiteX3" fmla="*/ 0 w 7651101"/>
                                      <a:gd name="connsiteY3" fmla="*/ 4998532 h 5120452"/>
                                      <a:gd name="connsiteX4" fmla="*/ 0 w 7651101"/>
                                      <a:gd name="connsiteY4" fmla="*/ 0 h 5120452"/>
                                      <a:gd name="connsiteX0" fmla="*/ 0 w 7651101"/>
                                      <a:gd name="connsiteY0" fmla="*/ 0 h 5120452"/>
                                      <a:gd name="connsiteX1" fmla="*/ 7651101 w 7651101"/>
                                      <a:gd name="connsiteY1" fmla="*/ 2941132 h 5120452"/>
                                      <a:gd name="connsiteX2" fmla="*/ 7651101 w 7651101"/>
                                      <a:gd name="connsiteY2" fmla="*/ 5120452 h 5120452"/>
                                      <a:gd name="connsiteX3" fmla="*/ 0 w 7651101"/>
                                      <a:gd name="connsiteY3" fmla="*/ 4998532 h 5120452"/>
                                      <a:gd name="connsiteX4" fmla="*/ 0 w 7651101"/>
                                      <a:gd name="connsiteY4" fmla="*/ 0 h 5120452"/>
                                      <a:gd name="connsiteX0" fmla="*/ 0 w 7651101"/>
                                      <a:gd name="connsiteY0" fmla="*/ 0 h 5120452"/>
                                      <a:gd name="connsiteX1" fmla="*/ 7651101 w 7651101"/>
                                      <a:gd name="connsiteY1" fmla="*/ 2941132 h 5120452"/>
                                      <a:gd name="connsiteX2" fmla="*/ 7651101 w 7651101"/>
                                      <a:gd name="connsiteY2" fmla="*/ 5120452 h 5120452"/>
                                      <a:gd name="connsiteX3" fmla="*/ 0 w 7651101"/>
                                      <a:gd name="connsiteY3" fmla="*/ 4998532 h 5120452"/>
                                      <a:gd name="connsiteX4" fmla="*/ 0 w 7651101"/>
                                      <a:gd name="connsiteY4" fmla="*/ 0 h 5120452"/>
                                      <a:gd name="connsiteX0" fmla="*/ 0 w 7651101"/>
                                      <a:gd name="connsiteY0" fmla="*/ 0 h 5044252"/>
                                      <a:gd name="connsiteX1" fmla="*/ 7651101 w 7651101"/>
                                      <a:gd name="connsiteY1" fmla="*/ 2941132 h 5044252"/>
                                      <a:gd name="connsiteX2" fmla="*/ 7651101 w 7651101"/>
                                      <a:gd name="connsiteY2" fmla="*/ 5044252 h 5044252"/>
                                      <a:gd name="connsiteX3" fmla="*/ 0 w 7651101"/>
                                      <a:gd name="connsiteY3" fmla="*/ 4998532 h 5044252"/>
                                      <a:gd name="connsiteX4" fmla="*/ 0 w 7651101"/>
                                      <a:gd name="connsiteY4" fmla="*/ 0 h 5044252"/>
                                      <a:gd name="connsiteX0" fmla="*/ 0 w 7651115"/>
                                      <a:gd name="connsiteY0" fmla="*/ 0 h 6476812"/>
                                      <a:gd name="connsiteX1" fmla="*/ 7651115 w 7651115"/>
                                      <a:gd name="connsiteY1" fmla="*/ 4373692 h 6476812"/>
                                      <a:gd name="connsiteX2" fmla="*/ 7651115 w 7651115"/>
                                      <a:gd name="connsiteY2" fmla="*/ 6476812 h 6476812"/>
                                      <a:gd name="connsiteX3" fmla="*/ 14 w 7651115"/>
                                      <a:gd name="connsiteY3" fmla="*/ 6431092 h 6476812"/>
                                      <a:gd name="connsiteX4" fmla="*/ 0 w 7651115"/>
                                      <a:gd name="connsiteY4" fmla="*/ 0 h 6476812"/>
                                      <a:gd name="connsiteX0" fmla="*/ 0 w 7651115"/>
                                      <a:gd name="connsiteY0" fmla="*/ 0 h 6479710"/>
                                      <a:gd name="connsiteX1" fmla="*/ 7651115 w 7651115"/>
                                      <a:gd name="connsiteY1" fmla="*/ 4373692 h 6479710"/>
                                      <a:gd name="connsiteX2" fmla="*/ 7651115 w 7651115"/>
                                      <a:gd name="connsiteY2" fmla="*/ 6476812 h 6479710"/>
                                      <a:gd name="connsiteX3" fmla="*/ 6964680 w 7651115"/>
                                      <a:gd name="connsiteY3" fmla="*/ 6476812 h 6479710"/>
                                      <a:gd name="connsiteX4" fmla="*/ 14 w 7651115"/>
                                      <a:gd name="connsiteY4" fmla="*/ 6431092 h 6479710"/>
                                      <a:gd name="connsiteX5" fmla="*/ 0 w 7651115"/>
                                      <a:gd name="connsiteY5" fmla="*/ 0 h 6479710"/>
                                      <a:gd name="connsiteX0" fmla="*/ 0 w 7651115"/>
                                      <a:gd name="connsiteY0" fmla="*/ 0 h 6479710"/>
                                      <a:gd name="connsiteX1" fmla="*/ 7651115 w 7651115"/>
                                      <a:gd name="connsiteY1" fmla="*/ 4373692 h 6479710"/>
                                      <a:gd name="connsiteX2" fmla="*/ 7651115 w 7651115"/>
                                      <a:gd name="connsiteY2" fmla="*/ 6476812 h 6479710"/>
                                      <a:gd name="connsiteX3" fmla="*/ 6964680 w 7651115"/>
                                      <a:gd name="connsiteY3" fmla="*/ 6476812 h 6479710"/>
                                      <a:gd name="connsiteX4" fmla="*/ 8 w 7651115"/>
                                      <a:gd name="connsiteY4" fmla="*/ 6479710 h 6479710"/>
                                      <a:gd name="connsiteX5" fmla="*/ 0 w 7651115"/>
                                      <a:gd name="connsiteY5" fmla="*/ 0 h 6479710"/>
                                      <a:gd name="connsiteX0" fmla="*/ 0 w 7651115"/>
                                      <a:gd name="connsiteY0" fmla="*/ 0 h 6479710"/>
                                      <a:gd name="connsiteX1" fmla="*/ 7651115 w 7651115"/>
                                      <a:gd name="connsiteY1" fmla="*/ 4967155 h 6479710"/>
                                      <a:gd name="connsiteX2" fmla="*/ 7651115 w 7651115"/>
                                      <a:gd name="connsiteY2" fmla="*/ 6476812 h 6479710"/>
                                      <a:gd name="connsiteX3" fmla="*/ 6964680 w 7651115"/>
                                      <a:gd name="connsiteY3" fmla="*/ 6476812 h 6479710"/>
                                      <a:gd name="connsiteX4" fmla="*/ 8 w 7651115"/>
                                      <a:gd name="connsiteY4" fmla="*/ 6479710 h 6479710"/>
                                      <a:gd name="connsiteX5" fmla="*/ 0 w 7651115"/>
                                      <a:gd name="connsiteY5" fmla="*/ 0 h 6479710"/>
                                      <a:gd name="connsiteX0" fmla="*/ 0 w 7651115"/>
                                      <a:gd name="connsiteY0" fmla="*/ 0 h 6479710"/>
                                      <a:gd name="connsiteX1" fmla="*/ 7651115 w 7651115"/>
                                      <a:gd name="connsiteY1" fmla="*/ 5230916 h 6479710"/>
                                      <a:gd name="connsiteX2" fmla="*/ 7651115 w 7651115"/>
                                      <a:gd name="connsiteY2" fmla="*/ 6476812 h 6479710"/>
                                      <a:gd name="connsiteX3" fmla="*/ 6964680 w 7651115"/>
                                      <a:gd name="connsiteY3" fmla="*/ 6476812 h 6479710"/>
                                      <a:gd name="connsiteX4" fmla="*/ 8 w 7651115"/>
                                      <a:gd name="connsiteY4" fmla="*/ 6479710 h 6479710"/>
                                      <a:gd name="connsiteX5" fmla="*/ 0 w 7651115"/>
                                      <a:gd name="connsiteY5" fmla="*/ 0 h 64797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51115" h="6479710">
                                        <a:moveTo>
                                          <a:pt x="0" y="0"/>
                                        </a:moveTo>
                                        <a:cubicBezTo>
                                          <a:pt x="2641807" y="3053017"/>
                                          <a:pt x="5695108" y="5698339"/>
                                          <a:pt x="7651115" y="5230916"/>
                                        </a:cubicBezTo>
                                        <a:lnTo>
                                          <a:pt x="7651115" y="6476812"/>
                                        </a:lnTo>
                                        <a:cubicBezTo>
                                          <a:pt x="7422303" y="6466770"/>
                                          <a:pt x="7193492" y="6486854"/>
                                          <a:pt x="6964680" y="6476812"/>
                                        </a:cubicBezTo>
                                        <a:lnTo>
                                          <a:pt x="8" y="6479710"/>
                                        </a:lnTo>
                                        <a:cubicBezTo>
                                          <a:pt x="3" y="4336013"/>
                                          <a:pt x="5" y="2143697"/>
                                          <a:pt x="0" y="0"/>
                                        </a:cubicBezTo>
                                        <a:close/>
                                      </a:path>
                                    </a:pathLst>
                                  </a:cu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C9D20B" w14:textId="77777777" w:rsidR="005C0C7B" w:rsidRDefault="005C0C7B" w:rsidP="00F962B6">
                                      <w:pPr>
                                        <w:rPr>
                                          <w:rFonts w:ascii="Montserrat Bold" w:hAnsi="Montserrat Bold" w:cs="Open Sans"/>
                                          <w:color w:val="FFC000"/>
                                          <w:sz w:val="88"/>
                                          <w:szCs w:val="420"/>
                                          <w:lang w:val="es-PE"/>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 name="Rectángulo 90"/>
                                <wps:cNvSpPr/>
                                <wps:spPr>
                                  <a:xfrm>
                                    <a:off x="565153" y="2154403"/>
                                    <a:ext cx="6574767" cy="392722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ECB7A9" w14:textId="3255DC64" w:rsidR="005C0C7B" w:rsidRDefault="005C0C7B" w:rsidP="001A4D15">
                                      <w:pPr>
                                        <w:spacing w:after="0" w:line="240" w:lineRule="auto"/>
                                        <w:jc w:val="center"/>
                                        <w:rPr>
                                          <w:rFonts w:ascii="Montserrat" w:hAnsi="Montserrat" w:cs="Open Sans"/>
                                          <w:b/>
                                          <w:bCs/>
                                          <w:color w:val="1F3864" w:themeColor="accent1" w:themeShade="80"/>
                                          <w:sz w:val="72"/>
                                          <w:szCs w:val="400"/>
                                          <w:lang w:val="es-PE"/>
                                        </w:rPr>
                                      </w:pPr>
                                      <w:r w:rsidRPr="008E112D">
                                        <w:rPr>
                                          <w:rFonts w:ascii="Montserrat" w:hAnsi="Montserrat" w:cs="Open Sans"/>
                                          <w:b/>
                                          <w:bCs/>
                                          <w:color w:val="1F3864" w:themeColor="accent1" w:themeShade="80"/>
                                          <w:sz w:val="72"/>
                                          <w:szCs w:val="400"/>
                                          <w:lang w:val="es-PE"/>
                                        </w:rPr>
                                        <w:t>Plan Nacional de Acción por la Infancia y la Adolescencia 2012 – 2021</w:t>
                                      </w:r>
                                    </w:p>
                                    <w:p w14:paraId="22F4B176" w14:textId="77777777" w:rsidR="008B2CD8" w:rsidRPr="008B2CD8" w:rsidRDefault="008B2CD8" w:rsidP="001A4D15">
                                      <w:pPr>
                                        <w:spacing w:after="0" w:line="240" w:lineRule="auto"/>
                                        <w:jc w:val="center"/>
                                        <w:rPr>
                                          <w:rFonts w:ascii="Montserrat" w:hAnsi="Montserrat" w:cs="Open Sans"/>
                                          <w:b/>
                                          <w:bCs/>
                                          <w:color w:val="1F3864" w:themeColor="accent1" w:themeShade="80"/>
                                          <w:sz w:val="24"/>
                                          <w:szCs w:val="220"/>
                                          <w:lang w:val="es-PE"/>
                                        </w:rPr>
                                      </w:pPr>
                                    </w:p>
                                    <w:p w14:paraId="6DBDD823" w14:textId="271995E0" w:rsidR="005C0C7B" w:rsidRPr="00066DB4" w:rsidRDefault="005C0C7B" w:rsidP="001A4D15">
                                      <w:pPr>
                                        <w:spacing w:after="0" w:line="240" w:lineRule="auto"/>
                                        <w:jc w:val="center"/>
                                        <w:rPr>
                                          <w:rFonts w:ascii="Montserrat" w:hAnsi="Montserrat" w:cs="Open Sans"/>
                                          <w:color w:val="AEAAAA" w:themeColor="background2" w:themeShade="BF"/>
                                          <w:sz w:val="70"/>
                                          <w:szCs w:val="420"/>
                                          <w:lang w:val="es-PE"/>
                                        </w:rPr>
                                      </w:pPr>
                                      <w:r w:rsidRPr="00066DB4">
                                        <w:rPr>
                                          <w:rFonts w:ascii="Montserrat" w:hAnsi="Montserrat" w:cs="Open Sans"/>
                                          <w:color w:val="AEAAAA" w:themeColor="background2" w:themeShade="BF"/>
                                          <w:sz w:val="70"/>
                                          <w:szCs w:val="420"/>
                                          <w:lang w:val="es-PE"/>
                                        </w:rPr>
                                        <w:t>PNAIA 2021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1" name="Rectángulo 91"/>
                                <wps:cNvSpPr/>
                                <wps:spPr>
                                  <a:xfrm>
                                    <a:off x="22865" y="6418188"/>
                                    <a:ext cx="7596186" cy="2941539"/>
                                  </a:xfrm>
                                  <a:prstGeom prst="rect">
                                    <a:avLst/>
                                  </a:prstGeom>
                                  <a:solidFill>
                                    <a:srgbClr val="E048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148E01" w14:textId="77777777" w:rsidR="005C0C7B" w:rsidRDefault="005C0C7B" w:rsidP="00F962B6">
                                      <w:pPr>
                                        <w:rPr>
                                          <w:rFonts w:ascii="Montserrat Bold" w:hAnsi="Montserrat Bold" w:cs="Open Sans"/>
                                          <w:color w:val="FFC000"/>
                                          <w:sz w:val="88"/>
                                          <w:szCs w:val="420"/>
                                          <w:lang w:val="es-PE"/>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 name="Rectángulo 92"/>
                                <wps:cNvSpPr/>
                                <wps:spPr>
                                  <a:xfrm>
                                    <a:off x="986930" y="6791326"/>
                                    <a:ext cx="4809101" cy="82067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956349" w14:textId="77777777" w:rsidR="005C0C7B" w:rsidRPr="00066DB4" w:rsidRDefault="005C0C7B" w:rsidP="00F962B6">
                                      <w:pPr>
                                        <w:rPr>
                                          <w:rFonts w:ascii="Montserrat" w:hAnsi="Montserrat" w:cs="Open Sans"/>
                                          <w:color w:val="FFFFFF" w:themeColor="background1"/>
                                          <w:sz w:val="48"/>
                                          <w:szCs w:val="44"/>
                                          <w:lang w:val="es-PE"/>
                                        </w:rPr>
                                      </w:pPr>
                                      <w:r w:rsidRPr="00066DB4">
                                        <w:rPr>
                                          <w:rFonts w:ascii="Montserrat" w:hAnsi="Montserrat" w:cs="Open Sans"/>
                                          <w:color w:val="FFFFFF" w:themeColor="background1"/>
                                          <w:sz w:val="48"/>
                                          <w:szCs w:val="44"/>
                                          <w:lang w:val="es-PE"/>
                                        </w:rPr>
                                        <w:t>Ministerio de la Mujer y Poblaciones Vulnerables</w:t>
                                      </w:r>
                                    </w:p>
                                    <w:p w14:paraId="0D0EC8DB" w14:textId="77777777" w:rsidR="005C0C7B" w:rsidRPr="00066DB4" w:rsidRDefault="005C0C7B" w:rsidP="00F962B6">
                                      <w:pPr>
                                        <w:rPr>
                                          <w:rFonts w:ascii="Montserrat" w:hAnsi="Montserrat" w:cs="Open Sans"/>
                                          <w:color w:val="FFC000"/>
                                          <w:sz w:val="88"/>
                                          <w:szCs w:val="4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 name="Rectángulo 93"/>
                                <wps:cNvSpPr/>
                                <wps:spPr>
                                  <a:xfrm>
                                    <a:off x="986937" y="7596923"/>
                                    <a:ext cx="4378164" cy="4036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50A72D" w14:textId="77777777" w:rsidR="005C0C7B" w:rsidRPr="00066DB4" w:rsidRDefault="005C0C7B" w:rsidP="00F962B6">
                                      <w:pPr>
                                        <w:rPr>
                                          <w:rFonts w:ascii="Montserrat" w:hAnsi="Montserrat" w:cs="Open Sans"/>
                                          <w:color w:val="262626" w:themeColor="text1" w:themeTint="D9"/>
                                          <w:sz w:val="80"/>
                                          <w:szCs w:val="340"/>
                                        </w:rPr>
                                      </w:pPr>
                                      <w:r w:rsidRPr="00066DB4">
                                        <w:rPr>
                                          <w:rFonts w:ascii="Montserrat" w:hAnsi="Montserrat" w:cs="Open Sans"/>
                                          <w:color w:val="262626" w:themeColor="text1" w:themeTint="D9"/>
                                          <w:sz w:val="40"/>
                                          <w:szCs w:val="28"/>
                                          <w:lang w:val="es-PE"/>
                                        </w:rPr>
                                        <w:t>Diciembre de 2021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Rectángulo 94"/>
                                <wps:cNvSpPr/>
                                <wps:spPr>
                                  <a:xfrm>
                                    <a:off x="4227437" y="8277293"/>
                                    <a:ext cx="3168079" cy="947135"/>
                                  </a:xfrm>
                                  <a:prstGeom prst="rect">
                                    <a:avLst/>
                                  </a:prstGeom>
                                  <a:solidFill>
                                    <a:srgbClr val="E048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7EA9D2" w14:textId="77777777" w:rsidR="005C0C7B" w:rsidRDefault="00354646" w:rsidP="00F962B6">
                                      <w:pPr>
                                        <w:jc w:val="right"/>
                                        <w:rPr>
                                          <w:rFonts w:ascii="Montserrat Bold" w:hAnsi="Montserrat Bold" w:cs="Open Sans"/>
                                          <w:color w:val="262626" w:themeColor="text1" w:themeTint="D9"/>
                                          <w:sz w:val="80"/>
                                          <w:szCs w:val="340"/>
                                        </w:rPr>
                                      </w:pPr>
                                      <w:r>
                                        <w:rPr>
                                          <w:rFonts w:ascii="Times New Roman" w:eastAsiaTheme="minorHAnsi" w:hAnsi="Times New Roman" w:cs="Times New Roman"/>
                                          <w:sz w:val="20"/>
                                          <w:szCs w:val="20"/>
                                          <w:lang w:eastAsia="es-MX"/>
                                        </w:rPr>
                                        <w:pict w14:anchorId="49804F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0" o:spid="_x0000_i1026" type="#_x0000_t75" style="width:163.2pt;height:71.4pt;visibility:visible;mso-wrap-style:square">
                                            <v:imagedata r:id="rId9" o:title=""/>
                                          </v:shape>
                                        </w:pic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 name="Imagen 95"/>
                                  <pic:cNvPicPr>
                                    <a:picLocks noChangeAspect="1"/>
                                  </pic:cNvPicPr>
                                </pic:nvPicPr>
                                <pic:blipFill rotWithShape="1">
                                  <a:blip r:embed="rId10" cstate="print">
                                    <a:extLst>
                                      <a:ext uri="{28A0092B-C50C-407E-A947-70E740481C1C}">
                                        <a14:useLocalDpi xmlns:a14="http://schemas.microsoft.com/office/drawing/2010/main" val="0"/>
                                      </a:ext>
                                    </a:extLst>
                                  </a:blip>
                                  <a:srcRect t="26996" b="27419"/>
                                  <a:stretch/>
                                </pic:blipFill>
                                <pic:spPr bwMode="auto">
                                  <a:xfrm>
                                    <a:off x="733824" y="226469"/>
                                    <a:ext cx="2970124" cy="718580"/>
                                  </a:xfrm>
                                  <a:prstGeom prst="rect">
                                    <a:avLst/>
                                  </a:prstGeom>
                                  <a:ln>
                                    <a:noFill/>
                                  </a:ln>
                                  <a:extLst>
                                    <a:ext uri="{53640926-AAD7-44D8-BBD7-CCE9431645EC}">
                                      <a14:shadowObscured xmlns:a14="http://schemas.microsoft.com/office/drawing/2010/main"/>
                                    </a:ext>
                                  </a:extLst>
                                </pic:spPr>
                              </pic:pic>
                              <wps:wsp>
                                <wps:cNvPr id="96" name="Rectángulo 96"/>
                                <wps:cNvSpPr/>
                                <wps:spPr>
                                  <a:xfrm>
                                    <a:off x="1070297" y="1530220"/>
                                    <a:ext cx="5704035" cy="47362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0FA44" w14:textId="77777777" w:rsidR="005C0C7B" w:rsidRPr="00066DB4" w:rsidRDefault="005C0C7B" w:rsidP="00F962B6">
                                      <w:pPr>
                                        <w:rPr>
                                          <w:rFonts w:ascii="Montserrat" w:hAnsi="Montserrat" w:cs="Open Sans"/>
                                          <w:color w:val="3B3838" w:themeColor="background2" w:themeShade="40"/>
                                          <w:sz w:val="48"/>
                                          <w:szCs w:val="44"/>
                                          <w:lang w:val="es-PE"/>
                                        </w:rPr>
                                      </w:pPr>
                                      <w:r w:rsidRPr="00066DB4">
                                        <w:rPr>
                                          <w:rFonts w:ascii="Montserrat" w:hAnsi="Montserrat" w:cs="Open Sans"/>
                                          <w:color w:val="3B3838" w:themeColor="background2" w:themeShade="40"/>
                                          <w:sz w:val="48"/>
                                          <w:szCs w:val="44"/>
                                          <w:lang w:val="es-PE"/>
                                        </w:rPr>
                                        <w:t>INFORME DE EVALUACIÓN FINAL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84" name="Conector recto 84"/>
                              <wps:cNvCnPr/>
                              <wps:spPr>
                                <a:xfrm>
                                  <a:off x="187846" y="2076273"/>
                                  <a:ext cx="7298278" cy="0"/>
                                </a:xfrm>
                                <a:prstGeom prst="line">
                                  <a:avLst/>
                                </a:prstGeom>
                                <a:ln w="38100" cap="rnd">
                                  <a:solidFill>
                                    <a:srgbClr val="E04848"/>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page">
                      <wp14:pctHeight>0</wp14:pctHeight>
                    </wp14:sizeRelV>
                  </wp:anchor>
                </w:drawing>
              </mc:Choice>
              <mc:Fallback>
                <w:pict>
                  <v:group w14:anchorId="18600BC6" id="Grupo 1" o:spid="_x0000_s1026" style="position:absolute;margin-left:-86.25pt;margin-top:-74.45pt;width:599.25pt;height:850.35pt;z-index:251663360;mso-position-horizontal-relative:margin;mso-position-vertical-relative:margin;mso-width-relative:margin" coordorigin="105" coordsize="76132,107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">
                    <v:rect id="Rectángulo 81" o:spid="_x0000_s1027" style="position:absolute;left:408;width:75597;height:107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" fillcolor="#f7f7f7" stroked="f" strokeweight="1pt"/>
                    <v:group id="Grupo 82" o:spid="_x0000_s1028" style="position:absolute;left:105;top:422;width:76132;height:107085" coordorigin="105,422" coordsize="76133,9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upo 83" o:spid="_x0000_s1029" style="position:absolute;left:105;top:422;width:76134;height:95745" coordorigin="105,422" coordsize="76133,9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Rectángulo 100" o:spid="_x0000_s1030" style="position:absolute;left:105;top:4778;width:75960;height:59434;visibility:visible;mso-wrap-style:square;v-text-anchor:middle" coordsize="7651115,64797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" adj="-11796480,,5400" path="m,c2641807,3053017,5695108,3444692,7651115,2977269r,3499543c7422303,6466770,7193492,6486854,6964680,6476812l8,6479710c3,4336013,5,2143697,,xe" fillcolor="#dcdcdc" stroked="f" strokeweight="1pt">
                          <v:stroke joinstyle="miter"/>
                          <v:formulas/>
                          <v:path arrowok="t" o:connecttype="custom" o:connectlocs="0,0;7596000,2730870;7596000,5940791;6914510,5940791;8,5943449;0,0" o:connectangles="0,0,0,0,0,0" textboxrect="0,0,7651115,6479710"/>
                          <v:textbox>
                            <w:txbxContent>
                              <w:p w14:paraId="37B068E6" w14:textId="77777777" w:rsidR="005C0C7B" w:rsidRDefault="005C0C7B" w:rsidP="00F962B6">
                                <w:pPr>
                                  <w:rPr>
                                    <w:rFonts w:ascii="Montserrat Bold" w:hAnsi="Montserrat Bold" w:cs="Open Sans"/>
                                    <w:color w:val="FFC000"/>
                                    <w:sz w:val="88"/>
                                    <w:szCs w:val="420"/>
                                    <w:lang w:val="es-PE"/>
                                  </w:rPr>
                                </w:pPr>
                              </w:p>
                            </w:txbxContent>
                          </v:textbox>
                        </v:shape>
                        <v:rect id="Rectángulo 86" o:spid="_x0000_s1031" style="position:absolute;left:14160;top:422;width:41040;height:1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" fillcolor="#e04848" stroked="f" strokeweight="1pt"/>
                        <v:rect id="Rectángulo 87" o:spid="_x0000_s1032" style="position:absolute;left:256;top:93592;width:75983;height:2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" fillcolor="#ffc000" stroked="f" strokeweight="1pt">
                          <v:textbox>
                            <w:txbxContent>
                              <w:p w14:paraId="0E8DD586" w14:textId="77777777" w:rsidR="005C0C7B" w:rsidRDefault="005C0C7B" w:rsidP="00F962B6">
                                <w:pPr>
                                  <w:rPr>
                                    <w:rFonts w:ascii="Montserrat Bold" w:hAnsi="Montserrat Bold" w:cs="Open Sans"/>
                                    <w:color w:val="FFC000"/>
                                    <w:sz w:val="88"/>
                                    <w:szCs w:val="420"/>
                                    <w:lang w:val="es-PE"/>
                                  </w:rPr>
                                </w:pPr>
                              </w:p>
                            </w:txbxContent>
                          </v:textbox>
                        </v:rect>
                        <v:shape id="Rectángulo 100" o:spid="_x0000_s1033" style="position:absolute;left:112;top:5728;width:75960;height:59435;visibility:visible;mso-wrap-style:square;v-text-anchor:middle" coordsize="7651115,64797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" adj="-11796480,,5400" path="m,c2641807,3053017,5695108,4663721,7651115,4196298r,2280514c7422303,6466770,7193492,6486854,6964680,6476812l8,6479710c3,4336013,5,2143697,,xe" fillcolor="#e6e6e6" stroked="f" strokeweight="1pt">
                          <v:stroke joinstyle="miter"/>
                          <v:formulas/>
                          <v:path arrowok="t" o:connecttype="custom" o:connectlocs="0,0;7596000,3849012;7596000,5940791;6914510,5940791;8,5943449;0,0" o:connectangles="0,0,0,0,0,0" textboxrect="0,0,7651115,6479710"/>
                          <v:textbox>
                            <w:txbxContent>
                              <w:p w14:paraId="62C72F83" w14:textId="77777777" w:rsidR="005C0C7B" w:rsidRDefault="005C0C7B" w:rsidP="00F962B6">
                                <w:pPr>
                                  <w:rPr>
                                    <w:rFonts w:ascii="Montserrat Bold" w:hAnsi="Montserrat Bold" w:cs="Open Sans"/>
                                    <w:color w:val="FFC000"/>
                                    <w:sz w:val="88"/>
                                    <w:szCs w:val="420"/>
                                    <w:lang w:val="es-PE"/>
                                  </w:rPr>
                                </w:pPr>
                              </w:p>
                            </w:txbxContent>
                          </v:textbox>
                        </v:shape>
                        <v:shape id="Rectángulo 100" o:spid="_x0000_s1034" style="position:absolute;left:427;top:7499;width:75588;height:56710;visibility:visible;mso-wrap-style:square;v-text-anchor:middle" coordsize="7651115,64797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" adj="-11796480,,5400" path="m,c2641807,3053017,5695108,5698339,7651115,5230916r,1245896c7422303,6466770,7193492,6486854,6964680,6476812l8,6479710c3,4336013,5,2143697,,xe" fillcolor="#f2f2f2 [3052]" stroked="f" strokeweight="1pt">
                          <v:stroke joinstyle="miter"/>
                          <v:formulas/>
                          <v:path arrowok="t" o:connecttype="custom" o:connectlocs="0,0;7558763,4578056;7558763,5668454;6880614,5668454;8,5670990;0,0" o:connectangles="0,0,0,0,0,0" textboxrect="0,0,7651115,6479710"/>
                          <v:textbox>
                            <w:txbxContent>
                              <w:p w14:paraId="76C9D20B" w14:textId="77777777" w:rsidR="005C0C7B" w:rsidRDefault="005C0C7B" w:rsidP="00F962B6">
                                <w:pPr>
                                  <w:rPr>
                                    <w:rFonts w:ascii="Montserrat Bold" w:hAnsi="Montserrat Bold" w:cs="Open Sans"/>
                                    <w:color w:val="FFC000"/>
                                    <w:sz w:val="88"/>
                                    <w:szCs w:val="420"/>
                                    <w:lang w:val="es-PE"/>
                                  </w:rPr>
                                </w:pPr>
                              </w:p>
                            </w:txbxContent>
                          </v:textbox>
                        </v:shape>
                        <v:rect id="Rectángulo 90" o:spid="_x0000_s1035" style="position:absolute;left:5651;top:21544;width:65748;height:39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" filled="f" stroked="f" strokeweight="1pt">
                          <v:textbox>
                            <w:txbxContent>
                              <w:p w14:paraId="3FECB7A9" w14:textId="3255DC64" w:rsidR="005C0C7B" w:rsidRDefault="005C0C7B" w:rsidP="001A4D15">
                                <w:pPr>
                                  <w:spacing w:after="0" w:line="240" w:lineRule="auto"/>
                                  <w:jc w:val="center"/>
                                  <w:rPr>
                                    <w:rFonts w:ascii="Montserrat" w:hAnsi="Montserrat" w:cs="Open Sans"/>
                                    <w:b/>
                                    <w:bCs/>
                                    <w:color w:val="1F3864" w:themeColor="accent1" w:themeShade="80"/>
                                    <w:sz w:val="72"/>
                                    <w:szCs w:val="400"/>
                                    <w:lang w:val="es-PE"/>
                                  </w:rPr>
                                </w:pPr>
                                <w:r w:rsidRPr="008E112D">
                                  <w:rPr>
                                    <w:rFonts w:ascii="Montserrat" w:hAnsi="Montserrat" w:cs="Open Sans"/>
                                    <w:b/>
                                    <w:bCs/>
                                    <w:color w:val="1F3864" w:themeColor="accent1" w:themeShade="80"/>
                                    <w:sz w:val="72"/>
                                    <w:szCs w:val="400"/>
                                    <w:lang w:val="es-PE"/>
                                  </w:rPr>
                                  <w:t>Plan Nacional de Acción por la Infancia y la Adolescencia 2012 – 2021</w:t>
                                </w:r>
                              </w:p>
                              <w:p w14:paraId="22F4B176" w14:textId="77777777" w:rsidR="008B2CD8" w:rsidRPr="008B2CD8" w:rsidRDefault="008B2CD8" w:rsidP="001A4D15">
                                <w:pPr>
                                  <w:spacing w:after="0" w:line="240" w:lineRule="auto"/>
                                  <w:jc w:val="center"/>
                                  <w:rPr>
                                    <w:rFonts w:ascii="Montserrat" w:hAnsi="Montserrat" w:cs="Open Sans"/>
                                    <w:b/>
                                    <w:bCs/>
                                    <w:color w:val="1F3864" w:themeColor="accent1" w:themeShade="80"/>
                                    <w:sz w:val="24"/>
                                    <w:szCs w:val="220"/>
                                    <w:lang w:val="es-PE"/>
                                  </w:rPr>
                                </w:pPr>
                              </w:p>
                              <w:p w14:paraId="6DBDD823" w14:textId="271995E0" w:rsidR="005C0C7B" w:rsidRPr="00066DB4" w:rsidRDefault="005C0C7B" w:rsidP="001A4D15">
                                <w:pPr>
                                  <w:spacing w:after="0" w:line="240" w:lineRule="auto"/>
                                  <w:jc w:val="center"/>
                                  <w:rPr>
                                    <w:rFonts w:ascii="Montserrat" w:hAnsi="Montserrat" w:cs="Open Sans"/>
                                    <w:color w:val="AEAAAA" w:themeColor="background2" w:themeShade="BF"/>
                                    <w:sz w:val="70"/>
                                    <w:szCs w:val="420"/>
                                    <w:lang w:val="es-PE"/>
                                  </w:rPr>
                                </w:pPr>
                                <w:r w:rsidRPr="00066DB4">
                                  <w:rPr>
                                    <w:rFonts w:ascii="Montserrat" w:hAnsi="Montserrat" w:cs="Open Sans"/>
                                    <w:color w:val="AEAAAA" w:themeColor="background2" w:themeShade="BF"/>
                                    <w:sz w:val="70"/>
                                    <w:szCs w:val="420"/>
                                    <w:lang w:val="es-PE"/>
                                  </w:rPr>
                                  <w:t>PNAIA 2021</w:t>
                                </w:r>
                              </w:p>
                            </w:txbxContent>
                          </v:textbox>
                        </v:rect>
                        <v:rect id="Rectángulo 91" o:spid="_x0000_s1036" style="position:absolute;left:228;top:64181;width:75962;height:29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" fillcolor="#e04848" stroked="f" strokeweight="1pt">
                          <v:textbox>
                            <w:txbxContent>
                              <w:p w14:paraId="73148E01" w14:textId="77777777" w:rsidR="005C0C7B" w:rsidRDefault="005C0C7B" w:rsidP="00F962B6">
                                <w:pPr>
                                  <w:rPr>
                                    <w:rFonts w:ascii="Montserrat Bold" w:hAnsi="Montserrat Bold" w:cs="Open Sans"/>
                                    <w:color w:val="FFC000"/>
                                    <w:sz w:val="88"/>
                                    <w:szCs w:val="420"/>
                                    <w:lang w:val="es-PE"/>
                                  </w:rPr>
                                </w:pPr>
                              </w:p>
                            </w:txbxContent>
                          </v:textbox>
                        </v:rect>
                        <v:rect id="Rectángulo 92" o:spid="_x0000_s1037" style="position:absolute;left:9869;top:67913;width:48091;height:8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" filled="f" stroked="f" strokeweight="1pt">
                          <v:textbox>
                            <w:txbxContent>
                              <w:p w14:paraId="5B956349" w14:textId="77777777" w:rsidR="005C0C7B" w:rsidRPr="00066DB4" w:rsidRDefault="005C0C7B" w:rsidP="00F962B6">
                                <w:pPr>
                                  <w:rPr>
                                    <w:rFonts w:ascii="Montserrat" w:hAnsi="Montserrat" w:cs="Open Sans"/>
                                    <w:color w:val="FFFFFF" w:themeColor="background1"/>
                                    <w:sz w:val="48"/>
                                    <w:szCs w:val="44"/>
                                    <w:lang w:val="es-PE"/>
                                  </w:rPr>
                                </w:pPr>
                                <w:r w:rsidRPr="00066DB4">
                                  <w:rPr>
                                    <w:rFonts w:ascii="Montserrat" w:hAnsi="Montserrat" w:cs="Open Sans"/>
                                    <w:color w:val="FFFFFF" w:themeColor="background1"/>
                                    <w:sz w:val="48"/>
                                    <w:szCs w:val="44"/>
                                    <w:lang w:val="es-PE"/>
                                  </w:rPr>
                                  <w:t>Ministerio de la Mujer y Poblaciones Vulnerables</w:t>
                                </w:r>
                              </w:p>
                              <w:p w14:paraId="0D0EC8DB" w14:textId="77777777" w:rsidR="005C0C7B" w:rsidRPr="00066DB4" w:rsidRDefault="005C0C7B" w:rsidP="00F962B6">
                                <w:pPr>
                                  <w:rPr>
                                    <w:rFonts w:ascii="Montserrat" w:hAnsi="Montserrat" w:cs="Open Sans"/>
                                    <w:color w:val="FFC000"/>
                                    <w:sz w:val="88"/>
                                    <w:szCs w:val="420"/>
                                  </w:rPr>
                                </w:pPr>
                              </w:p>
                            </w:txbxContent>
                          </v:textbox>
                        </v:rect>
                        <v:rect id="Rectángulo 93" o:spid="_x0000_s1038" style="position:absolute;left:9869;top:75969;width:43782;height:4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" filled="f" stroked="f" strokeweight="1pt">
                          <v:textbox>
                            <w:txbxContent>
                              <w:p w14:paraId="1E50A72D" w14:textId="77777777" w:rsidR="005C0C7B" w:rsidRPr="00066DB4" w:rsidRDefault="005C0C7B" w:rsidP="00F962B6">
                                <w:pPr>
                                  <w:rPr>
                                    <w:rFonts w:ascii="Montserrat" w:hAnsi="Montserrat" w:cs="Open Sans"/>
                                    <w:color w:val="262626" w:themeColor="text1" w:themeTint="D9"/>
                                    <w:sz w:val="80"/>
                                    <w:szCs w:val="340"/>
                                  </w:rPr>
                                </w:pPr>
                                <w:r w:rsidRPr="00066DB4">
                                  <w:rPr>
                                    <w:rFonts w:ascii="Montserrat" w:hAnsi="Montserrat" w:cs="Open Sans"/>
                                    <w:color w:val="262626" w:themeColor="text1" w:themeTint="D9"/>
                                    <w:sz w:val="40"/>
                                    <w:szCs w:val="28"/>
                                    <w:lang w:val="es-PE"/>
                                  </w:rPr>
                                  <w:t>Diciembre de 2021</w:t>
                                </w:r>
                              </w:p>
                            </w:txbxContent>
                          </v:textbox>
                        </v:rect>
                        <v:rect id="Rectángulo 94" o:spid="_x0000_s1039" style="position:absolute;left:42274;top:82772;width:31681;height:9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" fillcolor="#e04848" stroked="f" strokeweight="1pt">
                          <v:textbox>
                            <w:txbxContent>
                              <w:p w14:paraId="5A7EA9D2" w14:textId="77777777" w:rsidR="005C0C7B" w:rsidRDefault="00455CC3" w:rsidP="00F962B6">
                                <w:pPr>
                                  <w:jc w:val="right"/>
                                  <w:rPr>
                                    <w:rFonts w:ascii="Montserrat Bold" w:hAnsi="Montserrat Bold" w:cs="Open Sans"/>
                                    <w:color w:val="262626" w:themeColor="text1" w:themeTint="D9"/>
                                    <w:sz w:val="80"/>
                                    <w:szCs w:val="340"/>
                                  </w:rPr>
                                </w:pPr>
                                <w:r>
                                  <w:rPr>
                                    <w:rFonts w:ascii="Times New Roman" w:eastAsiaTheme="minorHAnsi" w:hAnsi="Times New Roman" w:cs="Times New Roman"/>
                                    <w:sz w:val="20"/>
                                    <w:szCs w:val="20"/>
                                    <w:lang w:eastAsia="es-MX"/>
                                  </w:rPr>
                                  <w:pict w14:anchorId="49804FB5">
                                    <v:shape id="Imagen 30" o:spid="_x0000_i1026" type="#_x0000_t75" style="width:163.5pt;height:71.25pt;visibility:visible;mso-wrap-style:square">
                                      <v:imagedata r:id="rId11" o:title=""/>
                                    </v:shape>
                                  </w:pict>
                                </w:r>
                              </w:p>
                            </w:txbxContent>
                          </v:textbox>
                        </v:rect>
                        <v:shape id="Imagen 95" o:spid="_x0000_s1040" type="#_x0000_t75" style="position:absolute;left:7338;top:2264;width:29701;height:7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">
                          <v:imagedata r:id="rId12" o:title="" croptop="17692f" cropbottom="17969f"/>
                        </v:shape>
                        <v:rect id="Rectángulo 96" o:spid="_x0000_s1041" style="position:absolute;left:10702;top:15302;width:57041;height:4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" filled="f" stroked="f" strokeweight="1pt">
                          <v:textbox>
                            <w:txbxContent>
                              <w:p w14:paraId="35F0FA44" w14:textId="77777777" w:rsidR="005C0C7B" w:rsidRPr="00066DB4" w:rsidRDefault="005C0C7B" w:rsidP="00F962B6">
                                <w:pPr>
                                  <w:rPr>
                                    <w:rFonts w:ascii="Montserrat" w:hAnsi="Montserrat" w:cs="Open Sans"/>
                                    <w:color w:val="3B3838" w:themeColor="background2" w:themeShade="40"/>
                                    <w:sz w:val="48"/>
                                    <w:szCs w:val="44"/>
                                    <w:lang w:val="es-PE"/>
                                  </w:rPr>
                                </w:pPr>
                                <w:r w:rsidRPr="00066DB4">
                                  <w:rPr>
                                    <w:rFonts w:ascii="Montserrat" w:hAnsi="Montserrat" w:cs="Open Sans"/>
                                    <w:color w:val="3B3838" w:themeColor="background2" w:themeShade="40"/>
                                    <w:sz w:val="48"/>
                                    <w:szCs w:val="44"/>
                                    <w:lang w:val="es-PE"/>
                                  </w:rPr>
                                  <w:t>INFORME DE EVALUACIÓN FINAL</w:t>
                                </w:r>
                              </w:p>
                            </w:txbxContent>
                          </v:textbox>
                        </v:rect>
                      </v:group>
                      <v:line id="Conector recto 84" o:spid="_x0000_s1042" style="position:absolute;visibility:visible;mso-wrap-style:square" from="1878,20762" to="74861,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" strokecolor="#e04848" strokeweight="3pt">
                        <v:stroke joinstyle="miter" endcap="round"/>
                      </v:line>
                    </v:group>
                    <w10:wrap type="square" anchorx="margin" anchory="margin"/>
                  </v:group>
                </w:pict>
              </mc:Fallback>
            </mc:AlternateContent>
          </w:r>
        </w:p>
        <w:p w14:paraId="00000001" w14:textId="0505A15D" w:rsidR="0086134F" w:rsidRDefault="00354646"/>
      </w:sdtContent>
    </w:sdt>
    <w:p w14:paraId="6C82183D" w14:textId="77777777" w:rsidR="00971081" w:rsidRDefault="00971081"/>
    <w:p w14:paraId="00000002" w14:textId="02315C6A" w:rsidR="00971081" w:rsidRDefault="005C0C7B">
      <w:pPr>
        <w:spacing w:after="120" w:line="240" w:lineRule="auto"/>
        <w:jc w:val="center"/>
        <w:rPr>
          <w:b/>
        </w:rPr>
      </w:pPr>
      <w:r>
        <w:rPr>
          <w:noProof/>
          <w:lang w:val="en-GB" w:eastAsia="en-GB"/>
        </w:rPr>
        <mc:AlternateContent>
          <mc:Choice Requires="wps">
            <w:drawing>
              <wp:anchor distT="0" distB="0" distL="114300" distR="114300" simplePos="0" relativeHeight="251658240" behindDoc="0" locked="0" layoutInCell="1" hidden="0" allowOverlap="1" wp14:anchorId="36B62A07" wp14:editId="0921A64F">
                <wp:simplePos x="0" y="0"/>
                <wp:positionH relativeFrom="margin">
                  <wp:posOffset>861695</wp:posOffset>
                </wp:positionH>
                <wp:positionV relativeFrom="paragraph">
                  <wp:posOffset>157480</wp:posOffset>
                </wp:positionV>
                <wp:extent cx="3975100" cy="685800"/>
                <wp:effectExtent l="0" t="0" r="6350" b="0"/>
                <wp:wrapNone/>
                <wp:docPr id="320" name="Rectángulo 320"/>
                <wp:cNvGraphicFramePr/>
                <a:graphic xmlns:a="http://schemas.openxmlformats.org/drawingml/2006/main">
                  <a:graphicData uri="http://schemas.microsoft.com/office/word/2010/wordprocessingShape">
                    <wps:wsp>
                      <wps:cNvSpPr/>
                      <wps:spPr>
                        <a:xfrm>
                          <a:off x="0" y="0"/>
                          <a:ext cx="3975100" cy="685800"/>
                        </a:xfrm>
                        <a:prstGeom prst="rect">
                          <a:avLst/>
                        </a:prstGeom>
                        <a:solidFill>
                          <a:schemeClr val="lt1"/>
                        </a:solidFill>
                        <a:ln>
                          <a:noFill/>
                        </a:ln>
                      </wps:spPr>
                      <wps:txbx>
                        <w:txbxContent>
                          <w:p w14:paraId="27A171C8" w14:textId="77777777" w:rsidR="005C0C7B" w:rsidRPr="00682A50" w:rsidRDefault="005C0C7B">
                            <w:pPr>
                              <w:spacing w:line="258" w:lineRule="auto"/>
                              <w:jc w:val="center"/>
                              <w:textDirection w:val="btLr"/>
                              <w:rPr>
                                <w:rFonts w:ascii="Montserrat" w:hAnsi="Montserrat"/>
                              </w:rPr>
                            </w:pPr>
                            <w:r w:rsidRPr="00682A50">
                              <w:rPr>
                                <w:rFonts w:ascii="Montserrat" w:eastAsia="Arial Narrow" w:hAnsi="Montserrat" w:cs="Arial Narrow"/>
                                <w:b/>
                                <w:color w:val="000000"/>
                                <w:sz w:val="40"/>
                              </w:rPr>
                              <w:t>INFORME DE EVALUACIÓN FINAL</w:t>
                            </w:r>
                          </w:p>
                          <w:p w14:paraId="7796E09E" w14:textId="77777777" w:rsidR="005C0C7B" w:rsidRDefault="005C0C7B">
                            <w:pPr>
                              <w:spacing w:line="258" w:lineRule="auto"/>
                              <w:jc w:val="cente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6B62A07" id="Rectángulo 320" o:spid="_x0000_s1043" style="position:absolute;left:0;text-align:left;margin-left:67.85pt;margin-top:12.4pt;width:313pt;height:54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" fillcolor="white [3201]" stroked="f">
                <v:textbox inset="2.53958mm,1.2694mm,2.53958mm,1.2694mm">
                  <w:txbxContent>
                    <w:p w14:paraId="27A171C8" w14:textId="77777777" w:rsidR="005C0C7B" w:rsidRPr="00682A50" w:rsidRDefault="005C0C7B">
                      <w:pPr>
                        <w:spacing w:line="258" w:lineRule="auto"/>
                        <w:jc w:val="center"/>
                        <w:textDirection w:val="btLr"/>
                        <w:rPr>
                          <w:rFonts w:ascii="Montserrat" w:hAnsi="Montserrat"/>
                        </w:rPr>
                      </w:pPr>
                      <w:r w:rsidRPr="00682A50">
                        <w:rPr>
                          <w:rFonts w:ascii="Montserrat" w:eastAsia="Arial Narrow" w:hAnsi="Montserrat" w:cs="Arial Narrow"/>
                          <w:b/>
                          <w:color w:val="000000"/>
                          <w:sz w:val="40"/>
                        </w:rPr>
                        <w:t>INFORME DE EVALUACIÓN FINAL</w:t>
                      </w:r>
                    </w:p>
                    <w:p w14:paraId="7796E09E" w14:textId="77777777" w:rsidR="005C0C7B" w:rsidRDefault="005C0C7B">
                      <w:pPr>
                        <w:spacing w:line="258" w:lineRule="auto"/>
                        <w:jc w:val="center"/>
                        <w:textDirection w:val="btLr"/>
                      </w:pPr>
                    </w:p>
                  </w:txbxContent>
                </v:textbox>
                <w10:wrap anchorx="margin"/>
              </v:rect>
            </w:pict>
          </mc:Fallback>
        </mc:AlternateContent>
      </w:r>
    </w:p>
    <w:p w14:paraId="00000003" w14:textId="540FEE2F" w:rsidR="00971081" w:rsidRDefault="00971081">
      <w:pPr>
        <w:spacing w:after="120" w:line="240" w:lineRule="auto"/>
        <w:jc w:val="center"/>
        <w:rPr>
          <w:b/>
        </w:rPr>
      </w:pPr>
    </w:p>
    <w:p w14:paraId="00000004" w14:textId="46405AAC" w:rsidR="00971081" w:rsidRDefault="00971081">
      <w:pPr>
        <w:spacing w:after="120" w:line="240" w:lineRule="auto"/>
        <w:jc w:val="center"/>
        <w:rPr>
          <w:b/>
        </w:rPr>
      </w:pPr>
    </w:p>
    <w:p w14:paraId="00000005" w14:textId="77777777" w:rsidR="00971081" w:rsidRDefault="00971081">
      <w:pPr>
        <w:spacing w:after="120" w:line="240" w:lineRule="auto"/>
        <w:jc w:val="center"/>
        <w:rPr>
          <w:b/>
        </w:rPr>
      </w:pPr>
    </w:p>
    <w:p w14:paraId="00000006" w14:textId="77777777" w:rsidR="00971081" w:rsidRDefault="00971081">
      <w:pPr>
        <w:spacing w:after="120" w:line="240" w:lineRule="auto"/>
        <w:jc w:val="center"/>
        <w:rPr>
          <w:b/>
        </w:rPr>
      </w:pPr>
    </w:p>
    <w:p w14:paraId="00000007" w14:textId="63AEB0D5" w:rsidR="00971081" w:rsidRDefault="0047192D">
      <w:pPr>
        <w:spacing w:after="120" w:line="240" w:lineRule="auto"/>
        <w:jc w:val="center"/>
        <w:rPr>
          <w:b/>
        </w:rPr>
      </w:pPr>
      <w:r>
        <w:rPr>
          <w:noProof/>
          <w:lang w:val="en-GB" w:eastAsia="en-GB"/>
        </w:rPr>
        <mc:AlternateContent>
          <mc:Choice Requires="wps">
            <w:drawing>
              <wp:anchor distT="0" distB="0" distL="114300" distR="114300" simplePos="0" relativeHeight="251659264" behindDoc="0" locked="0" layoutInCell="1" hidden="0" allowOverlap="1" wp14:anchorId="400A1AAD" wp14:editId="1815D5BB">
                <wp:simplePos x="0" y="0"/>
                <wp:positionH relativeFrom="margin">
                  <wp:posOffset>504190</wp:posOffset>
                </wp:positionH>
                <wp:positionV relativeFrom="paragraph">
                  <wp:posOffset>461010</wp:posOffset>
                </wp:positionV>
                <wp:extent cx="4524375" cy="1771650"/>
                <wp:effectExtent l="0" t="0" r="9525" b="0"/>
                <wp:wrapNone/>
                <wp:docPr id="323" name="Rectángulo 323"/>
                <wp:cNvGraphicFramePr/>
                <a:graphic xmlns:a="http://schemas.openxmlformats.org/drawingml/2006/main">
                  <a:graphicData uri="http://schemas.microsoft.com/office/word/2010/wordprocessingShape">
                    <wps:wsp>
                      <wps:cNvSpPr/>
                      <wps:spPr>
                        <a:xfrm>
                          <a:off x="0" y="0"/>
                          <a:ext cx="4524375" cy="1771650"/>
                        </a:xfrm>
                        <a:prstGeom prst="rect">
                          <a:avLst/>
                        </a:prstGeom>
                        <a:solidFill>
                          <a:schemeClr val="lt1"/>
                        </a:solidFill>
                        <a:ln>
                          <a:noFill/>
                        </a:ln>
                      </wps:spPr>
                      <wps:txbx>
                        <w:txbxContent>
                          <w:p w14:paraId="65E36411" w14:textId="77777777" w:rsidR="005C0C7B" w:rsidRPr="00682A50" w:rsidRDefault="005C0C7B">
                            <w:pPr>
                              <w:spacing w:line="258" w:lineRule="auto"/>
                              <w:jc w:val="center"/>
                              <w:textDirection w:val="btLr"/>
                              <w:rPr>
                                <w:rFonts w:ascii="Montserrat" w:hAnsi="Montserrat"/>
                              </w:rPr>
                            </w:pPr>
                            <w:r w:rsidRPr="00682A50">
                              <w:rPr>
                                <w:rFonts w:ascii="Montserrat" w:eastAsia="Arial Narrow" w:hAnsi="Montserrat" w:cs="Arial Narrow"/>
                                <w:b/>
                                <w:color w:val="002060"/>
                                <w:sz w:val="48"/>
                              </w:rPr>
                              <w:t>Plan Nacional de Acción por la Infancia y la Adolescencia 2012 – 2021</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00A1AAD" id="Rectángulo 323" o:spid="_x0000_s1044" style="position:absolute;left:0;text-align:left;margin-left:39.7pt;margin-top:36.3pt;width:356.25pt;height:13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" fillcolor="white [3201]" stroked="f">
                <v:textbox inset="2.53958mm,1.2694mm,2.53958mm,1.2694mm">
                  <w:txbxContent>
                    <w:p w14:paraId="65E36411" w14:textId="77777777" w:rsidR="005C0C7B" w:rsidRPr="00682A50" w:rsidRDefault="005C0C7B">
                      <w:pPr>
                        <w:spacing w:line="258" w:lineRule="auto"/>
                        <w:jc w:val="center"/>
                        <w:textDirection w:val="btLr"/>
                        <w:rPr>
                          <w:rFonts w:ascii="Montserrat" w:hAnsi="Montserrat"/>
                        </w:rPr>
                      </w:pPr>
                      <w:r w:rsidRPr="00682A50">
                        <w:rPr>
                          <w:rFonts w:ascii="Montserrat" w:eastAsia="Arial Narrow" w:hAnsi="Montserrat" w:cs="Arial Narrow"/>
                          <w:b/>
                          <w:color w:val="002060"/>
                          <w:sz w:val="48"/>
                        </w:rPr>
                        <w:t>Plan Nacional de Acción por la Infancia y la Adolescencia 2012 – 2021</w:t>
                      </w:r>
                    </w:p>
                  </w:txbxContent>
                </v:textbox>
                <w10:wrap anchorx="margin"/>
              </v:rect>
            </w:pict>
          </mc:Fallback>
        </mc:AlternateContent>
      </w:r>
      <w:r w:rsidR="00682A50">
        <w:rPr>
          <w:noProof/>
          <w:lang w:val="en-GB" w:eastAsia="en-GB"/>
        </w:rPr>
        <mc:AlternateContent>
          <mc:Choice Requires="wps">
            <w:drawing>
              <wp:anchor distT="0" distB="0" distL="114300" distR="114300" simplePos="0" relativeHeight="251660288" behindDoc="0" locked="0" layoutInCell="1" hidden="0" allowOverlap="1" wp14:anchorId="466C33C0" wp14:editId="5F6507E2">
                <wp:simplePos x="0" y="0"/>
                <wp:positionH relativeFrom="margin">
                  <wp:align>center</wp:align>
                </wp:positionH>
                <wp:positionV relativeFrom="paragraph">
                  <wp:posOffset>2581910</wp:posOffset>
                </wp:positionV>
                <wp:extent cx="4133850" cy="1247775"/>
                <wp:effectExtent l="0" t="0" r="0" b="9525"/>
                <wp:wrapNone/>
                <wp:docPr id="322" name="Rectángulo 322"/>
                <wp:cNvGraphicFramePr/>
                <a:graphic xmlns:a="http://schemas.openxmlformats.org/drawingml/2006/main">
                  <a:graphicData uri="http://schemas.microsoft.com/office/word/2010/wordprocessingShape">
                    <wps:wsp>
                      <wps:cNvSpPr/>
                      <wps:spPr>
                        <a:xfrm>
                          <a:off x="0" y="0"/>
                          <a:ext cx="4133850" cy="1247775"/>
                        </a:xfrm>
                        <a:prstGeom prst="rect">
                          <a:avLst/>
                        </a:prstGeom>
                        <a:solidFill>
                          <a:schemeClr val="lt1"/>
                        </a:solidFill>
                        <a:ln>
                          <a:noFill/>
                        </a:ln>
                      </wps:spPr>
                      <wps:txbx>
                        <w:txbxContent>
                          <w:p w14:paraId="03BAEFF3" w14:textId="77777777" w:rsidR="005C0C7B" w:rsidRPr="00156027" w:rsidRDefault="005C0C7B">
                            <w:pPr>
                              <w:spacing w:line="258" w:lineRule="auto"/>
                              <w:jc w:val="center"/>
                              <w:textDirection w:val="btLr"/>
                              <w:rPr>
                                <w:rFonts w:ascii="Montserrat" w:hAnsi="Montserrat"/>
                                <w:sz w:val="18"/>
                              </w:rPr>
                            </w:pPr>
                            <w:r w:rsidRPr="00156027">
                              <w:rPr>
                                <w:rFonts w:ascii="Montserrat" w:eastAsia="Arial Narrow" w:hAnsi="Montserrat" w:cs="Arial Narrow"/>
                                <w:b/>
                                <w:color w:val="7F7F7F"/>
                                <w:sz w:val="40"/>
                              </w:rPr>
                              <w:t>Ministerio de la Mujer y Poblaciones Vulnerables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466C33C0" id="Rectángulo 322" o:spid="_x0000_s1045" style="position:absolute;left:0;text-align:left;margin-left:0;margin-top:203.3pt;width:325.5pt;height:98.2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" fillcolor="white [3201]" stroked="f">
                <v:textbox inset="2.53958mm,1.2694mm,2.53958mm,1.2694mm">
                  <w:txbxContent>
                    <w:p w14:paraId="03BAEFF3" w14:textId="77777777" w:rsidR="005C0C7B" w:rsidRPr="00156027" w:rsidRDefault="005C0C7B">
                      <w:pPr>
                        <w:spacing w:line="258" w:lineRule="auto"/>
                        <w:jc w:val="center"/>
                        <w:textDirection w:val="btLr"/>
                        <w:rPr>
                          <w:rFonts w:ascii="Montserrat" w:hAnsi="Montserrat"/>
                          <w:sz w:val="18"/>
                        </w:rPr>
                      </w:pPr>
                      <w:r w:rsidRPr="00156027">
                        <w:rPr>
                          <w:rFonts w:ascii="Montserrat" w:eastAsia="Arial Narrow" w:hAnsi="Montserrat" w:cs="Arial Narrow"/>
                          <w:b/>
                          <w:color w:val="7F7F7F"/>
                          <w:sz w:val="40"/>
                        </w:rPr>
                        <w:t>Ministerio de la Mujer y Poblaciones Vulnerables</w:t>
                      </w:r>
                    </w:p>
                  </w:txbxContent>
                </v:textbox>
                <w10:wrap anchorx="margin"/>
              </v:rect>
            </w:pict>
          </mc:Fallback>
        </mc:AlternateContent>
      </w:r>
      <w:r w:rsidR="007359D6">
        <w:rPr>
          <w:noProof/>
          <w:lang w:val="en-GB" w:eastAsia="en-GB"/>
        </w:rPr>
        <mc:AlternateContent>
          <mc:Choice Requires="wps">
            <w:drawing>
              <wp:anchor distT="0" distB="0" distL="114300" distR="114300" simplePos="0" relativeHeight="251661312" behindDoc="0" locked="0" layoutInCell="1" hidden="0" allowOverlap="1" wp14:anchorId="05772251" wp14:editId="4BE58DB2">
                <wp:simplePos x="0" y="0"/>
                <wp:positionH relativeFrom="margin">
                  <wp:align>center</wp:align>
                </wp:positionH>
                <wp:positionV relativeFrom="paragraph">
                  <wp:posOffset>4156710</wp:posOffset>
                </wp:positionV>
                <wp:extent cx="2705100" cy="415290"/>
                <wp:effectExtent l="0" t="0" r="0" b="3810"/>
                <wp:wrapNone/>
                <wp:docPr id="321" name="Rectángulo 321"/>
                <wp:cNvGraphicFramePr/>
                <a:graphic xmlns:a="http://schemas.openxmlformats.org/drawingml/2006/main">
                  <a:graphicData uri="http://schemas.microsoft.com/office/word/2010/wordprocessingShape">
                    <wps:wsp>
                      <wps:cNvSpPr/>
                      <wps:spPr>
                        <a:xfrm>
                          <a:off x="0" y="0"/>
                          <a:ext cx="2705100" cy="415290"/>
                        </a:xfrm>
                        <a:prstGeom prst="rect">
                          <a:avLst/>
                        </a:prstGeom>
                        <a:solidFill>
                          <a:schemeClr val="lt1"/>
                        </a:solidFill>
                        <a:ln>
                          <a:noFill/>
                        </a:ln>
                      </wps:spPr>
                      <wps:txbx>
                        <w:txbxContent>
                          <w:p w14:paraId="4DA8A9F7" w14:textId="58D35534" w:rsidR="005C0C7B" w:rsidRPr="00156027" w:rsidRDefault="005C0C7B" w:rsidP="007B1784">
                            <w:pPr>
                              <w:spacing w:line="258" w:lineRule="auto"/>
                              <w:jc w:val="center"/>
                              <w:textDirection w:val="btLr"/>
                              <w:rPr>
                                <w:rFonts w:ascii="Montserrat" w:hAnsi="Montserrat"/>
                                <w:sz w:val="20"/>
                              </w:rPr>
                            </w:pPr>
                            <w:r w:rsidRPr="00156027">
                              <w:rPr>
                                <w:rFonts w:ascii="Montserrat" w:eastAsia="Arial Narrow" w:hAnsi="Montserrat" w:cs="Arial Narrow"/>
                                <w:b/>
                                <w:color w:val="000000"/>
                                <w:sz w:val="36"/>
                              </w:rPr>
                              <w:t>Diciembre</w:t>
                            </w:r>
                            <w:r>
                              <w:rPr>
                                <w:rFonts w:ascii="Montserrat" w:eastAsia="Arial Narrow" w:hAnsi="Montserrat" w:cs="Arial Narrow"/>
                                <w:b/>
                                <w:color w:val="000000"/>
                                <w:sz w:val="36"/>
                              </w:rPr>
                              <w:t xml:space="preserve"> de</w:t>
                            </w:r>
                            <w:r w:rsidRPr="00156027">
                              <w:rPr>
                                <w:rFonts w:ascii="Montserrat" w:eastAsia="Arial Narrow" w:hAnsi="Montserrat" w:cs="Arial Narrow"/>
                                <w:b/>
                                <w:color w:val="000000"/>
                                <w:sz w:val="36"/>
                              </w:rPr>
                              <w:t xml:space="preserve"> 2021</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05772251" id="Rectángulo 321" o:spid="_x0000_s1046" style="position:absolute;left:0;text-align:left;margin-left:0;margin-top:327.3pt;width:213pt;height:32.7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" fillcolor="white [3201]" stroked="f">
                <v:textbox inset="2.53958mm,1.2694mm,2.53958mm,1.2694mm">
                  <w:txbxContent>
                    <w:p w14:paraId="4DA8A9F7" w14:textId="58D35534" w:rsidR="005C0C7B" w:rsidRPr="00156027" w:rsidRDefault="005C0C7B" w:rsidP="007B1784">
                      <w:pPr>
                        <w:spacing w:line="258" w:lineRule="auto"/>
                        <w:jc w:val="center"/>
                        <w:textDirection w:val="btLr"/>
                        <w:rPr>
                          <w:rFonts w:ascii="Montserrat" w:hAnsi="Montserrat"/>
                          <w:sz w:val="20"/>
                        </w:rPr>
                      </w:pPr>
                      <w:r w:rsidRPr="00156027">
                        <w:rPr>
                          <w:rFonts w:ascii="Montserrat" w:eastAsia="Arial Narrow" w:hAnsi="Montserrat" w:cs="Arial Narrow"/>
                          <w:b/>
                          <w:color w:val="000000"/>
                          <w:sz w:val="36"/>
                        </w:rPr>
                        <w:t>Diciembre</w:t>
                      </w:r>
                      <w:r>
                        <w:rPr>
                          <w:rFonts w:ascii="Montserrat" w:eastAsia="Arial Narrow" w:hAnsi="Montserrat" w:cs="Arial Narrow"/>
                          <w:b/>
                          <w:color w:val="000000"/>
                          <w:sz w:val="36"/>
                        </w:rPr>
                        <w:t xml:space="preserve"> de</w:t>
                      </w:r>
                      <w:r w:rsidRPr="00156027">
                        <w:rPr>
                          <w:rFonts w:ascii="Montserrat" w:eastAsia="Arial Narrow" w:hAnsi="Montserrat" w:cs="Arial Narrow"/>
                          <w:b/>
                          <w:color w:val="000000"/>
                          <w:sz w:val="36"/>
                        </w:rPr>
                        <w:t xml:space="preserve"> 2021</w:t>
                      </w:r>
                    </w:p>
                  </w:txbxContent>
                </v:textbox>
                <w10:wrap anchorx="margin"/>
              </v:rect>
            </w:pict>
          </mc:Fallback>
        </mc:AlternateContent>
      </w:r>
      <w:r w:rsidR="009104B2">
        <w:br w:type="page"/>
      </w:r>
    </w:p>
    <w:p w14:paraId="00000008" w14:textId="77777777" w:rsidR="00971081" w:rsidRDefault="00971081" w:rsidP="005136F1">
      <w:pPr>
        <w:spacing w:after="120" w:line="240" w:lineRule="auto"/>
        <w:ind w:left="720" w:hanging="720"/>
        <w:jc w:val="center"/>
        <w:rPr>
          <w:b/>
        </w:rPr>
      </w:pPr>
    </w:p>
    <w:p w14:paraId="0000000A" w14:textId="77777777" w:rsidR="00971081" w:rsidRPr="00F03883" w:rsidRDefault="009104B2" w:rsidP="00025957">
      <w:pPr>
        <w:keepNext/>
        <w:keepLines/>
        <w:pBdr>
          <w:top w:val="nil"/>
          <w:left w:val="nil"/>
          <w:bottom w:val="nil"/>
          <w:right w:val="nil"/>
          <w:between w:val="nil"/>
        </w:pBdr>
        <w:spacing w:before="240" w:after="0"/>
        <w:rPr>
          <w:color w:val="2F5496"/>
          <w:sz w:val="60"/>
          <w:szCs w:val="60"/>
        </w:rPr>
      </w:pPr>
      <w:r w:rsidRPr="00F03883">
        <w:rPr>
          <w:color w:val="2F5496"/>
          <w:sz w:val="60"/>
          <w:szCs w:val="60"/>
        </w:rPr>
        <w:t>Contenido</w:t>
      </w:r>
    </w:p>
    <w:p w14:paraId="0000000B" w14:textId="77777777" w:rsidR="00971081" w:rsidRPr="00F03883" w:rsidRDefault="00971081">
      <w:pPr>
        <w:rPr>
          <w:rFonts w:ascii="Montserrat" w:hAnsi="Montserrat"/>
        </w:rPr>
      </w:pPr>
    </w:p>
    <w:sdt>
      <w:sdtPr>
        <w:id w:val="-938449752"/>
        <w:docPartObj>
          <w:docPartGallery w:val="Table of Contents"/>
          <w:docPartUnique/>
        </w:docPartObj>
      </w:sdtPr>
      <w:sdtEndPr/>
      <w:sdtContent>
        <w:p w14:paraId="1C41D987" w14:textId="34513147" w:rsidR="00F862E5" w:rsidRPr="004B1DAC" w:rsidRDefault="009104B2">
          <w:pPr>
            <w:pStyle w:val="TOC1"/>
            <w:rPr>
              <w:rFonts w:ascii="Montserrat" w:eastAsiaTheme="minorEastAsia" w:hAnsi="Montserrat" w:cstheme="minorBidi"/>
              <w:noProof/>
              <w:lang w:val="es-PE"/>
            </w:rPr>
          </w:pPr>
          <w:r w:rsidRPr="004B1DAC">
            <w:rPr>
              <w:rFonts w:ascii="Montserrat" w:hAnsi="Montserrat" w:cs="Open Sans Light"/>
            </w:rPr>
            <w:fldChar w:fldCharType="begin"/>
          </w:r>
          <w:r w:rsidRPr="004B1DAC">
            <w:rPr>
              <w:rFonts w:ascii="Montserrat" w:hAnsi="Montserrat" w:cs="Open Sans Light"/>
            </w:rPr>
            <w:instrText xml:space="preserve"> TOC \h \u \z </w:instrText>
          </w:r>
          <w:r w:rsidRPr="004B1DAC">
            <w:rPr>
              <w:rFonts w:ascii="Montserrat" w:hAnsi="Montserrat" w:cs="Open Sans Light"/>
            </w:rPr>
            <w:fldChar w:fldCharType="separate"/>
          </w:r>
          <w:hyperlink w:anchor="_Toc91781801" w:history="1">
            <w:r w:rsidR="00F862E5" w:rsidRPr="004B1DAC">
              <w:rPr>
                <w:rStyle w:val="Hyperlink"/>
                <w:rFonts w:ascii="Montserrat" w:hAnsi="Montserrat"/>
                <w:noProof/>
              </w:rPr>
              <w:t>1.</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Resumen Ejecutivo</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_Toc91781801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3</w:t>
            </w:r>
            <w:r w:rsidR="00F862E5" w:rsidRPr="004B1DAC">
              <w:rPr>
                <w:rFonts w:ascii="Montserrat" w:hAnsi="Montserrat"/>
                <w:noProof/>
                <w:webHidden/>
              </w:rPr>
              <w:fldChar w:fldCharType="end"/>
            </w:r>
          </w:hyperlink>
        </w:p>
        <w:p w14:paraId="2542DAAC" w14:textId="1D0C4A57" w:rsidR="00F862E5" w:rsidRPr="004B1DAC" w:rsidRDefault="00354646">
          <w:pPr>
            <w:pStyle w:val="TOC1"/>
            <w:rPr>
              <w:rFonts w:ascii="Montserrat" w:eastAsiaTheme="minorEastAsia" w:hAnsi="Montserrat" w:cstheme="minorBidi"/>
              <w:noProof/>
              <w:lang w:val="es-PE"/>
            </w:rPr>
          </w:pPr>
          <w:hyperlink w:anchor="_Toc91781802" w:history="1">
            <w:r w:rsidR="00F862E5" w:rsidRPr="004B1DAC">
              <w:rPr>
                <w:rStyle w:val="Hyperlink"/>
                <w:rFonts w:ascii="Montserrat" w:hAnsi="Montserrat"/>
                <w:noProof/>
              </w:rPr>
              <w:t>2.</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Introducción</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_Toc91781802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4</w:t>
            </w:r>
            <w:r w:rsidR="00F862E5" w:rsidRPr="004B1DAC">
              <w:rPr>
                <w:rFonts w:ascii="Montserrat" w:hAnsi="Montserrat"/>
                <w:noProof/>
                <w:webHidden/>
              </w:rPr>
              <w:fldChar w:fldCharType="end"/>
            </w:r>
          </w:hyperlink>
        </w:p>
        <w:p w14:paraId="10CBCF08" w14:textId="5D3874DE" w:rsidR="00F862E5" w:rsidRPr="004B1DAC" w:rsidRDefault="00354646">
          <w:pPr>
            <w:pStyle w:val="TOC1"/>
            <w:rPr>
              <w:rFonts w:ascii="Montserrat" w:eastAsiaTheme="minorEastAsia" w:hAnsi="Montserrat" w:cstheme="minorBidi"/>
              <w:noProof/>
              <w:lang w:val="es-PE"/>
            </w:rPr>
          </w:pPr>
          <w:hyperlink w:anchor="_Toc91781803" w:history="1">
            <w:r w:rsidR="00F862E5" w:rsidRPr="004B1DAC">
              <w:rPr>
                <w:rStyle w:val="Hyperlink"/>
                <w:rFonts w:ascii="Montserrat" w:hAnsi="Montserrat"/>
                <w:noProof/>
              </w:rPr>
              <w:t>3.</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Aspectos generales</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_Toc91781803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6</w:t>
            </w:r>
            <w:r w:rsidR="00F862E5" w:rsidRPr="004B1DAC">
              <w:rPr>
                <w:rFonts w:ascii="Montserrat" w:hAnsi="Montserrat"/>
                <w:noProof/>
                <w:webHidden/>
              </w:rPr>
              <w:fldChar w:fldCharType="end"/>
            </w:r>
          </w:hyperlink>
        </w:p>
        <w:p w14:paraId="75D21183" w14:textId="4108E787" w:rsidR="00F862E5" w:rsidRPr="004B1DAC" w:rsidRDefault="00354646">
          <w:pPr>
            <w:pStyle w:val="TOC2"/>
            <w:tabs>
              <w:tab w:val="left" w:pos="880"/>
              <w:tab w:val="right" w:pos="8494"/>
            </w:tabs>
            <w:rPr>
              <w:rFonts w:ascii="Montserrat" w:eastAsiaTheme="minorEastAsia" w:hAnsi="Montserrat" w:cstheme="minorBidi"/>
              <w:noProof/>
              <w:lang w:val="es-PE"/>
            </w:rPr>
          </w:pPr>
          <w:hyperlink w:anchor="_Toc91781804" w:history="1">
            <w:r w:rsidR="00F862E5" w:rsidRPr="004B1DAC">
              <w:rPr>
                <w:rStyle w:val="Hyperlink"/>
                <w:rFonts w:ascii="Montserrat" w:hAnsi="Montserrat"/>
                <w:noProof/>
              </w:rPr>
              <w:t>3.1</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Descripción del PNAIA 2012 – 2021</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_Toc91781804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6</w:t>
            </w:r>
            <w:r w:rsidR="00F862E5" w:rsidRPr="004B1DAC">
              <w:rPr>
                <w:rFonts w:ascii="Montserrat" w:hAnsi="Montserrat"/>
                <w:noProof/>
                <w:webHidden/>
              </w:rPr>
              <w:fldChar w:fldCharType="end"/>
            </w:r>
          </w:hyperlink>
        </w:p>
        <w:p w14:paraId="16F6C3DB" w14:textId="596BA184" w:rsidR="00F862E5" w:rsidRPr="004B1DAC" w:rsidRDefault="00354646">
          <w:pPr>
            <w:pStyle w:val="TOC2"/>
            <w:tabs>
              <w:tab w:val="left" w:pos="880"/>
              <w:tab w:val="right" w:pos="8494"/>
            </w:tabs>
            <w:rPr>
              <w:rFonts w:ascii="Montserrat" w:eastAsiaTheme="minorEastAsia" w:hAnsi="Montserrat" w:cstheme="minorBidi"/>
              <w:noProof/>
              <w:lang w:val="es-PE"/>
            </w:rPr>
          </w:pPr>
          <w:hyperlink w:anchor="_Toc91781805" w:history="1">
            <w:r w:rsidR="00F862E5" w:rsidRPr="004B1DAC">
              <w:rPr>
                <w:rStyle w:val="Hyperlink"/>
                <w:rFonts w:ascii="Montserrat" w:hAnsi="Montserrat"/>
                <w:noProof/>
              </w:rPr>
              <w:t>3.2</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Objetivos generales de la evaluación del PNAIA 2012-2021</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_Toc91781805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7</w:t>
            </w:r>
            <w:r w:rsidR="00F862E5" w:rsidRPr="004B1DAC">
              <w:rPr>
                <w:rFonts w:ascii="Montserrat" w:hAnsi="Montserrat"/>
                <w:noProof/>
                <w:webHidden/>
              </w:rPr>
              <w:fldChar w:fldCharType="end"/>
            </w:r>
          </w:hyperlink>
        </w:p>
        <w:p w14:paraId="13C46661" w14:textId="19A313E7" w:rsidR="00F862E5" w:rsidRPr="004B1DAC" w:rsidRDefault="00354646">
          <w:pPr>
            <w:pStyle w:val="TOC2"/>
            <w:tabs>
              <w:tab w:val="left" w:pos="880"/>
              <w:tab w:val="right" w:pos="8494"/>
            </w:tabs>
            <w:rPr>
              <w:rFonts w:ascii="Montserrat" w:eastAsiaTheme="minorEastAsia" w:hAnsi="Montserrat" w:cstheme="minorBidi"/>
              <w:noProof/>
              <w:lang w:val="es-PE"/>
            </w:rPr>
          </w:pPr>
          <w:hyperlink w:anchor="_Toc91781806" w:history="1">
            <w:r w:rsidR="00F862E5" w:rsidRPr="004B1DAC">
              <w:rPr>
                <w:rStyle w:val="Hyperlink"/>
                <w:rFonts w:ascii="Montserrat" w:hAnsi="Montserrat"/>
                <w:noProof/>
              </w:rPr>
              <w:t>3.3</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Objetivos específicos de la evaluación del PNAIA 2012-2021</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_Toc91781806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8</w:t>
            </w:r>
            <w:r w:rsidR="00F862E5" w:rsidRPr="004B1DAC">
              <w:rPr>
                <w:rFonts w:ascii="Montserrat" w:hAnsi="Montserrat"/>
                <w:noProof/>
                <w:webHidden/>
              </w:rPr>
              <w:fldChar w:fldCharType="end"/>
            </w:r>
          </w:hyperlink>
        </w:p>
        <w:p w14:paraId="70984517" w14:textId="34F305E6" w:rsidR="00F862E5" w:rsidRPr="004B1DAC" w:rsidRDefault="00354646">
          <w:pPr>
            <w:pStyle w:val="TOC1"/>
            <w:rPr>
              <w:rFonts w:ascii="Montserrat" w:eastAsiaTheme="minorEastAsia" w:hAnsi="Montserrat" w:cstheme="minorBidi"/>
              <w:noProof/>
              <w:lang w:val="es-PE"/>
            </w:rPr>
          </w:pPr>
          <w:hyperlink w:anchor="_Toc91781807" w:history="1">
            <w:r w:rsidR="00F862E5" w:rsidRPr="004B1DAC">
              <w:rPr>
                <w:rStyle w:val="Hyperlink"/>
                <w:rFonts w:ascii="Montserrat" w:hAnsi="Montserrat"/>
                <w:noProof/>
              </w:rPr>
              <w:t>4.</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Metodología</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_Toc91781807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9</w:t>
            </w:r>
            <w:r w:rsidR="00F862E5" w:rsidRPr="004B1DAC">
              <w:rPr>
                <w:rFonts w:ascii="Montserrat" w:hAnsi="Montserrat"/>
                <w:noProof/>
                <w:webHidden/>
              </w:rPr>
              <w:fldChar w:fldCharType="end"/>
            </w:r>
          </w:hyperlink>
        </w:p>
        <w:p w14:paraId="1C9F89DB" w14:textId="379EE7B6" w:rsidR="00F862E5" w:rsidRPr="004B1DAC" w:rsidRDefault="00354646">
          <w:pPr>
            <w:pStyle w:val="TOC1"/>
            <w:rPr>
              <w:rFonts w:ascii="Montserrat" w:eastAsiaTheme="minorEastAsia" w:hAnsi="Montserrat" w:cstheme="minorBidi"/>
              <w:noProof/>
              <w:lang w:val="es-PE"/>
            </w:rPr>
          </w:pPr>
          <w:hyperlink w:anchor="_Toc91781808" w:history="1">
            <w:r w:rsidR="00F862E5" w:rsidRPr="004B1DAC">
              <w:rPr>
                <w:rStyle w:val="Hyperlink"/>
                <w:rFonts w:ascii="Montserrat" w:hAnsi="Montserrat"/>
                <w:noProof/>
              </w:rPr>
              <w:t>5.</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Resultados</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_Toc91781808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12</w:t>
            </w:r>
            <w:r w:rsidR="00F862E5" w:rsidRPr="004B1DAC">
              <w:rPr>
                <w:rFonts w:ascii="Montserrat" w:hAnsi="Montserrat"/>
                <w:noProof/>
                <w:webHidden/>
              </w:rPr>
              <w:fldChar w:fldCharType="end"/>
            </w:r>
          </w:hyperlink>
        </w:p>
        <w:p w14:paraId="2F784BD5" w14:textId="42EC67D5" w:rsidR="00F862E5" w:rsidRPr="004B1DAC" w:rsidRDefault="00354646">
          <w:pPr>
            <w:pStyle w:val="TOC1"/>
            <w:rPr>
              <w:rFonts w:ascii="Montserrat" w:eastAsiaTheme="minorEastAsia" w:hAnsi="Montserrat" w:cstheme="minorBidi"/>
              <w:noProof/>
              <w:lang w:val="es-PE"/>
            </w:rPr>
          </w:pPr>
          <w:hyperlink w:anchor="_Toc91781809" w:history="1">
            <w:r w:rsidR="00F862E5" w:rsidRPr="004B1DAC">
              <w:rPr>
                <w:rStyle w:val="Hyperlink"/>
                <w:rFonts w:ascii="Montserrat" w:hAnsi="Montserrat"/>
                <w:noProof/>
              </w:rPr>
              <w:t>6.</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Conclusiones</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_Toc91781809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108</w:t>
            </w:r>
            <w:r w:rsidR="00F862E5" w:rsidRPr="004B1DAC">
              <w:rPr>
                <w:rFonts w:ascii="Montserrat" w:hAnsi="Montserrat"/>
                <w:noProof/>
                <w:webHidden/>
              </w:rPr>
              <w:fldChar w:fldCharType="end"/>
            </w:r>
          </w:hyperlink>
        </w:p>
        <w:p w14:paraId="350209D7" w14:textId="0A16BEDA" w:rsidR="00F862E5" w:rsidRPr="004B1DAC" w:rsidRDefault="00354646">
          <w:pPr>
            <w:pStyle w:val="TOC1"/>
            <w:rPr>
              <w:rFonts w:ascii="Montserrat" w:eastAsiaTheme="minorEastAsia" w:hAnsi="Montserrat" w:cstheme="minorBidi"/>
              <w:noProof/>
              <w:lang w:val="es-PE"/>
            </w:rPr>
          </w:pPr>
          <w:hyperlink w:anchor="_Toc91781810" w:history="1">
            <w:r w:rsidR="00F862E5" w:rsidRPr="004B1DAC">
              <w:rPr>
                <w:rStyle w:val="Hyperlink"/>
                <w:rFonts w:ascii="Montserrat" w:hAnsi="Montserrat"/>
                <w:noProof/>
              </w:rPr>
              <w:t>7.</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Recomendaciones</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_Toc91781810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109</w:t>
            </w:r>
            <w:r w:rsidR="00F862E5" w:rsidRPr="004B1DAC">
              <w:rPr>
                <w:rFonts w:ascii="Montserrat" w:hAnsi="Montserrat"/>
                <w:noProof/>
                <w:webHidden/>
              </w:rPr>
              <w:fldChar w:fldCharType="end"/>
            </w:r>
          </w:hyperlink>
        </w:p>
        <w:p w14:paraId="2A404051" w14:textId="2C7DDCC2" w:rsidR="00F862E5" w:rsidRPr="004B1DAC" w:rsidRDefault="00354646">
          <w:pPr>
            <w:pStyle w:val="TOC1"/>
            <w:rPr>
              <w:rFonts w:ascii="Montserrat" w:eastAsiaTheme="minorEastAsia" w:hAnsi="Montserrat" w:cstheme="minorBidi"/>
              <w:noProof/>
              <w:lang w:val="es-PE"/>
            </w:rPr>
          </w:pPr>
          <w:hyperlink w:anchor="_Toc91781811" w:history="1">
            <w:r w:rsidR="00F862E5" w:rsidRPr="004B1DAC">
              <w:rPr>
                <w:rStyle w:val="Hyperlink"/>
                <w:rFonts w:ascii="Montserrat" w:hAnsi="Montserrat"/>
                <w:noProof/>
              </w:rPr>
              <w:t>8.</w:t>
            </w:r>
            <w:r w:rsidR="00F862E5" w:rsidRPr="004B1DAC">
              <w:rPr>
                <w:rFonts w:ascii="Montserrat" w:eastAsiaTheme="minorEastAsia" w:hAnsi="Montserrat" w:cstheme="minorBidi"/>
                <w:noProof/>
                <w:lang w:val="es-PE"/>
              </w:rPr>
              <w:tab/>
            </w:r>
            <w:r w:rsidR="00F862E5" w:rsidRPr="004B1DAC">
              <w:rPr>
                <w:rStyle w:val="Hyperlink"/>
                <w:rFonts w:ascii="Montserrat" w:hAnsi="Montserrat"/>
                <w:noProof/>
              </w:rPr>
              <w:t>Anexos</w:t>
            </w:r>
            <w:r w:rsidR="00F862E5" w:rsidRPr="004B1DAC">
              <w:rPr>
                <w:rFonts w:ascii="Montserrat" w:hAnsi="Montserrat"/>
                <w:noProof/>
                <w:webHidden/>
              </w:rPr>
              <w:tab/>
            </w:r>
            <w:r w:rsidR="00F862E5" w:rsidRPr="004B1DAC">
              <w:rPr>
                <w:rFonts w:ascii="Montserrat" w:hAnsi="Montserrat"/>
                <w:noProof/>
                <w:webHidden/>
              </w:rPr>
              <w:fldChar w:fldCharType="begin"/>
            </w:r>
            <w:r w:rsidR="00F862E5" w:rsidRPr="004B1DAC">
              <w:rPr>
                <w:rFonts w:ascii="Montserrat" w:hAnsi="Montserrat"/>
                <w:noProof/>
                <w:webHidden/>
              </w:rPr>
              <w:instrText xml:space="preserve"> PAGEREF _Toc91781811 \h </w:instrText>
            </w:r>
            <w:r w:rsidR="00F862E5" w:rsidRPr="004B1DAC">
              <w:rPr>
                <w:rFonts w:ascii="Montserrat" w:hAnsi="Montserrat"/>
                <w:noProof/>
                <w:webHidden/>
              </w:rPr>
            </w:r>
            <w:r w:rsidR="00F862E5" w:rsidRPr="004B1DAC">
              <w:rPr>
                <w:rFonts w:ascii="Montserrat" w:hAnsi="Montserrat"/>
                <w:noProof/>
                <w:webHidden/>
              </w:rPr>
              <w:fldChar w:fldCharType="separate"/>
            </w:r>
            <w:r w:rsidR="00846FB2">
              <w:rPr>
                <w:rFonts w:ascii="Montserrat" w:hAnsi="Montserrat"/>
                <w:noProof/>
                <w:webHidden/>
              </w:rPr>
              <w:t>111</w:t>
            </w:r>
            <w:r w:rsidR="00F862E5" w:rsidRPr="004B1DAC">
              <w:rPr>
                <w:rFonts w:ascii="Montserrat" w:hAnsi="Montserrat"/>
                <w:noProof/>
                <w:webHidden/>
              </w:rPr>
              <w:fldChar w:fldCharType="end"/>
            </w:r>
          </w:hyperlink>
        </w:p>
        <w:p w14:paraId="00000019" w14:textId="7DF03AA4" w:rsidR="00932274" w:rsidRPr="00F03883" w:rsidRDefault="009104B2" w:rsidP="00932274">
          <w:r w:rsidRPr="004B1DAC">
            <w:rPr>
              <w:rFonts w:ascii="Montserrat" w:hAnsi="Montserrat" w:cs="Open Sans Light"/>
            </w:rPr>
            <w:fldChar w:fldCharType="end"/>
          </w:r>
        </w:p>
      </w:sdtContent>
    </w:sdt>
    <w:p w14:paraId="04BA044C" w14:textId="77777777" w:rsidR="00932274" w:rsidRPr="00F03883" w:rsidRDefault="00932274" w:rsidP="00932274"/>
    <w:p w14:paraId="39A8462E" w14:textId="52DCFEAD" w:rsidR="00932274" w:rsidRDefault="00932274" w:rsidP="00932274"/>
    <w:p w14:paraId="0323038D" w14:textId="24A42439" w:rsidR="00174661" w:rsidRDefault="00174661" w:rsidP="00932274"/>
    <w:p w14:paraId="480E59FA" w14:textId="570F521A" w:rsidR="00174661" w:rsidRDefault="00174661" w:rsidP="00932274"/>
    <w:p w14:paraId="01CD83E5" w14:textId="5ED8FC08" w:rsidR="00174661" w:rsidRDefault="00174661" w:rsidP="00932274"/>
    <w:p w14:paraId="45499839" w14:textId="0A547B15" w:rsidR="00174661" w:rsidRDefault="00174661" w:rsidP="00932274"/>
    <w:p w14:paraId="66027BD0" w14:textId="07539E8A" w:rsidR="00174661" w:rsidRDefault="00174661" w:rsidP="00932274"/>
    <w:p w14:paraId="2DF5BCD2" w14:textId="7B86B881" w:rsidR="00174661" w:rsidRDefault="00174661" w:rsidP="00932274"/>
    <w:p w14:paraId="7A611503" w14:textId="1FE6B036" w:rsidR="00174661" w:rsidRDefault="00174661" w:rsidP="00932274"/>
    <w:p w14:paraId="7002BA44" w14:textId="62838C55" w:rsidR="00174661" w:rsidRDefault="00174661" w:rsidP="00932274"/>
    <w:p w14:paraId="6BAB8632" w14:textId="34F7AE75" w:rsidR="00174661" w:rsidRDefault="00174661" w:rsidP="00932274"/>
    <w:p w14:paraId="1CEC9A72" w14:textId="2C3B8FEF" w:rsidR="00174661" w:rsidRDefault="00174661" w:rsidP="00932274"/>
    <w:p w14:paraId="040D8431" w14:textId="3072C728" w:rsidR="00174661" w:rsidRDefault="00174661" w:rsidP="00932274"/>
    <w:p w14:paraId="3E4F06E6" w14:textId="3E3A2226" w:rsidR="00174661" w:rsidRDefault="00174661" w:rsidP="00932274"/>
    <w:p w14:paraId="1ABC88EA" w14:textId="77777777" w:rsidR="00174661" w:rsidRPr="00F03883" w:rsidRDefault="00174661" w:rsidP="00932274"/>
    <w:p w14:paraId="0EAB8C1D" w14:textId="1CC3CD95" w:rsidR="00932274" w:rsidRPr="00C47DFA" w:rsidRDefault="000B3BAF" w:rsidP="004C4BFE">
      <w:pPr>
        <w:pStyle w:val="Heading1"/>
        <w:numPr>
          <w:ilvl w:val="0"/>
          <w:numId w:val="24"/>
        </w:numPr>
        <w:spacing w:after="240"/>
        <w:ind w:left="360"/>
        <w:rPr>
          <w:color w:val="1F3864"/>
          <w:sz w:val="60"/>
          <w:szCs w:val="60"/>
        </w:rPr>
      </w:pPr>
      <w:bookmarkStart w:id="1" w:name="_Toc91781801"/>
      <w:r w:rsidRPr="00C47DFA">
        <w:rPr>
          <w:color w:val="1F3864"/>
          <w:sz w:val="60"/>
          <w:szCs w:val="60"/>
        </w:rPr>
        <w:lastRenderedPageBreak/>
        <w:t>Resumen Ejecutivo</w:t>
      </w:r>
      <w:bookmarkEnd w:id="1"/>
    </w:p>
    <w:p w14:paraId="6A6D9969" w14:textId="12BB4779" w:rsidR="003C323A" w:rsidRPr="00A26BAE" w:rsidRDefault="00DF52AE" w:rsidP="000E4478">
      <w:pPr>
        <w:tabs>
          <w:tab w:val="left" w:pos="1576"/>
        </w:tabs>
        <w:jc w:val="both"/>
        <w:rPr>
          <w:rFonts w:ascii="Open Sans Light" w:hAnsi="Open Sans Light" w:cs="Open Sans Light"/>
          <w:sz w:val="24"/>
          <w:szCs w:val="24"/>
        </w:rPr>
      </w:pPr>
      <w:r w:rsidRPr="00A26BAE">
        <w:rPr>
          <w:rFonts w:ascii="Open Sans Light" w:hAnsi="Open Sans Light" w:cs="Open Sans Light"/>
          <w:sz w:val="24"/>
          <w:szCs w:val="24"/>
        </w:rPr>
        <w:t>El</w:t>
      </w:r>
      <w:r w:rsidR="00174661" w:rsidRPr="00A26BAE">
        <w:rPr>
          <w:rFonts w:ascii="Open Sans Light" w:hAnsi="Open Sans Light" w:cs="Open Sans Light"/>
          <w:sz w:val="24"/>
          <w:szCs w:val="24"/>
        </w:rPr>
        <w:t xml:space="preserve"> Plan Nacional de Acción por la Infancia y la Adolescencia 2012-2021 (PNAIA 2012-2021) </w:t>
      </w:r>
      <w:r w:rsidR="003C323A" w:rsidRPr="00A26BAE">
        <w:rPr>
          <w:rFonts w:ascii="Open Sans Light" w:hAnsi="Open Sans Light" w:cs="Open Sans Light"/>
          <w:sz w:val="24"/>
          <w:szCs w:val="24"/>
        </w:rPr>
        <w:t xml:space="preserve">es el </w:t>
      </w:r>
      <w:r w:rsidR="00174661" w:rsidRPr="00A26BAE">
        <w:rPr>
          <w:rFonts w:ascii="Open Sans Light" w:hAnsi="Open Sans Light" w:cs="Open Sans Light"/>
          <w:sz w:val="24"/>
          <w:szCs w:val="24"/>
        </w:rPr>
        <w:t xml:space="preserve">instrumento marco </w:t>
      </w:r>
      <w:r w:rsidR="003C323A" w:rsidRPr="00A26BAE">
        <w:rPr>
          <w:rFonts w:ascii="Open Sans Light" w:hAnsi="Open Sans Light" w:cs="Open Sans Light"/>
          <w:sz w:val="24"/>
          <w:szCs w:val="24"/>
        </w:rPr>
        <w:t xml:space="preserve">del Estado peruano </w:t>
      </w:r>
      <w:r w:rsidR="00174661" w:rsidRPr="00A26BAE">
        <w:rPr>
          <w:rFonts w:ascii="Open Sans Light" w:hAnsi="Open Sans Light" w:cs="Open Sans Light"/>
          <w:sz w:val="24"/>
          <w:szCs w:val="24"/>
        </w:rPr>
        <w:t>para la articulación y vinculación de políticas que se elaboran en materia de infancia y adolescencia.</w:t>
      </w:r>
      <w:r w:rsidR="003C323A" w:rsidRPr="00A26BAE">
        <w:rPr>
          <w:rFonts w:ascii="Open Sans Light" w:hAnsi="Open Sans Light" w:cs="Open Sans Light"/>
          <w:sz w:val="24"/>
          <w:szCs w:val="24"/>
        </w:rPr>
        <w:t xml:space="preserve"> </w:t>
      </w:r>
    </w:p>
    <w:p w14:paraId="1877FCBA" w14:textId="6DA63120" w:rsidR="00037427" w:rsidRPr="00A42A81" w:rsidRDefault="00174661" w:rsidP="000E4478">
      <w:pPr>
        <w:tabs>
          <w:tab w:val="left" w:pos="1576"/>
        </w:tabs>
        <w:jc w:val="both"/>
        <w:rPr>
          <w:rFonts w:ascii="Open Sans Light" w:hAnsi="Open Sans Light" w:cs="Open Sans Light"/>
          <w:sz w:val="24"/>
          <w:szCs w:val="24"/>
        </w:rPr>
        <w:sectPr w:rsidR="00037427" w:rsidRPr="00A42A81" w:rsidSect="0086134F">
          <w:headerReference w:type="default" r:id="rId13"/>
          <w:footerReference w:type="default" r:id="rId14"/>
          <w:pgSz w:w="11906" w:h="16838"/>
          <w:pgMar w:top="1417" w:right="1701" w:bottom="1417" w:left="1701" w:header="708" w:footer="567" w:gutter="0"/>
          <w:pgNumType w:start="0"/>
          <w:cols w:space="720"/>
          <w:titlePg/>
          <w:docGrid w:linePitch="299"/>
        </w:sectPr>
      </w:pPr>
      <w:r w:rsidRPr="00A26BAE">
        <w:rPr>
          <w:rFonts w:ascii="Open Sans Light" w:hAnsi="Open Sans Light" w:cs="Open Sans Light"/>
          <w:sz w:val="24"/>
          <w:szCs w:val="24"/>
        </w:rPr>
        <w:t xml:space="preserve">El presente informe propone evaluar </w:t>
      </w:r>
      <w:r w:rsidR="001A14A7" w:rsidRPr="00A26BAE">
        <w:rPr>
          <w:rFonts w:ascii="Open Sans Light" w:hAnsi="Open Sans Light" w:cs="Open Sans Light"/>
          <w:sz w:val="24"/>
          <w:szCs w:val="24"/>
        </w:rPr>
        <w:t>el proceso de implementación del PNAIA 2012-2021, así como su</w:t>
      </w:r>
      <w:r w:rsidRPr="00A26BAE">
        <w:rPr>
          <w:rFonts w:ascii="Open Sans Light" w:hAnsi="Open Sans Light" w:cs="Open Sans Light"/>
          <w:sz w:val="24"/>
          <w:szCs w:val="24"/>
        </w:rPr>
        <w:t xml:space="preserve"> eficacia </w:t>
      </w:r>
      <w:r w:rsidR="001A14A7" w:rsidRPr="00A26BAE">
        <w:rPr>
          <w:rFonts w:ascii="Open Sans Light" w:hAnsi="Open Sans Light" w:cs="Open Sans Light"/>
          <w:sz w:val="24"/>
          <w:szCs w:val="24"/>
        </w:rPr>
        <w:t>en el logro de resultados</w:t>
      </w:r>
      <w:r w:rsidRPr="00A26BAE">
        <w:rPr>
          <w:rFonts w:ascii="Open Sans Light" w:hAnsi="Open Sans Light" w:cs="Open Sans Light"/>
          <w:sz w:val="24"/>
          <w:szCs w:val="24"/>
        </w:rPr>
        <w:t>. Para ello se seleccion</w:t>
      </w:r>
      <w:r w:rsidR="003C323A" w:rsidRPr="00A26BAE">
        <w:rPr>
          <w:rFonts w:ascii="Open Sans Light" w:hAnsi="Open Sans Light" w:cs="Open Sans Light"/>
          <w:sz w:val="24"/>
          <w:szCs w:val="24"/>
        </w:rPr>
        <w:t>aron</w:t>
      </w:r>
      <w:r w:rsidR="008E0678">
        <w:rPr>
          <w:rFonts w:ascii="Open Sans Light" w:hAnsi="Open Sans Light" w:cs="Open Sans Light"/>
          <w:sz w:val="24"/>
          <w:szCs w:val="24"/>
        </w:rPr>
        <w:t xml:space="preserve"> tanto indicadores directos como indicadores proxy</w:t>
      </w:r>
      <w:r w:rsidRPr="00A26BAE">
        <w:rPr>
          <w:rFonts w:ascii="Open Sans Light" w:hAnsi="Open Sans Light" w:cs="Open Sans Light"/>
          <w:sz w:val="24"/>
          <w:szCs w:val="24"/>
        </w:rPr>
        <w:t xml:space="preserve"> de los resultados esperados, realiza</w:t>
      </w:r>
      <w:r w:rsidR="003C323A" w:rsidRPr="00A26BAE">
        <w:rPr>
          <w:rFonts w:ascii="Open Sans Light" w:hAnsi="Open Sans Light" w:cs="Open Sans Light"/>
          <w:sz w:val="24"/>
          <w:szCs w:val="24"/>
        </w:rPr>
        <w:t>ron</w:t>
      </w:r>
      <w:r w:rsidRPr="00A26BAE">
        <w:rPr>
          <w:rFonts w:ascii="Open Sans Light" w:hAnsi="Open Sans Light" w:cs="Open Sans Light"/>
          <w:sz w:val="24"/>
          <w:szCs w:val="24"/>
        </w:rPr>
        <w:t xml:space="preserve"> proyecciones en base a información histórica</w:t>
      </w:r>
      <w:r w:rsidR="00D6213E" w:rsidRPr="00A26BAE">
        <w:rPr>
          <w:rFonts w:ascii="Open Sans Light" w:hAnsi="Open Sans Light" w:cs="Open Sans Light"/>
          <w:sz w:val="24"/>
          <w:szCs w:val="24"/>
        </w:rPr>
        <w:t>, así como</w:t>
      </w:r>
      <w:r w:rsidRPr="00A26BAE">
        <w:rPr>
          <w:rFonts w:ascii="Open Sans Light" w:hAnsi="Open Sans Light" w:cs="Open Sans Light"/>
          <w:sz w:val="24"/>
          <w:szCs w:val="24"/>
        </w:rPr>
        <w:t xml:space="preserve"> entrevistas a actores directos. </w:t>
      </w:r>
      <w:r w:rsidR="003C323A" w:rsidRPr="00A26BAE">
        <w:rPr>
          <w:rFonts w:ascii="Open Sans Light" w:hAnsi="Open Sans Light" w:cs="Open Sans Light"/>
          <w:sz w:val="24"/>
          <w:szCs w:val="24"/>
        </w:rPr>
        <w:t>Entre los principales resultados se identifica que s</w:t>
      </w:r>
      <w:r w:rsidRPr="00A26BAE">
        <w:rPr>
          <w:rFonts w:ascii="Open Sans Light" w:hAnsi="Open Sans Light" w:cs="Open Sans Light"/>
          <w:sz w:val="24"/>
          <w:szCs w:val="24"/>
        </w:rPr>
        <w:t xml:space="preserve">olo el 16.7% de indicadores analizados cumplirían la meta al 2021. La variación en </w:t>
      </w:r>
      <w:r w:rsidR="001A14A7" w:rsidRPr="00A26BAE">
        <w:rPr>
          <w:rFonts w:ascii="Open Sans Light" w:hAnsi="Open Sans Light" w:cs="Open Sans Light"/>
          <w:sz w:val="24"/>
          <w:szCs w:val="24"/>
        </w:rPr>
        <w:t xml:space="preserve">los niveles de </w:t>
      </w:r>
      <w:r w:rsidRPr="00A26BAE">
        <w:rPr>
          <w:rFonts w:ascii="Open Sans Light" w:hAnsi="Open Sans Light" w:cs="Open Sans Light"/>
          <w:sz w:val="24"/>
          <w:szCs w:val="24"/>
        </w:rPr>
        <w:t xml:space="preserve">ejecución presupuestaria </w:t>
      </w:r>
      <w:r w:rsidR="001A14A7" w:rsidRPr="00A26BAE">
        <w:rPr>
          <w:rFonts w:ascii="Open Sans Light" w:hAnsi="Open Sans Light" w:cs="Open Sans Light"/>
          <w:sz w:val="24"/>
          <w:szCs w:val="24"/>
        </w:rPr>
        <w:t>-que tienen</w:t>
      </w:r>
      <w:r w:rsidRPr="00A26BAE">
        <w:rPr>
          <w:rFonts w:ascii="Open Sans Light" w:hAnsi="Open Sans Light" w:cs="Open Sans Light"/>
          <w:sz w:val="24"/>
          <w:szCs w:val="24"/>
        </w:rPr>
        <w:t xml:space="preserve"> impacto en los indicadores analizados</w:t>
      </w:r>
      <w:r w:rsidR="001A14A7" w:rsidRPr="00A26BAE">
        <w:rPr>
          <w:rFonts w:ascii="Open Sans Light" w:hAnsi="Open Sans Light" w:cs="Open Sans Light"/>
          <w:sz w:val="24"/>
          <w:szCs w:val="24"/>
        </w:rPr>
        <w:t>-</w:t>
      </w:r>
      <w:r w:rsidRPr="00A26BAE">
        <w:rPr>
          <w:rFonts w:ascii="Open Sans Light" w:hAnsi="Open Sans Light" w:cs="Open Sans Light"/>
          <w:sz w:val="24"/>
          <w:szCs w:val="24"/>
        </w:rPr>
        <w:t xml:space="preserve"> fue positiva</w:t>
      </w:r>
      <w:r w:rsidR="00A26BAE" w:rsidRPr="00A26BAE">
        <w:rPr>
          <w:rFonts w:ascii="Open Sans Light" w:hAnsi="Open Sans Light" w:cs="Open Sans Light"/>
          <w:sz w:val="24"/>
          <w:szCs w:val="24"/>
        </w:rPr>
        <w:t>,</w:t>
      </w:r>
      <w:r w:rsidR="001A14A7" w:rsidRPr="00A26BAE">
        <w:rPr>
          <w:rFonts w:ascii="Open Sans Light" w:hAnsi="Open Sans Light" w:cs="Open Sans Light"/>
          <w:sz w:val="24"/>
          <w:szCs w:val="24"/>
        </w:rPr>
        <w:t xml:space="preserve"> a lo largo del periodo analizado se observaron mayores cantidades de recursos asignados a objetivos alineados al PNAIA 2012-2021. N</w:t>
      </w:r>
      <w:r w:rsidRPr="00A26BAE">
        <w:rPr>
          <w:rFonts w:ascii="Open Sans Light" w:hAnsi="Open Sans Light" w:cs="Open Sans Light"/>
          <w:sz w:val="24"/>
          <w:szCs w:val="24"/>
        </w:rPr>
        <w:t>o obstante, no parece se esté aplicando un enfoque territorial, ya que los departamentos con mejores niveles presupuestarios no coinciden con aquellos que tienen las más graves brechas. La</w:t>
      </w:r>
      <w:r w:rsidR="007A3D65" w:rsidRPr="00A26BAE">
        <w:rPr>
          <w:rFonts w:ascii="Open Sans Light" w:hAnsi="Open Sans Light" w:cs="Open Sans Light"/>
          <w:sz w:val="24"/>
          <w:szCs w:val="24"/>
        </w:rPr>
        <w:t xml:space="preserve"> Comisión Multisectorial </w:t>
      </w:r>
      <w:r w:rsidR="00236019" w:rsidRPr="00A26BAE">
        <w:rPr>
          <w:rFonts w:ascii="Open Sans Light" w:hAnsi="Open Sans Light" w:cs="Open Sans Light"/>
          <w:sz w:val="24"/>
          <w:szCs w:val="24"/>
        </w:rPr>
        <w:t>Permanente</w:t>
      </w:r>
      <w:r w:rsidRPr="00A26BAE">
        <w:rPr>
          <w:rFonts w:ascii="Open Sans Light" w:hAnsi="Open Sans Light" w:cs="Open Sans Light"/>
          <w:sz w:val="24"/>
          <w:szCs w:val="24"/>
        </w:rPr>
        <w:t xml:space="preserve"> </w:t>
      </w:r>
      <w:r w:rsidR="007A3D65" w:rsidRPr="00A26BAE">
        <w:rPr>
          <w:rFonts w:ascii="Open Sans Light" w:hAnsi="Open Sans Light" w:cs="Open Sans Light"/>
          <w:sz w:val="24"/>
          <w:szCs w:val="24"/>
        </w:rPr>
        <w:t>(</w:t>
      </w:r>
      <w:r w:rsidRPr="00A26BAE">
        <w:rPr>
          <w:rFonts w:ascii="Open Sans Light" w:hAnsi="Open Sans Light" w:cs="Open Sans Light"/>
          <w:sz w:val="24"/>
          <w:szCs w:val="24"/>
        </w:rPr>
        <w:t>CMP</w:t>
      </w:r>
      <w:r w:rsidR="007A3D65" w:rsidRPr="00A26BAE">
        <w:rPr>
          <w:rFonts w:ascii="Open Sans Light" w:hAnsi="Open Sans Light" w:cs="Open Sans Light"/>
          <w:sz w:val="24"/>
          <w:szCs w:val="24"/>
        </w:rPr>
        <w:t>)</w:t>
      </w:r>
      <w:r w:rsidRPr="00A26BAE">
        <w:rPr>
          <w:rFonts w:ascii="Open Sans Light" w:hAnsi="Open Sans Light" w:cs="Open Sans Light"/>
          <w:sz w:val="24"/>
          <w:szCs w:val="24"/>
        </w:rPr>
        <w:t xml:space="preserve">, el </w:t>
      </w:r>
      <w:r w:rsidR="007A3D65" w:rsidRPr="00A26BAE">
        <w:rPr>
          <w:rFonts w:ascii="Open Sans Light" w:hAnsi="Open Sans Light" w:cs="Open Sans Light"/>
          <w:sz w:val="24"/>
          <w:szCs w:val="24"/>
        </w:rPr>
        <w:t>Grupo de trabajo</w:t>
      </w:r>
      <w:r w:rsidR="0053161F" w:rsidRPr="00A26BAE">
        <w:t xml:space="preserve"> </w:t>
      </w:r>
      <w:r w:rsidR="0053161F" w:rsidRPr="00A26BAE">
        <w:rPr>
          <w:rFonts w:ascii="Open Sans Light" w:hAnsi="Open Sans Light" w:cs="Open Sans Light"/>
          <w:sz w:val="24"/>
          <w:szCs w:val="24"/>
        </w:rPr>
        <w:t>del Sistema de Monitoreo y Evaluación del PNAIA</w:t>
      </w:r>
      <w:r w:rsidR="007A3D65" w:rsidRPr="00A26BAE">
        <w:rPr>
          <w:rFonts w:ascii="Open Sans Light" w:hAnsi="Open Sans Light" w:cs="Open Sans Light"/>
          <w:sz w:val="24"/>
          <w:szCs w:val="24"/>
        </w:rPr>
        <w:t xml:space="preserve"> </w:t>
      </w:r>
      <w:r w:rsidR="0053161F" w:rsidRPr="00A26BAE">
        <w:rPr>
          <w:rFonts w:ascii="Open Sans Light" w:hAnsi="Open Sans Light" w:cs="Open Sans Light"/>
          <w:sz w:val="24"/>
          <w:szCs w:val="24"/>
        </w:rPr>
        <w:t>(</w:t>
      </w:r>
      <w:r w:rsidRPr="00A26BAE">
        <w:rPr>
          <w:rFonts w:ascii="Open Sans Light" w:hAnsi="Open Sans Light" w:cs="Open Sans Light"/>
          <w:sz w:val="24"/>
          <w:szCs w:val="24"/>
        </w:rPr>
        <w:t>SIMONE</w:t>
      </w:r>
      <w:r w:rsidR="0053161F" w:rsidRPr="00A26BAE">
        <w:rPr>
          <w:rFonts w:ascii="Open Sans Light" w:hAnsi="Open Sans Light" w:cs="Open Sans Light"/>
          <w:sz w:val="24"/>
          <w:szCs w:val="24"/>
        </w:rPr>
        <w:t>)</w:t>
      </w:r>
      <w:r w:rsidRPr="00A26BAE">
        <w:rPr>
          <w:rFonts w:ascii="Open Sans Light" w:hAnsi="Open Sans Light" w:cs="Open Sans Light"/>
          <w:sz w:val="24"/>
          <w:szCs w:val="24"/>
        </w:rPr>
        <w:t xml:space="preserve"> y los</w:t>
      </w:r>
      <w:r w:rsidR="0053161F" w:rsidRPr="00A26BAE">
        <w:rPr>
          <w:rFonts w:ascii="Open Sans Light" w:hAnsi="Open Sans Light" w:cs="Open Sans Light"/>
          <w:sz w:val="24"/>
          <w:szCs w:val="24"/>
        </w:rPr>
        <w:t xml:space="preserve"> </w:t>
      </w:r>
      <w:r w:rsidR="0053161F" w:rsidRPr="00A26BAE">
        <w:rPr>
          <w:rFonts w:ascii="Open Sans Light" w:eastAsia="Open Sans Light" w:hAnsi="Open Sans Light" w:cs="Open Sans Light"/>
          <w:sz w:val="24"/>
          <w:szCs w:val="24"/>
        </w:rPr>
        <w:t>Planes Regionales de Acción por la Infancia y Adolescencia</w:t>
      </w:r>
      <w:r w:rsidRPr="00A26BAE">
        <w:rPr>
          <w:rFonts w:ascii="Open Sans Light" w:hAnsi="Open Sans Light" w:cs="Open Sans Light"/>
          <w:sz w:val="24"/>
          <w:szCs w:val="24"/>
        </w:rPr>
        <w:t xml:space="preserve"> </w:t>
      </w:r>
      <w:r w:rsidR="0053161F" w:rsidRPr="00A26BAE">
        <w:rPr>
          <w:rFonts w:ascii="Open Sans Light" w:hAnsi="Open Sans Light" w:cs="Open Sans Light"/>
          <w:sz w:val="24"/>
          <w:szCs w:val="24"/>
        </w:rPr>
        <w:t>(</w:t>
      </w:r>
      <w:r w:rsidRPr="00A26BAE">
        <w:rPr>
          <w:rFonts w:ascii="Open Sans Light" w:hAnsi="Open Sans Light" w:cs="Open Sans Light"/>
          <w:sz w:val="24"/>
          <w:szCs w:val="24"/>
        </w:rPr>
        <w:t>PRAIA</w:t>
      </w:r>
      <w:r w:rsidR="0053161F" w:rsidRPr="00A26BAE">
        <w:rPr>
          <w:rFonts w:ascii="Open Sans Light" w:hAnsi="Open Sans Light" w:cs="Open Sans Light"/>
          <w:sz w:val="24"/>
          <w:szCs w:val="24"/>
        </w:rPr>
        <w:t>)</w:t>
      </w:r>
      <w:r w:rsidRPr="00A26BAE">
        <w:rPr>
          <w:rFonts w:ascii="Open Sans Light" w:hAnsi="Open Sans Light" w:cs="Open Sans Light"/>
          <w:sz w:val="24"/>
          <w:szCs w:val="24"/>
        </w:rPr>
        <w:t xml:space="preserve"> articularon esfuerzos para mejorar la exposición y posicionamiento del tema, la publicación de datos e informes, así como el desarrollo de una plataforma para la articulación de gobiernos regionales</w:t>
      </w:r>
      <w:r w:rsidR="0011635E" w:rsidRPr="00A26BAE">
        <w:rPr>
          <w:rFonts w:ascii="Open Sans Light" w:hAnsi="Open Sans Light" w:cs="Open Sans Light"/>
          <w:sz w:val="24"/>
          <w:szCs w:val="24"/>
        </w:rPr>
        <w:t>.</w:t>
      </w:r>
      <w:r w:rsidRPr="00A26BAE">
        <w:rPr>
          <w:rFonts w:ascii="Open Sans Light" w:hAnsi="Open Sans Light" w:cs="Open Sans Light"/>
          <w:sz w:val="24"/>
          <w:szCs w:val="24"/>
        </w:rPr>
        <w:t xml:space="preserve"> </w:t>
      </w:r>
      <w:r w:rsidR="00F95391" w:rsidRPr="00A26BAE">
        <w:rPr>
          <w:rFonts w:ascii="Open Sans Light" w:hAnsi="Open Sans Light" w:cs="Open Sans Light"/>
          <w:sz w:val="24"/>
          <w:szCs w:val="24"/>
        </w:rPr>
        <w:t>Se concluye que e</w:t>
      </w:r>
      <w:r w:rsidRPr="00A26BAE">
        <w:rPr>
          <w:rFonts w:ascii="Open Sans Light" w:hAnsi="Open Sans Light" w:cs="Open Sans Light"/>
          <w:sz w:val="24"/>
          <w:szCs w:val="24"/>
        </w:rPr>
        <w:t>l PNAIA 2012-2021 demuestra menos efic</w:t>
      </w:r>
      <w:r w:rsidR="0070479B">
        <w:rPr>
          <w:rFonts w:ascii="Open Sans Light" w:hAnsi="Open Sans Light" w:cs="Open Sans Light"/>
          <w:sz w:val="24"/>
          <w:szCs w:val="24"/>
        </w:rPr>
        <w:t>acia</w:t>
      </w:r>
      <w:r w:rsidRPr="00A26BAE">
        <w:rPr>
          <w:rFonts w:ascii="Open Sans Light" w:hAnsi="Open Sans Light" w:cs="Open Sans Light"/>
          <w:sz w:val="24"/>
          <w:szCs w:val="24"/>
        </w:rPr>
        <w:t xml:space="preserve"> en el logro de resultados que en su implementación</w:t>
      </w:r>
      <w:r w:rsidR="005308BB" w:rsidRPr="00A26BAE">
        <w:rPr>
          <w:rFonts w:ascii="Open Sans Light" w:hAnsi="Open Sans Light" w:cs="Open Sans Light"/>
          <w:sz w:val="24"/>
          <w:szCs w:val="24"/>
        </w:rPr>
        <w:t xml:space="preserve">. Es decir, se vienen realizando mayores asignaciones presupuestarias y articulando grupos de trabajo, comisiones y planes regionales, ambos en el marco del PNAIA 2012-2021; sin embargo, estos esfuerzos no se están traduciendo en una </w:t>
      </w:r>
      <w:r w:rsidR="0022668C" w:rsidRPr="00A26BAE">
        <w:rPr>
          <w:rFonts w:ascii="Open Sans Light" w:hAnsi="Open Sans Light" w:cs="Open Sans Light"/>
          <w:sz w:val="24"/>
          <w:szCs w:val="24"/>
        </w:rPr>
        <w:t>mejora universal y constante en el logro de resultados</w:t>
      </w:r>
      <w:r w:rsidRPr="00A26BAE">
        <w:rPr>
          <w:rFonts w:ascii="Open Sans Light" w:hAnsi="Open Sans Light" w:cs="Open Sans Light"/>
          <w:sz w:val="24"/>
          <w:szCs w:val="24"/>
        </w:rPr>
        <w:t xml:space="preserve">. Al respecto, se recomienda priorizar </w:t>
      </w:r>
      <w:r w:rsidR="0022668C" w:rsidRPr="00A26BAE">
        <w:rPr>
          <w:rFonts w:ascii="Open Sans Light" w:hAnsi="Open Sans Light" w:cs="Open Sans Light"/>
          <w:sz w:val="24"/>
          <w:szCs w:val="24"/>
        </w:rPr>
        <w:t>la</w:t>
      </w:r>
      <w:r w:rsidRPr="00A26BAE">
        <w:rPr>
          <w:rFonts w:ascii="Open Sans Light" w:hAnsi="Open Sans Light" w:cs="Open Sans Light"/>
          <w:sz w:val="24"/>
          <w:szCs w:val="24"/>
        </w:rPr>
        <w:t xml:space="preserve"> acción sobre las zonas geográficas más vulnerables, así como mayor capacitación técnica en torno al PNAIA 2012-2021</w:t>
      </w:r>
      <w:r w:rsidRPr="00A42A81">
        <w:rPr>
          <w:rFonts w:ascii="Open Sans Light" w:hAnsi="Open Sans Light" w:cs="Open Sans Light"/>
          <w:sz w:val="24"/>
          <w:szCs w:val="24"/>
        </w:rPr>
        <w:t>.</w:t>
      </w:r>
    </w:p>
    <w:p w14:paraId="125EBA15" w14:textId="0F4E68E9" w:rsidR="00A706EF" w:rsidRPr="00C47DFA" w:rsidRDefault="00AE7D5B" w:rsidP="004C4BFE">
      <w:pPr>
        <w:pStyle w:val="Heading1"/>
        <w:numPr>
          <w:ilvl w:val="0"/>
          <w:numId w:val="24"/>
        </w:numPr>
        <w:spacing w:after="240"/>
        <w:ind w:left="360"/>
        <w:rPr>
          <w:color w:val="1F3864"/>
          <w:sz w:val="60"/>
          <w:szCs w:val="60"/>
        </w:rPr>
      </w:pPr>
      <w:bookmarkStart w:id="2" w:name="_Toc91781802"/>
      <w:r w:rsidRPr="00C47DFA">
        <w:rPr>
          <w:color w:val="1F3864"/>
          <w:sz w:val="60"/>
          <w:szCs w:val="60"/>
        </w:rPr>
        <w:lastRenderedPageBreak/>
        <w:t>Introducción</w:t>
      </w:r>
      <w:bookmarkEnd w:id="2"/>
    </w:p>
    <w:p w14:paraId="3C088980" w14:textId="18570D2B" w:rsidR="00E56D78" w:rsidRPr="008B7C50" w:rsidRDefault="00E56D78" w:rsidP="00E56D78">
      <w:pPr>
        <w:jc w:val="both"/>
        <w:rPr>
          <w:rFonts w:ascii="Open Sans Light" w:eastAsia="Open Sans Light" w:hAnsi="Open Sans Light" w:cs="Open Sans Light"/>
          <w:color w:val="000000"/>
          <w:sz w:val="24"/>
          <w:szCs w:val="24"/>
        </w:rPr>
      </w:pPr>
      <w:r w:rsidRPr="008B7C50">
        <w:rPr>
          <w:rFonts w:ascii="Open Sans Light" w:eastAsia="Open Sans Light" w:hAnsi="Open Sans Light" w:cs="Open Sans Light"/>
          <w:color w:val="000000"/>
          <w:sz w:val="24"/>
          <w:szCs w:val="24"/>
        </w:rPr>
        <w:t xml:space="preserve">El informe de evaluación contiene las siguientes </w:t>
      </w:r>
      <w:r w:rsidR="0022668C" w:rsidRPr="008B7C50">
        <w:rPr>
          <w:rFonts w:ascii="Open Sans Light" w:eastAsia="Open Sans Light" w:hAnsi="Open Sans Light" w:cs="Open Sans Light"/>
          <w:color w:val="000000"/>
          <w:sz w:val="24"/>
          <w:szCs w:val="24"/>
        </w:rPr>
        <w:t>8</w:t>
      </w:r>
      <w:r w:rsidRPr="008B7C50">
        <w:rPr>
          <w:rFonts w:ascii="Open Sans Light" w:eastAsia="Open Sans Light" w:hAnsi="Open Sans Light" w:cs="Open Sans Light"/>
          <w:color w:val="000000"/>
          <w:sz w:val="24"/>
          <w:szCs w:val="24"/>
        </w:rPr>
        <w:t xml:space="preserve"> secciones: </w:t>
      </w:r>
      <w:r w:rsidR="0022668C" w:rsidRPr="008B7C50">
        <w:rPr>
          <w:rFonts w:ascii="Open Sans Light" w:eastAsia="Open Sans Light" w:hAnsi="Open Sans Light" w:cs="Open Sans Light"/>
          <w:color w:val="000000"/>
          <w:sz w:val="24"/>
          <w:szCs w:val="24"/>
        </w:rPr>
        <w:t xml:space="preserve">(i) resumen ejecutivo, </w:t>
      </w:r>
      <w:r w:rsidRPr="008B7C50">
        <w:rPr>
          <w:rFonts w:ascii="Open Sans Light" w:eastAsia="Open Sans Light" w:hAnsi="Open Sans Light" w:cs="Open Sans Light"/>
          <w:color w:val="000000"/>
          <w:sz w:val="24"/>
          <w:szCs w:val="24"/>
        </w:rPr>
        <w:t>(</w:t>
      </w:r>
      <w:r w:rsidR="0022668C" w:rsidRPr="008B7C50">
        <w:rPr>
          <w:rFonts w:ascii="Open Sans Light" w:eastAsia="Open Sans Light" w:hAnsi="Open Sans Light" w:cs="Open Sans Light"/>
          <w:color w:val="000000"/>
          <w:sz w:val="24"/>
          <w:szCs w:val="24"/>
        </w:rPr>
        <w:t>i</w:t>
      </w:r>
      <w:r w:rsidRPr="008B7C50">
        <w:rPr>
          <w:rFonts w:ascii="Open Sans Light" w:eastAsia="Open Sans Light" w:hAnsi="Open Sans Light" w:cs="Open Sans Light"/>
          <w:color w:val="000000"/>
          <w:sz w:val="24"/>
          <w:szCs w:val="24"/>
        </w:rPr>
        <w:t xml:space="preserve">i) </w:t>
      </w:r>
      <w:r w:rsidR="00AE7D5B" w:rsidRPr="008B7C50">
        <w:rPr>
          <w:rFonts w:ascii="Open Sans Light" w:eastAsia="Open Sans Light" w:hAnsi="Open Sans Light" w:cs="Open Sans Light"/>
          <w:color w:val="000000"/>
          <w:sz w:val="24"/>
          <w:szCs w:val="24"/>
        </w:rPr>
        <w:t>introducción</w:t>
      </w:r>
      <w:r w:rsidRPr="008B7C50">
        <w:rPr>
          <w:rFonts w:ascii="Open Sans Light" w:eastAsia="Open Sans Light" w:hAnsi="Open Sans Light" w:cs="Open Sans Light"/>
          <w:color w:val="000000"/>
          <w:sz w:val="24"/>
          <w:szCs w:val="24"/>
        </w:rPr>
        <w:t>, (</w:t>
      </w:r>
      <w:r w:rsidR="0022668C" w:rsidRPr="008B7C50">
        <w:rPr>
          <w:rFonts w:ascii="Open Sans Light" w:eastAsia="Open Sans Light" w:hAnsi="Open Sans Light" w:cs="Open Sans Light"/>
          <w:color w:val="000000"/>
          <w:sz w:val="24"/>
          <w:szCs w:val="24"/>
        </w:rPr>
        <w:t>i</w:t>
      </w:r>
      <w:r w:rsidRPr="008B7C50">
        <w:rPr>
          <w:rFonts w:ascii="Open Sans Light" w:eastAsia="Open Sans Light" w:hAnsi="Open Sans Light" w:cs="Open Sans Light"/>
          <w:color w:val="000000"/>
          <w:sz w:val="24"/>
          <w:szCs w:val="24"/>
        </w:rPr>
        <w:t>ii) aspectos generales, (i</w:t>
      </w:r>
      <w:r w:rsidR="0022668C" w:rsidRPr="008B7C50">
        <w:rPr>
          <w:rFonts w:ascii="Open Sans Light" w:eastAsia="Open Sans Light" w:hAnsi="Open Sans Light" w:cs="Open Sans Light"/>
          <w:color w:val="000000"/>
          <w:sz w:val="24"/>
          <w:szCs w:val="24"/>
        </w:rPr>
        <w:t>v</w:t>
      </w:r>
      <w:r w:rsidRPr="008B7C50">
        <w:rPr>
          <w:rFonts w:ascii="Open Sans Light" w:eastAsia="Open Sans Light" w:hAnsi="Open Sans Light" w:cs="Open Sans Light"/>
          <w:color w:val="000000"/>
          <w:sz w:val="24"/>
          <w:szCs w:val="24"/>
        </w:rPr>
        <w:t>) metodología, (v) resultados, (v</w:t>
      </w:r>
      <w:r w:rsidR="0022668C" w:rsidRPr="008B7C50">
        <w:rPr>
          <w:rFonts w:ascii="Open Sans Light" w:eastAsia="Open Sans Light" w:hAnsi="Open Sans Light" w:cs="Open Sans Light"/>
          <w:color w:val="000000"/>
          <w:sz w:val="24"/>
          <w:szCs w:val="24"/>
        </w:rPr>
        <w:t>i</w:t>
      </w:r>
      <w:r w:rsidRPr="008B7C50">
        <w:rPr>
          <w:rFonts w:ascii="Open Sans Light" w:eastAsia="Open Sans Light" w:hAnsi="Open Sans Light" w:cs="Open Sans Light"/>
          <w:color w:val="000000"/>
          <w:sz w:val="24"/>
          <w:szCs w:val="24"/>
        </w:rPr>
        <w:t>) conclusiones, (v</w:t>
      </w:r>
      <w:r w:rsidR="0022668C" w:rsidRPr="008B7C50">
        <w:rPr>
          <w:rFonts w:ascii="Open Sans Light" w:eastAsia="Open Sans Light" w:hAnsi="Open Sans Light" w:cs="Open Sans Light"/>
          <w:color w:val="000000"/>
          <w:sz w:val="24"/>
          <w:szCs w:val="24"/>
        </w:rPr>
        <w:t>i</w:t>
      </w:r>
      <w:r w:rsidRPr="008B7C50">
        <w:rPr>
          <w:rFonts w:ascii="Open Sans Light" w:eastAsia="Open Sans Light" w:hAnsi="Open Sans Light" w:cs="Open Sans Light"/>
          <w:color w:val="000000"/>
          <w:sz w:val="24"/>
          <w:szCs w:val="24"/>
        </w:rPr>
        <w:t>i) recomendaciones y (vi</w:t>
      </w:r>
      <w:r w:rsidR="0022668C" w:rsidRPr="008B7C50">
        <w:rPr>
          <w:rFonts w:ascii="Open Sans Light" w:eastAsia="Open Sans Light" w:hAnsi="Open Sans Light" w:cs="Open Sans Light"/>
          <w:color w:val="000000"/>
          <w:sz w:val="24"/>
          <w:szCs w:val="24"/>
        </w:rPr>
        <w:t>i</w:t>
      </w:r>
      <w:r w:rsidRPr="008B7C50">
        <w:rPr>
          <w:rFonts w:ascii="Open Sans Light" w:eastAsia="Open Sans Light" w:hAnsi="Open Sans Light" w:cs="Open Sans Light"/>
          <w:color w:val="000000"/>
          <w:sz w:val="24"/>
          <w:szCs w:val="24"/>
        </w:rPr>
        <w:t xml:space="preserve">i) anexos. </w:t>
      </w:r>
    </w:p>
    <w:p w14:paraId="2E8FB823" w14:textId="37E07ED7" w:rsidR="00E56D78" w:rsidRPr="00F03883" w:rsidRDefault="0022668C" w:rsidP="00E56D78">
      <w:pPr>
        <w:jc w:val="both"/>
        <w:rPr>
          <w:rFonts w:ascii="Open Sans Light" w:eastAsia="Open Sans Light" w:hAnsi="Open Sans Light" w:cs="Open Sans Light"/>
          <w:color w:val="000000"/>
          <w:sz w:val="24"/>
          <w:szCs w:val="24"/>
        </w:rPr>
      </w:pPr>
      <w:r w:rsidRPr="008B7C50">
        <w:rPr>
          <w:rFonts w:ascii="Open Sans Light" w:eastAsia="Open Sans Light" w:hAnsi="Open Sans Light" w:cs="Open Sans Light"/>
          <w:color w:val="000000"/>
          <w:sz w:val="24"/>
          <w:szCs w:val="24"/>
        </w:rPr>
        <w:t>Luego del resumen ejecutivo en la sección primera y de la introducción en la segunda, en la sección tercera se a</w:t>
      </w:r>
      <w:r w:rsidR="00E56D78" w:rsidRPr="008B7C50">
        <w:rPr>
          <w:rFonts w:ascii="Open Sans Light" w:eastAsia="Open Sans Light" w:hAnsi="Open Sans Light" w:cs="Open Sans Light"/>
          <w:color w:val="000000"/>
          <w:sz w:val="24"/>
          <w:szCs w:val="24"/>
        </w:rPr>
        <w:t>borda</w:t>
      </w:r>
      <w:r w:rsidRPr="008B7C50">
        <w:rPr>
          <w:rFonts w:ascii="Open Sans Light" w:eastAsia="Open Sans Light" w:hAnsi="Open Sans Light" w:cs="Open Sans Light"/>
          <w:color w:val="000000"/>
          <w:sz w:val="24"/>
          <w:szCs w:val="24"/>
        </w:rPr>
        <w:t>n</w:t>
      </w:r>
      <w:r w:rsidR="00E56D78" w:rsidRPr="008B7C50">
        <w:rPr>
          <w:rFonts w:ascii="Open Sans Light" w:eastAsia="Open Sans Light" w:hAnsi="Open Sans Light" w:cs="Open Sans Light"/>
          <w:color w:val="000000"/>
          <w:sz w:val="24"/>
          <w:szCs w:val="24"/>
        </w:rPr>
        <w:t xml:space="preserve"> aspectos generales</w:t>
      </w:r>
      <w:r w:rsidRPr="008B7C50">
        <w:rPr>
          <w:rFonts w:ascii="Open Sans Light" w:eastAsia="Open Sans Light" w:hAnsi="Open Sans Light" w:cs="Open Sans Light"/>
          <w:color w:val="000000"/>
          <w:sz w:val="24"/>
          <w:szCs w:val="24"/>
        </w:rPr>
        <w:t>. Entre estos se</w:t>
      </w:r>
      <w:r w:rsidR="00E56D78" w:rsidRPr="008B7C50">
        <w:rPr>
          <w:rFonts w:ascii="Open Sans Light" w:eastAsia="Open Sans Light" w:hAnsi="Open Sans Light" w:cs="Open Sans Light"/>
          <w:color w:val="000000"/>
          <w:sz w:val="24"/>
          <w:szCs w:val="24"/>
        </w:rPr>
        <w:t xml:space="preserve"> encuentra la descripción del PNAIA 2012-2021, así como los objetivos generales y específicos del informe de evaluación.</w:t>
      </w:r>
      <w:r w:rsidR="00E56D78" w:rsidRPr="00F03883">
        <w:rPr>
          <w:rFonts w:ascii="Open Sans Light" w:eastAsia="Open Sans Light" w:hAnsi="Open Sans Light" w:cs="Open Sans Light"/>
          <w:color w:val="000000"/>
          <w:sz w:val="24"/>
          <w:szCs w:val="24"/>
        </w:rPr>
        <w:t xml:space="preserve"> La estructura se divide en 3 subsecciones. En la primera subsección se resalta la naturaleza de instrumento marco de política pública del PNAIA 2012-2021, así como sus funciones, su visión y misión. En la segunda subsección se revisan los objetivos generales del informe de evaluación y en la tercera sus objetivos específicos. </w:t>
      </w:r>
    </w:p>
    <w:p w14:paraId="5A97D8E0" w14:textId="667E86C4" w:rsidR="00E56D78" w:rsidRPr="00F03883" w:rsidRDefault="00E56D78" w:rsidP="00E56D78">
      <w:pPr>
        <w:jc w:val="both"/>
        <w:rPr>
          <w:rFonts w:ascii="Open Sans Light" w:eastAsia="Open Sans Light" w:hAnsi="Open Sans Light" w:cs="Open Sans Light"/>
          <w:color w:val="000000"/>
          <w:sz w:val="24"/>
          <w:szCs w:val="24"/>
        </w:rPr>
      </w:pPr>
      <w:r w:rsidRPr="008B7C50">
        <w:rPr>
          <w:rFonts w:ascii="Open Sans Light" w:eastAsia="Open Sans Light" w:hAnsi="Open Sans Light" w:cs="Open Sans Light"/>
          <w:color w:val="000000"/>
          <w:sz w:val="24"/>
          <w:szCs w:val="24"/>
        </w:rPr>
        <w:t xml:space="preserve">La </w:t>
      </w:r>
      <w:r w:rsidR="0022668C" w:rsidRPr="008B7C50">
        <w:rPr>
          <w:rFonts w:ascii="Open Sans Light" w:eastAsia="Open Sans Light" w:hAnsi="Open Sans Light" w:cs="Open Sans Light"/>
          <w:color w:val="000000"/>
          <w:sz w:val="24"/>
          <w:szCs w:val="24"/>
        </w:rPr>
        <w:t>cuarta</w:t>
      </w:r>
      <w:r w:rsidR="000B1DBE" w:rsidRPr="008B7C50">
        <w:rPr>
          <w:rFonts w:ascii="Open Sans Light" w:eastAsia="Open Sans Light" w:hAnsi="Open Sans Light" w:cs="Open Sans Light"/>
          <w:color w:val="000000"/>
          <w:sz w:val="24"/>
          <w:szCs w:val="24"/>
        </w:rPr>
        <w:t xml:space="preserve"> </w:t>
      </w:r>
      <w:r w:rsidRPr="008B7C50">
        <w:rPr>
          <w:rFonts w:ascii="Open Sans Light" w:eastAsia="Open Sans Light" w:hAnsi="Open Sans Light" w:cs="Open Sans Light"/>
          <w:color w:val="000000"/>
          <w:sz w:val="24"/>
          <w:szCs w:val="24"/>
        </w:rPr>
        <w:t>sección incorpora los detalles metodológicos del análisis de resultados.</w:t>
      </w:r>
      <w:r w:rsidRPr="00F03883">
        <w:rPr>
          <w:rFonts w:ascii="Open Sans Light" w:eastAsia="Open Sans Light" w:hAnsi="Open Sans Light" w:cs="Open Sans Light"/>
          <w:color w:val="000000"/>
          <w:sz w:val="24"/>
          <w:szCs w:val="24"/>
        </w:rPr>
        <w:t xml:space="preserve"> Esta sección también se estructura en 3 subsecciones. En la primera se detalla cómo se priorizó la evaluación de ciertos resultados esperados y cómo se procedió a realizar el análisis de eficacia. En la segunda se profundiza en la selección de metas emblemáticas, así como en los detalles de su evaluación; también se considera la selección de algunos indicadores proxy del logro de resultados asociados a las metas emblemáticas seleccionadas. En la tercera subsección se revisan aspectos técnicos sobre la evaluación de eficacia de los mecanismos de implementación</w:t>
      </w:r>
      <w:r w:rsidR="007E4FC8">
        <w:rPr>
          <w:rFonts w:ascii="Open Sans Light" w:eastAsia="Open Sans Light" w:hAnsi="Open Sans Light" w:cs="Open Sans Light"/>
          <w:color w:val="000000"/>
          <w:sz w:val="24"/>
          <w:szCs w:val="24"/>
        </w:rPr>
        <w:t>,</w:t>
      </w:r>
      <w:r w:rsidRPr="00F03883">
        <w:rPr>
          <w:rFonts w:ascii="Open Sans Light" w:eastAsia="Open Sans Light" w:hAnsi="Open Sans Light" w:cs="Open Sans Light"/>
          <w:color w:val="000000"/>
          <w:sz w:val="24"/>
          <w:szCs w:val="24"/>
        </w:rPr>
        <w:t xml:space="preserve"> </w:t>
      </w:r>
      <w:r w:rsidR="00CA5FFA">
        <w:rPr>
          <w:rFonts w:ascii="Open Sans Light" w:eastAsia="Open Sans Light" w:hAnsi="Open Sans Light" w:cs="Open Sans Light"/>
          <w:color w:val="000000"/>
          <w:sz w:val="24"/>
          <w:szCs w:val="24"/>
        </w:rPr>
        <w:t xml:space="preserve">así como </w:t>
      </w:r>
      <w:r w:rsidRPr="00F03883">
        <w:rPr>
          <w:rFonts w:ascii="Open Sans Light" w:eastAsia="Open Sans Light" w:hAnsi="Open Sans Light" w:cs="Open Sans Light"/>
          <w:color w:val="000000"/>
          <w:sz w:val="24"/>
          <w:szCs w:val="24"/>
        </w:rPr>
        <w:t>se muestran las preguntas realizadas a actores claves</w:t>
      </w:r>
      <w:r w:rsidR="00151B3A">
        <w:rPr>
          <w:rFonts w:ascii="Open Sans Light" w:eastAsia="Open Sans Light" w:hAnsi="Open Sans Light" w:cs="Open Sans Light"/>
          <w:color w:val="000000"/>
          <w:sz w:val="24"/>
          <w:szCs w:val="24"/>
        </w:rPr>
        <w:t>,</w:t>
      </w:r>
      <w:r w:rsidRPr="00F03883">
        <w:rPr>
          <w:rFonts w:ascii="Open Sans Light" w:eastAsia="Open Sans Light" w:hAnsi="Open Sans Light" w:cs="Open Sans Light"/>
          <w:color w:val="000000"/>
          <w:sz w:val="24"/>
          <w:szCs w:val="24"/>
        </w:rPr>
        <w:t xml:space="preserve"> mediante las cuales se logró extraer indicadores para evaluar </w:t>
      </w:r>
      <w:r w:rsidR="000B1DBE">
        <w:rPr>
          <w:rFonts w:ascii="Open Sans Light" w:eastAsia="Open Sans Light" w:hAnsi="Open Sans Light" w:cs="Open Sans Light"/>
          <w:color w:val="000000"/>
          <w:sz w:val="24"/>
          <w:szCs w:val="24"/>
        </w:rPr>
        <w:t>espacios relevantes de articulación como</w:t>
      </w:r>
      <w:r w:rsidRPr="00F03883">
        <w:rPr>
          <w:rFonts w:ascii="Open Sans Light" w:eastAsia="Open Sans Light" w:hAnsi="Open Sans Light" w:cs="Open Sans Light"/>
          <w:color w:val="000000"/>
          <w:sz w:val="24"/>
          <w:szCs w:val="24"/>
        </w:rPr>
        <w:t xml:space="preserve"> la Comisión Multisectorial Permanente, al Grupo de Trabajo SIMONE y los Planes Regionales de Acción por la Infancia y Adolescencia. </w:t>
      </w:r>
    </w:p>
    <w:p w14:paraId="0000001D" w14:textId="7882AF9F" w:rsidR="00971081" w:rsidRDefault="00E56D78" w:rsidP="00E56D78">
      <w:pPr>
        <w:jc w:val="both"/>
      </w:pPr>
      <w:r w:rsidRPr="00F03883">
        <w:rPr>
          <w:rFonts w:ascii="Open Sans Light" w:eastAsia="Open Sans Light" w:hAnsi="Open Sans Light" w:cs="Open Sans Light"/>
          <w:color w:val="000000"/>
          <w:sz w:val="24"/>
          <w:szCs w:val="24"/>
        </w:rPr>
        <w:t xml:space="preserve">La cuarta sección </w:t>
      </w:r>
      <w:r w:rsidR="000B1DBE">
        <w:rPr>
          <w:rFonts w:ascii="Open Sans Light" w:eastAsia="Open Sans Light" w:hAnsi="Open Sans Light" w:cs="Open Sans Light"/>
          <w:color w:val="000000"/>
          <w:sz w:val="24"/>
          <w:szCs w:val="24"/>
        </w:rPr>
        <w:t xml:space="preserve">presenta </w:t>
      </w:r>
      <w:r w:rsidRPr="00F03883">
        <w:rPr>
          <w:rFonts w:ascii="Open Sans Light" w:eastAsia="Open Sans Light" w:hAnsi="Open Sans Light" w:cs="Open Sans Light"/>
          <w:color w:val="000000"/>
          <w:sz w:val="24"/>
          <w:szCs w:val="24"/>
        </w:rPr>
        <w:t xml:space="preserve">los resultados </w:t>
      </w:r>
      <w:r w:rsidR="000B1DBE">
        <w:rPr>
          <w:rFonts w:ascii="Open Sans Light" w:eastAsia="Open Sans Light" w:hAnsi="Open Sans Light" w:cs="Open Sans Light"/>
          <w:color w:val="000000"/>
          <w:sz w:val="24"/>
          <w:szCs w:val="24"/>
        </w:rPr>
        <w:t>de la evaluación, la cual</w:t>
      </w:r>
      <w:r w:rsidRPr="00F03883">
        <w:rPr>
          <w:rFonts w:ascii="Open Sans Light" w:eastAsia="Open Sans Light" w:hAnsi="Open Sans Light" w:cs="Open Sans Light"/>
          <w:color w:val="000000"/>
          <w:sz w:val="24"/>
          <w:szCs w:val="24"/>
        </w:rPr>
        <w:t xml:space="preserve"> también se encuentra estructurada en 3 subsecciones</w:t>
      </w:r>
      <w:r w:rsidR="000870F0" w:rsidRPr="000870F0">
        <w:rPr>
          <w:rFonts w:ascii="Open Sans Light" w:eastAsia="Open Sans Light" w:hAnsi="Open Sans Light" w:cs="Open Sans Light"/>
          <w:color w:val="000000"/>
          <w:sz w:val="24"/>
          <w:szCs w:val="24"/>
        </w:rPr>
        <w:t>; en la primera se realiza el análisis a los 21 indicadores</w:t>
      </w:r>
      <w:r w:rsidR="008B7C50">
        <w:rPr>
          <w:rFonts w:ascii="Open Sans Light" w:eastAsia="Open Sans Light" w:hAnsi="Open Sans Light" w:cs="Open Sans Light"/>
          <w:color w:val="000000"/>
          <w:sz w:val="24"/>
          <w:szCs w:val="24"/>
        </w:rPr>
        <w:t xml:space="preserve">, luego de haber </w:t>
      </w:r>
      <w:r w:rsidR="002140E9" w:rsidRPr="008B7C50">
        <w:rPr>
          <w:rFonts w:ascii="Open Sans Light" w:eastAsia="Open Sans Light" w:hAnsi="Open Sans Light" w:cs="Open Sans Light"/>
          <w:sz w:val="24"/>
          <w:szCs w:val="24"/>
        </w:rPr>
        <w:t>retirado</w:t>
      </w:r>
      <w:r w:rsidR="002140E9" w:rsidRPr="00091A7B">
        <w:rPr>
          <w:rFonts w:ascii="Open Sans Light" w:eastAsia="Open Sans Light" w:hAnsi="Open Sans Light" w:cs="Open Sans Light"/>
          <w:sz w:val="24"/>
          <w:szCs w:val="24"/>
        </w:rPr>
        <w:t xml:space="preserve"> </w:t>
      </w:r>
      <w:r w:rsidR="000870F0" w:rsidRPr="00091A7B">
        <w:rPr>
          <w:rFonts w:ascii="Open Sans Light" w:eastAsia="Open Sans Light" w:hAnsi="Open Sans Light" w:cs="Open Sans Light"/>
          <w:sz w:val="24"/>
          <w:szCs w:val="24"/>
        </w:rPr>
        <w:t xml:space="preserve">aquellos con información deficiente, en la segunda se explican los resultados </w:t>
      </w:r>
      <w:r w:rsidR="000870F0" w:rsidRPr="000870F0">
        <w:rPr>
          <w:rFonts w:ascii="Open Sans Light" w:eastAsia="Open Sans Light" w:hAnsi="Open Sans Light" w:cs="Open Sans Light"/>
          <w:color w:val="000000"/>
          <w:sz w:val="24"/>
          <w:szCs w:val="24"/>
        </w:rPr>
        <w:t>del balance realizado a 6 metas emblemáticas</w:t>
      </w:r>
      <w:r w:rsidR="000870F0">
        <w:rPr>
          <w:rFonts w:ascii="Open Sans Light" w:eastAsia="Open Sans Light" w:hAnsi="Open Sans Light" w:cs="Open Sans Light"/>
          <w:color w:val="000000"/>
          <w:sz w:val="24"/>
          <w:szCs w:val="24"/>
        </w:rPr>
        <w:t>, cada una de ellas asociada a un resultado esperado del PNAIA 2012-2021</w:t>
      </w:r>
      <w:r w:rsidR="000870F0" w:rsidRPr="000870F0">
        <w:rPr>
          <w:rFonts w:ascii="Open Sans Light" w:eastAsia="Open Sans Light" w:hAnsi="Open Sans Light" w:cs="Open Sans Light"/>
          <w:color w:val="000000"/>
          <w:sz w:val="24"/>
          <w:szCs w:val="24"/>
        </w:rPr>
        <w:t>, y, finalmente, en la tercera subsección se aborda el análisis de eficacia de mecanismos de implementación</w:t>
      </w:r>
      <w:r w:rsidR="009A5D8C">
        <w:rPr>
          <w:rFonts w:ascii="Open Sans Light" w:eastAsia="Open Sans Light" w:hAnsi="Open Sans Light" w:cs="Open Sans Light"/>
          <w:color w:val="000000"/>
          <w:sz w:val="24"/>
          <w:szCs w:val="24"/>
        </w:rPr>
        <w:t xml:space="preserve"> </w:t>
      </w:r>
      <w:r w:rsidR="009A5D8C" w:rsidRPr="009A5D8C">
        <w:rPr>
          <w:rFonts w:ascii="Open Sans Light" w:eastAsia="Open Sans Light" w:hAnsi="Open Sans Light" w:cs="Open Sans Light"/>
          <w:color w:val="000000"/>
          <w:sz w:val="24"/>
          <w:szCs w:val="24"/>
        </w:rPr>
        <w:t xml:space="preserve">realizados a la Comisión Multisectorial Permanente, al Grupo de Trabajo SIMONE y a los Planes </w:t>
      </w:r>
      <w:r w:rsidR="009A5D8C" w:rsidRPr="009A5D8C">
        <w:rPr>
          <w:rFonts w:ascii="Open Sans Light" w:eastAsia="Open Sans Light" w:hAnsi="Open Sans Light" w:cs="Open Sans Light"/>
          <w:color w:val="000000"/>
          <w:sz w:val="24"/>
          <w:szCs w:val="24"/>
        </w:rPr>
        <w:lastRenderedPageBreak/>
        <w:t>Regionales de Acción por la Infancia y Adolescencia</w:t>
      </w:r>
      <w:r w:rsidR="009A5D8C">
        <w:rPr>
          <w:rFonts w:ascii="Open Sans Light" w:eastAsia="Open Sans Light" w:hAnsi="Open Sans Light" w:cs="Open Sans Light"/>
          <w:color w:val="000000"/>
          <w:sz w:val="24"/>
          <w:szCs w:val="24"/>
        </w:rPr>
        <w:t>.</w:t>
      </w:r>
      <w:r w:rsidR="007A3D65">
        <w:rPr>
          <w:rFonts w:ascii="Open Sans Light" w:eastAsia="Open Sans Light" w:hAnsi="Open Sans Light" w:cs="Open Sans Light"/>
          <w:color w:val="000000"/>
          <w:sz w:val="24"/>
          <w:szCs w:val="24"/>
        </w:rPr>
        <w:t xml:space="preserve"> </w:t>
      </w:r>
      <w:r w:rsidRPr="00F03883">
        <w:rPr>
          <w:rFonts w:ascii="Open Sans Light" w:eastAsia="Open Sans Light" w:hAnsi="Open Sans Light" w:cs="Open Sans Light"/>
          <w:color w:val="000000"/>
          <w:sz w:val="24"/>
          <w:szCs w:val="24"/>
        </w:rPr>
        <w:t>Las secciones quinta, sexta y séptima ofrecen conclusiones recomendaciones y anexos.</w:t>
      </w:r>
      <w:r w:rsidRPr="00E56D78">
        <w:rPr>
          <w:rFonts w:ascii="Open Sans Light" w:eastAsia="Open Sans Light" w:hAnsi="Open Sans Light" w:cs="Open Sans Light"/>
          <w:color w:val="000000"/>
          <w:sz w:val="24"/>
          <w:szCs w:val="24"/>
        </w:rPr>
        <w:t xml:space="preserve"> </w:t>
      </w:r>
      <w:r w:rsidR="009104B2">
        <w:br w:type="page"/>
      </w:r>
    </w:p>
    <w:p w14:paraId="0000001F" w14:textId="366B40E5" w:rsidR="00971081" w:rsidRPr="009129F4" w:rsidRDefault="009104B2" w:rsidP="004C4BFE">
      <w:pPr>
        <w:pStyle w:val="Heading1"/>
        <w:numPr>
          <w:ilvl w:val="0"/>
          <w:numId w:val="24"/>
        </w:numPr>
        <w:spacing w:after="240"/>
        <w:ind w:left="360"/>
        <w:rPr>
          <w:color w:val="1F3864"/>
          <w:sz w:val="60"/>
          <w:szCs w:val="60"/>
        </w:rPr>
      </w:pPr>
      <w:bookmarkStart w:id="3" w:name="_Toc91781803"/>
      <w:r>
        <w:rPr>
          <w:color w:val="1F3864"/>
          <w:sz w:val="60"/>
          <w:szCs w:val="60"/>
        </w:rPr>
        <w:lastRenderedPageBreak/>
        <w:t>Aspectos generales</w:t>
      </w:r>
      <w:bookmarkEnd w:id="3"/>
    </w:p>
    <w:p w14:paraId="00000020" w14:textId="1E75329C" w:rsidR="00971081" w:rsidRDefault="009104B2" w:rsidP="004C4BFE">
      <w:pPr>
        <w:pStyle w:val="Heading2"/>
        <w:numPr>
          <w:ilvl w:val="1"/>
          <w:numId w:val="24"/>
        </w:numPr>
        <w:spacing w:after="240"/>
        <w:ind w:left="360"/>
      </w:pPr>
      <w:bookmarkStart w:id="4" w:name="_Toc91781804"/>
      <w:r>
        <w:t xml:space="preserve">Descripción del </w:t>
      </w:r>
      <w:r w:rsidR="00D979D4">
        <w:t>PNAIA 2012 – 2021</w:t>
      </w:r>
      <w:bookmarkEnd w:id="4"/>
    </w:p>
    <w:p w14:paraId="00000021" w14:textId="27206424" w:rsidR="00971081" w:rsidRDefault="009104B2" w:rsidP="00131172">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El Plan Nacional de Acción por la Infancia y la Adolescencia 2012 – 2021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es el instrumento marco de política pública del Estado Peruano, para articular y vincular las políticas que se elabor</w:t>
      </w:r>
      <w:r w:rsidR="00034BC3">
        <w:rPr>
          <w:rFonts w:ascii="Open Sans Light" w:eastAsia="Open Sans Light" w:hAnsi="Open Sans Light" w:cs="Open Sans Light"/>
          <w:color w:val="000000"/>
          <w:sz w:val="24"/>
          <w:szCs w:val="24"/>
        </w:rPr>
        <w:t>aro</w:t>
      </w:r>
      <w:r>
        <w:rPr>
          <w:rFonts w:ascii="Open Sans Light" w:eastAsia="Open Sans Light" w:hAnsi="Open Sans Light" w:cs="Open Sans Light"/>
          <w:color w:val="000000"/>
          <w:sz w:val="24"/>
          <w:szCs w:val="24"/>
        </w:rPr>
        <w:t xml:space="preserve">n en materia de infancia y adolescencia en el </w:t>
      </w:r>
      <w:r w:rsidRPr="0001187A">
        <w:rPr>
          <w:rFonts w:ascii="Open Sans Light" w:eastAsia="Open Sans Light" w:hAnsi="Open Sans Light" w:cs="Open Sans Light"/>
          <w:color w:val="000000"/>
          <w:sz w:val="24"/>
          <w:szCs w:val="24"/>
        </w:rPr>
        <w:t xml:space="preserve">país, </w:t>
      </w:r>
      <w:r w:rsidR="00034BC3" w:rsidRPr="0001187A">
        <w:rPr>
          <w:rFonts w:ascii="Open Sans Light" w:eastAsia="Open Sans Light" w:hAnsi="Open Sans Light" w:cs="Open Sans Light"/>
          <w:color w:val="000000"/>
          <w:sz w:val="24"/>
          <w:szCs w:val="24"/>
        </w:rPr>
        <w:t xml:space="preserve">las cuales orientaron </w:t>
      </w:r>
      <w:r w:rsidRPr="0001187A">
        <w:rPr>
          <w:rFonts w:ascii="Open Sans Light" w:eastAsia="Open Sans Light" w:hAnsi="Open Sans Light" w:cs="Open Sans Light"/>
          <w:color w:val="000000"/>
          <w:sz w:val="24"/>
          <w:szCs w:val="24"/>
        </w:rPr>
        <w:t>la acción del Estado y de la sociedad civil hacia el desarrollo</w:t>
      </w:r>
      <w:r>
        <w:rPr>
          <w:rFonts w:ascii="Open Sans Light" w:eastAsia="Open Sans Light" w:hAnsi="Open Sans Light" w:cs="Open Sans Light"/>
          <w:color w:val="000000"/>
          <w:sz w:val="24"/>
          <w:szCs w:val="24"/>
        </w:rPr>
        <w:t xml:space="preserve"> integral de las niñas, niños y adolescentes</w:t>
      </w:r>
      <w:r w:rsidR="00131172">
        <w:rPr>
          <w:rFonts w:ascii="Open Sans Light" w:eastAsia="Open Sans Light" w:hAnsi="Open Sans Light" w:cs="Open Sans Light"/>
          <w:color w:val="000000"/>
          <w:sz w:val="24"/>
          <w:szCs w:val="24"/>
        </w:rPr>
        <w:t xml:space="preserve"> (NNA)</w:t>
      </w:r>
      <w:r>
        <w:rPr>
          <w:rFonts w:ascii="Open Sans Light" w:eastAsia="Open Sans Light" w:hAnsi="Open Sans Light" w:cs="Open Sans Light"/>
          <w:color w:val="000000"/>
          <w:sz w:val="24"/>
          <w:szCs w:val="24"/>
        </w:rPr>
        <w:t xml:space="preserve"> peruanos.</w:t>
      </w:r>
    </w:p>
    <w:p w14:paraId="7B2FC8AE" w14:textId="40B9176B" w:rsidR="003F435F" w:rsidRDefault="00131172" w:rsidP="00F67C14">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Con el propósito de garantizar el ejercicio de los derechos de las NNA</w:t>
      </w:r>
      <w:r w:rsidR="00FD0F83">
        <w:rPr>
          <w:rFonts w:ascii="Open Sans Light" w:eastAsia="Open Sans Light" w:hAnsi="Open Sans Light" w:cs="Open Sans Light"/>
          <w:color w:val="000000"/>
          <w:sz w:val="24"/>
          <w:szCs w:val="24"/>
        </w:rPr>
        <w:t xml:space="preserve"> el PNAIA 2012 – 2021 </w:t>
      </w:r>
      <w:r>
        <w:rPr>
          <w:rFonts w:ascii="Open Sans Light" w:eastAsia="Open Sans Light" w:hAnsi="Open Sans Light" w:cs="Open Sans Light"/>
          <w:color w:val="000000"/>
          <w:sz w:val="24"/>
          <w:szCs w:val="24"/>
        </w:rPr>
        <w:t>t</w:t>
      </w:r>
      <w:r w:rsidR="00034BC3">
        <w:rPr>
          <w:rFonts w:ascii="Open Sans Light" w:eastAsia="Open Sans Light" w:hAnsi="Open Sans Light" w:cs="Open Sans Light"/>
          <w:color w:val="000000"/>
          <w:sz w:val="24"/>
          <w:szCs w:val="24"/>
        </w:rPr>
        <w:t>uvo</w:t>
      </w:r>
      <w:r>
        <w:rPr>
          <w:rFonts w:ascii="Open Sans Light" w:eastAsia="Open Sans Light" w:hAnsi="Open Sans Light" w:cs="Open Sans Light"/>
          <w:color w:val="000000"/>
          <w:sz w:val="24"/>
          <w:szCs w:val="24"/>
        </w:rPr>
        <w:t xml:space="preserve"> </w:t>
      </w:r>
      <w:r w:rsidR="003F435F">
        <w:rPr>
          <w:rFonts w:ascii="Open Sans Light" w:eastAsia="Open Sans Light" w:hAnsi="Open Sans Light" w:cs="Open Sans Light"/>
          <w:color w:val="000000"/>
          <w:sz w:val="24"/>
          <w:szCs w:val="24"/>
        </w:rPr>
        <w:t xml:space="preserve">como visión que las </w:t>
      </w:r>
      <w:r w:rsidR="00436E96" w:rsidRPr="00F67C14">
        <w:rPr>
          <w:rFonts w:ascii="Open Sans Light" w:eastAsia="Open Sans Light" w:hAnsi="Open Sans Light" w:cs="Open Sans Light"/>
          <w:i/>
          <w:iCs/>
          <w:color w:val="000000"/>
          <w:sz w:val="24"/>
          <w:szCs w:val="24"/>
        </w:rPr>
        <w:t>Niñas, niños y adolescentes del país t</w:t>
      </w:r>
      <w:r w:rsidR="00FD0F83">
        <w:rPr>
          <w:rFonts w:ascii="Open Sans Light" w:eastAsia="Open Sans Light" w:hAnsi="Open Sans Light" w:cs="Open Sans Light"/>
          <w:i/>
          <w:iCs/>
          <w:color w:val="000000"/>
          <w:sz w:val="24"/>
          <w:szCs w:val="24"/>
        </w:rPr>
        <w:t>engan</w:t>
      </w:r>
      <w:r w:rsidR="00436E96" w:rsidRPr="00F67C14">
        <w:rPr>
          <w:rFonts w:ascii="Open Sans Light" w:eastAsia="Open Sans Light" w:hAnsi="Open Sans Light" w:cs="Open Sans Light"/>
          <w:i/>
          <w:iCs/>
          <w:color w:val="000000"/>
          <w:sz w:val="24"/>
          <w:szCs w:val="24"/>
        </w:rPr>
        <w:t xml:space="preserve"> igualdad de oportunidades, acced</w:t>
      </w:r>
      <w:r w:rsidR="00FD0F83">
        <w:rPr>
          <w:rFonts w:ascii="Open Sans Light" w:eastAsia="Open Sans Light" w:hAnsi="Open Sans Light" w:cs="Open Sans Light"/>
          <w:i/>
          <w:iCs/>
          <w:color w:val="000000"/>
          <w:sz w:val="24"/>
          <w:szCs w:val="24"/>
        </w:rPr>
        <w:t>a</w:t>
      </w:r>
      <w:r w:rsidR="00436E96" w:rsidRPr="00F67C14">
        <w:rPr>
          <w:rFonts w:ascii="Open Sans Light" w:eastAsia="Open Sans Light" w:hAnsi="Open Sans Light" w:cs="Open Sans Light"/>
          <w:i/>
          <w:iCs/>
          <w:color w:val="000000"/>
          <w:sz w:val="24"/>
          <w:szCs w:val="24"/>
        </w:rPr>
        <w:t>n a servicios de calidad y particip</w:t>
      </w:r>
      <w:r w:rsidR="00FD0F83">
        <w:rPr>
          <w:rFonts w:ascii="Open Sans Light" w:eastAsia="Open Sans Light" w:hAnsi="Open Sans Light" w:cs="Open Sans Light"/>
          <w:i/>
          <w:iCs/>
          <w:color w:val="000000"/>
          <w:sz w:val="24"/>
          <w:szCs w:val="24"/>
        </w:rPr>
        <w:t>e</w:t>
      </w:r>
      <w:r w:rsidR="00436E96" w:rsidRPr="00F67C14">
        <w:rPr>
          <w:rFonts w:ascii="Open Sans Light" w:eastAsia="Open Sans Light" w:hAnsi="Open Sans Light" w:cs="Open Sans Light"/>
          <w:i/>
          <w:iCs/>
          <w:color w:val="000000"/>
          <w:sz w:val="24"/>
          <w:szCs w:val="24"/>
        </w:rPr>
        <w:t>n en el ejercicio, promoción y defensa de sus derechos, en conjunto con las instituciones del Estado y la comunidad, desarrollándose plenamente en el seno de una familia, en un ambiente sano y libre de violencia</w:t>
      </w:r>
      <w:r w:rsidR="00436E96" w:rsidRPr="00436E96">
        <w:rPr>
          <w:rFonts w:ascii="Open Sans Light" w:eastAsia="Open Sans Light" w:hAnsi="Open Sans Light" w:cs="Open Sans Light"/>
          <w:color w:val="000000"/>
          <w:sz w:val="24"/>
          <w:szCs w:val="24"/>
        </w:rPr>
        <w:t>.</w:t>
      </w:r>
      <w:r>
        <w:rPr>
          <w:rFonts w:ascii="Open Sans Light" w:eastAsia="Open Sans Light" w:hAnsi="Open Sans Light" w:cs="Open Sans Light"/>
          <w:color w:val="000000"/>
          <w:sz w:val="24"/>
          <w:szCs w:val="24"/>
        </w:rPr>
        <w:t xml:space="preserve"> </w:t>
      </w:r>
      <w:r w:rsidR="00F67C14">
        <w:rPr>
          <w:rFonts w:ascii="Open Sans Light" w:eastAsia="Open Sans Light" w:hAnsi="Open Sans Light" w:cs="Open Sans Light"/>
          <w:color w:val="000000"/>
          <w:sz w:val="24"/>
          <w:szCs w:val="24"/>
        </w:rPr>
        <w:t xml:space="preserve">Asimismo, su misión </w:t>
      </w:r>
      <w:r w:rsidR="00034BC3">
        <w:rPr>
          <w:rFonts w:ascii="Open Sans Light" w:eastAsia="Open Sans Light" w:hAnsi="Open Sans Light" w:cs="Open Sans Light"/>
          <w:color w:val="000000"/>
          <w:sz w:val="24"/>
          <w:szCs w:val="24"/>
        </w:rPr>
        <w:t>fue</w:t>
      </w:r>
      <w:r w:rsidR="00F67C14">
        <w:rPr>
          <w:rFonts w:ascii="Open Sans Light" w:eastAsia="Open Sans Light" w:hAnsi="Open Sans Light" w:cs="Open Sans Light"/>
          <w:color w:val="000000"/>
          <w:sz w:val="24"/>
          <w:szCs w:val="24"/>
        </w:rPr>
        <w:t xml:space="preserve"> que </w:t>
      </w:r>
      <w:r w:rsidR="00F67C14" w:rsidRPr="00F67C14">
        <w:rPr>
          <w:rFonts w:ascii="Open Sans Light" w:eastAsia="Open Sans Light" w:hAnsi="Open Sans Light" w:cs="Open Sans Light"/>
          <w:i/>
          <w:iCs/>
          <w:color w:val="000000"/>
          <w:sz w:val="24"/>
          <w:szCs w:val="24"/>
        </w:rPr>
        <w:t>El Estado, las familias y la comunidad gener</w:t>
      </w:r>
      <w:r w:rsidR="00FD0F83">
        <w:rPr>
          <w:rFonts w:ascii="Open Sans Light" w:eastAsia="Open Sans Light" w:hAnsi="Open Sans Light" w:cs="Open Sans Light"/>
          <w:i/>
          <w:iCs/>
          <w:color w:val="000000"/>
          <w:sz w:val="24"/>
          <w:szCs w:val="24"/>
        </w:rPr>
        <w:t>e</w:t>
      </w:r>
      <w:r w:rsidR="00F67C14" w:rsidRPr="00F67C14">
        <w:rPr>
          <w:rFonts w:ascii="Open Sans Light" w:eastAsia="Open Sans Light" w:hAnsi="Open Sans Light" w:cs="Open Sans Light"/>
          <w:i/>
          <w:iCs/>
          <w:color w:val="000000"/>
          <w:sz w:val="24"/>
          <w:szCs w:val="24"/>
        </w:rPr>
        <w:t>n condiciones para el desarrollo sostenible de las capacidades de niñas, niños y adolescentes, lo que les permit</w:t>
      </w:r>
      <w:r w:rsidR="00FD0F83">
        <w:rPr>
          <w:rFonts w:ascii="Open Sans Light" w:eastAsia="Open Sans Light" w:hAnsi="Open Sans Light" w:cs="Open Sans Light"/>
          <w:i/>
          <w:iCs/>
          <w:color w:val="000000"/>
          <w:sz w:val="24"/>
          <w:szCs w:val="24"/>
        </w:rPr>
        <w:t>a</w:t>
      </w:r>
      <w:r w:rsidR="00F67C14" w:rsidRPr="00F67C14">
        <w:rPr>
          <w:rFonts w:ascii="Open Sans Light" w:eastAsia="Open Sans Light" w:hAnsi="Open Sans Light" w:cs="Open Sans Light"/>
          <w:i/>
          <w:iCs/>
          <w:color w:val="000000"/>
          <w:sz w:val="24"/>
          <w:szCs w:val="24"/>
        </w:rPr>
        <w:t xml:space="preserve"> ejercer sus derechos plenamente</w:t>
      </w:r>
      <w:r w:rsidR="00F67C14" w:rsidRPr="00F67C14">
        <w:rPr>
          <w:rFonts w:ascii="Open Sans Light" w:eastAsia="Open Sans Light" w:hAnsi="Open Sans Light" w:cs="Open Sans Light"/>
          <w:color w:val="000000"/>
          <w:sz w:val="24"/>
          <w:szCs w:val="24"/>
        </w:rPr>
        <w:t>.</w:t>
      </w:r>
    </w:p>
    <w:p w14:paraId="30A91777" w14:textId="77777777" w:rsidR="00436E96" w:rsidRDefault="00436E96" w:rsidP="00436E96">
      <w:pPr>
        <w:spacing w:after="0" w:line="240" w:lineRule="auto"/>
        <w:jc w:val="both"/>
        <w:rPr>
          <w:rFonts w:ascii="Open Sans Light" w:eastAsia="Open Sans Light" w:hAnsi="Open Sans Light" w:cs="Open Sans Light"/>
          <w:color w:val="000000"/>
          <w:sz w:val="24"/>
          <w:szCs w:val="24"/>
        </w:rPr>
      </w:pPr>
    </w:p>
    <w:p w14:paraId="5FE40DC5" w14:textId="7B98402A" w:rsidR="00131172" w:rsidRPr="00E82197" w:rsidRDefault="00131172" w:rsidP="00131172">
      <w:pPr>
        <w:spacing w:after="0" w:line="240" w:lineRule="auto"/>
        <w:jc w:val="both"/>
        <w:rPr>
          <w:rFonts w:ascii="Open Sans Light" w:eastAsia="Open Sans Light" w:hAnsi="Open Sans Light" w:cs="Open Sans Light"/>
          <w:color w:val="000000"/>
          <w:sz w:val="24"/>
          <w:szCs w:val="24"/>
        </w:rPr>
      </w:pPr>
      <w:r w:rsidRPr="00E82197">
        <w:rPr>
          <w:rFonts w:ascii="Open Sans Light" w:eastAsia="Open Sans Light" w:hAnsi="Open Sans Light" w:cs="Open Sans Light"/>
          <w:color w:val="000000"/>
          <w:sz w:val="24"/>
          <w:szCs w:val="24"/>
        </w:rPr>
        <w:t>Para ello, el plan se estructur</w:t>
      </w:r>
      <w:r w:rsidR="00034BC3">
        <w:rPr>
          <w:rFonts w:ascii="Open Sans Light" w:eastAsia="Open Sans Light" w:hAnsi="Open Sans Light" w:cs="Open Sans Light"/>
          <w:color w:val="000000"/>
          <w:sz w:val="24"/>
          <w:szCs w:val="24"/>
        </w:rPr>
        <w:t>ó</w:t>
      </w:r>
      <w:r w:rsidRPr="00E82197">
        <w:rPr>
          <w:rFonts w:ascii="Open Sans Light" w:eastAsia="Open Sans Light" w:hAnsi="Open Sans Light" w:cs="Open Sans Light"/>
          <w:color w:val="000000"/>
          <w:sz w:val="24"/>
          <w:szCs w:val="24"/>
        </w:rPr>
        <w:t xml:space="preserve"> en 6 Metas Emblemáticas, 4 Objetivos Estratégicos y 25 resultados esperados, los cuales </w:t>
      </w:r>
      <w:r w:rsidR="00034BC3">
        <w:rPr>
          <w:rFonts w:ascii="Open Sans Light" w:eastAsia="Open Sans Light" w:hAnsi="Open Sans Light" w:cs="Open Sans Light"/>
          <w:color w:val="000000"/>
          <w:sz w:val="24"/>
          <w:szCs w:val="24"/>
        </w:rPr>
        <w:t>tuvieron a su disposición</w:t>
      </w:r>
      <w:r w:rsidRPr="00E82197">
        <w:rPr>
          <w:rFonts w:ascii="Open Sans Light" w:eastAsia="Open Sans Light" w:hAnsi="Open Sans Light" w:cs="Open Sans Light"/>
          <w:color w:val="000000"/>
          <w:sz w:val="24"/>
          <w:szCs w:val="24"/>
        </w:rPr>
        <w:t xml:space="preserve"> indicadores y metas </w:t>
      </w:r>
      <w:r w:rsidR="00034BC3">
        <w:rPr>
          <w:rFonts w:ascii="Open Sans Light" w:eastAsia="Open Sans Light" w:hAnsi="Open Sans Light" w:cs="Open Sans Light"/>
          <w:color w:val="000000"/>
          <w:sz w:val="24"/>
          <w:szCs w:val="24"/>
        </w:rPr>
        <w:t>con miras al</w:t>
      </w:r>
      <w:r w:rsidRPr="00E82197">
        <w:rPr>
          <w:rFonts w:ascii="Open Sans Light" w:eastAsia="Open Sans Light" w:hAnsi="Open Sans Light" w:cs="Open Sans Light"/>
          <w:color w:val="000000"/>
          <w:sz w:val="24"/>
          <w:szCs w:val="24"/>
        </w:rPr>
        <w:t xml:space="preserve"> 2021. </w:t>
      </w:r>
    </w:p>
    <w:p w14:paraId="202D8C31" w14:textId="4A77CFC3" w:rsidR="00CA52D2" w:rsidRPr="00E82197" w:rsidRDefault="00CA52D2" w:rsidP="00147381">
      <w:pPr>
        <w:spacing w:after="0" w:line="240" w:lineRule="auto"/>
        <w:rPr>
          <w:rFonts w:ascii="Open Sans Light" w:eastAsia="Open Sans Light" w:hAnsi="Open Sans Light" w:cs="Open Sans Light"/>
          <w:b/>
          <w:bCs/>
          <w:color w:val="000000"/>
          <w:sz w:val="24"/>
          <w:szCs w:val="24"/>
        </w:rPr>
      </w:pPr>
    </w:p>
    <w:p w14:paraId="36E98B1E" w14:textId="4FF6788A" w:rsidR="00147381" w:rsidRPr="00E82197" w:rsidRDefault="00147381" w:rsidP="00147381">
      <w:pPr>
        <w:pStyle w:val="Caption"/>
        <w:keepNext/>
        <w:jc w:val="center"/>
      </w:pPr>
      <w:r w:rsidRPr="00E82197">
        <w:rPr>
          <w:rFonts w:ascii="Open Sans Light" w:eastAsia="Open Sans Light" w:hAnsi="Open Sans Light" w:cs="Open Sans Light"/>
          <w:bCs/>
          <w:color w:val="000000"/>
          <w:sz w:val="24"/>
          <w:szCs w:val="24"/>
        </w:rPr>
        <w:lastRenderedPageBreak/>
        <w:t xml:space="preserve">Figura </w:t>
      </w:r>
      <w:r w:rsidRPr="00E82197">
        <w:rPr>
          <w:rFonts w:ascii="Open Sans Light" w:eastAsia="Open Sans Light" w:hAnsi="Open Sans Light" w:cs="Open Sans Light"/>
          <w:bCs/>
          <w:color w:val="000000"/>
          <w:sz w:val="24"/>
          <w:szCs w:val="24"/>
        </w:rPr>
        <w:fldChar w:fldCharType="begin"/>
      </w:r>
      <w:r w:rsidRPr="00E82197">
        <w:rPr>
          <w:rFonts w:ascii="Open Sans Light" w:eastAsia="Open Sans Light" w:hAnsi="Open Sans Light" w:cs="Open Sans Light"/>
          <w:bCs/>
          <w:color w:val="000000"/>
          <w:sz w:val="24"/>
          <w:szCs w:val="24"/>
        </w:rPr>
        <w:instrText xml:space="preserve"> SEQ Figura \* ARABIC </w:instrText>
      </w:r>
      <w:r w:rsidRPr="00E82197">
        <w:rPr>
          <w:rFonts w:ascii="Open Sans Light" w:eastAsia="Open Sans Light" w:hAnsi="Open Sans Light" w:cs="Open Sans Light"/>
          <w:bCs/>
          <w:color w:val="000000"/>
          <w:sz w:val="24"/>
          <w:szCs w:val="24"/>
        </w:rPr>
        <w:fldChar w:fldCharType="separate"/>
      </w:r>
      <w:r w:rsidR="00846FB2">
        <w:rPr>
          <w:rFonts w:ascii="Open Sans Light" w:eastAsia="Open Sans Light" w:hAnsi="Open Sans Light" w:cs="Open Sans Light"/>
          <w:bCs/>
          <w:noProof/>
          <w:color w:val="000000"/>
          <w:sz w:val="24"/>
          <w:szCs w:val="24"/>
        </w:rPr>
        <w:t>1</w:t>
      </w:r>
      <w:r w:rsidRPr="00E82197">
        <w:rPr>
          <w:rFonts w:ascii="Open Sans Light" w:eastAsia="Open Sans Light" w:hAnsi="Open Sans Light" w:cs="Open Sans Light"/>
          <w:bCs/>
          <w:color w:val="000000"/>
          <w:sz w:val="24"/>
          <w:szCs w:val="24"/>
        </w:rPr>
        <w:fldChar w:fldCharType="end"/>
      </w:r>
      <w:r w:rsidRPr="00E82197">
        <w:rPr>
          <w:rFonts w:ascii="Open Sans Light" w:eastAsia="Open Sans Light" w:hAnsi="Open Sans Light" w:cs="Open Sans Light"/>
          <w:bCs/>
          <w:color w:val="000000"/>
          <w:sz w:val="24"/>
          <w:szCs w:val="24"/>
        </w:rPr>
        <w:t>.</w:t>
      </w:r>
      <w:r w:rsidRPr="00E82197">
        <w:t xml:space="preserve"> </w:t>
      </w:r>
      <w:r w:rsidRPr="00E82197">
        <w:rPr>
          <w:rFonts w:ascii="Open Sans Light" w:eastAsia="Open Sans Light" w:hAnsi="Open Sans Light" w:cs="Open Sans Light"/>
          <w:b/>
          <w:bCs/>
          <w:color w:val="000000"/>
          <w:sz w:val="24"/>
          <w:szCs w:val="24"/>
        </w:rPr>
        <w:t xml:space="preserve">Estructura del </w:t>
      </w:r>
      <w:r w:rsidR="00D979D4">
        <w:rPr>
          <w:rFonts w:ascii="Open Sans Light" w:eastAsia="Open Sans Light" w:hAnsi="Open Sans Light" w:cs="Open Sans Light"/>
          <w:b/>
          <w:bCs/>
          <w:color w:val="000000"/>
          <w:sz w:val="24"/>
          <w:szCs w:val="24"/>
        </w:rPr>
        <w:t>PNAIA 2012 – 2021</w:t>
      </w:r>
    </w:p>
    <w:p w14:paraId="5F6ED458" w14:textId="55B6AED5" w:rsidR="006F5ED1" w:rsidRPr="00E82197" w:rsidRDefault="006F5ED1" w:rsidP="00131172">
      <w:pPr>
        <w:spacing w:after="0" w:line="240" w:lineRule="auto"/>
        <w:jc w:val="center"/>
        <w:rPr>
          <w:rFonts w:ascii="Open Sans Light" w:eastAsia="Open Sans Light" w:hAnsi="Open Sans Light" w:cs="Open Sans Light"/>
          <w:color w:val="000000"/>
          <w:sz w:val="24"/>
          <w:szCs w:val="24"/>
        </w:rPr>
      </w:pPr>
      <w:r>
        <w:rPr>
          <w:noProof/>
        </w:rPr>
        <w:drawing>
          <wp:inline distT="0" distB="0" distL="0" distR="0" wp14:anchorId="5C5DFCA4" wp14:editId="535FDF05">
            <wp:extent cx="4572000" cy="6287770"/>
            <wp:effectExtent l="0" t="0" r="0" b="0"/>
            <wp:docPr id="27" name="Picture 2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able&#10;&#10;Description automatically generated"/>
                    <pic:cNvPicPr/>
                  </pic:nvPicPr>
                  <pic:blipFill rotWithShape="1">
                    <a:blip r:embed="rId15">
                      <a:clrChange>
                        <a:clrFrom>
                          <a:srgbClr val="DEF2FD"/>
                        </a:clrFrom>
                        <a:clrTo>
                          <a:srgbClr val="DEF2FD">
                            <a:alpha val="0"/>
                          </a:srgbClr>
                        </a:clrTo>
                      </a:clrChange>
                    </a:blip>
                    <a:srcRect l="27177" t="3512" r="33355"/>
                    <a:stretch/>
                  </pic:blipFill>
                  <pic:spPr bwMode="auto">
                    <a:xfrm>
                      <a:off x="0" y="0"/>
                      <a:ext cx="4586113" cy="6307179"/>
                    </a:xfrm>
                    <a:prstGeom prst="rect">
                      <a:avLst/>
                    </a:prstGeom>
                    <a:ln>
                      <a:noFill/>
                    </a:ln>
                    <a:extLst>
                      <a:ext uri="{53640926-AAD7-44D8-BBD7-CCE9431645EC}">
                        <a14:shadowObscured xmlns:a14="http://schemas.microsoft.com/office/drawing/2010/main"/>
                      </a:ext>
                    </a:extLst>
                  </pic:spPr>
                </pic:pic>
              </a:graphicData>
            </a:graphic>
          </wp:inline>
        </w:drawing>
      </w:r>
    </w:p>
    <w:p w14:paraId="361A48F2" w14:textId="77777777" w:rsidR="00131172" w:rsidRPr="00E82197" w:rsidRDefault="00131172" w:rsidP="00131172">
      <w:pPr>
        <w:spacing w:after="0" w:line="240" w:lineRule="auto"/>
        <w:jc w:val="both"/>
        <w:rPr>
          <w:rFonts w:ascii="Open Sans Light" w:eastAsia="Open Sans Light" w:hAnsi="Open Sans Light" w:cs="Open Sans Light"/>
          <w:color w:val="000000"/>
          <w:sz w:val="24"/>
          <w:szCs w:val="24"/>
        </w:rPr>
      </w:pPr>
    </w:p>
    <w:p w14:paraId="00000024" w14:textId="1D043024" w:rsidR="00971081" w:rsidRPr="00151B3A" w:rsidRDefault="009104B2" w:rsidP="00E17EDC">
      <w:pPr>
        <w:pStyle w:val="Heading2"/>
        <w:numPr>
          <w:ilvl w:val="1"/>
          <w:numId w:val="24"/>
        </w:numPr>
      </w:pPr>
      <w:bookmarkStart w:id="5" w:name="_Toc91781805"/>
      <w:r w:rsidRPr="00151B3A">
        <w:t xml:space="preserve">Objetivos generales </w:t>
      </w:r>
      <w:r w:rsidR="00083BFD" w:rsidRPr="00151B3A">
        <w:t>de la evaluación del PNAIA 2012-2021</w:t>
      </w:r>
      <w:bookmarkEnd w:id="5"/>
    </w:p>
    <w:p w14:paraId="00000025" w14:textId="6C2CDD3F" w:rsidR="00971081" w:rsidRPr="00E82197" w:rsidRDefault="009104B2">
      <w:pPr>
        <w:numPr>
          <w:ilvl w:val="0"/>
          <w:numId w:val="6"/>
        </w:numPr>
        <w:pBdr>
          <w:top w:val="nil"/>
          <w:left w:val="nil"/>
          <w:bottom w:val="nil"/>
          <w:right w:val="nil"/>
          <w:between w:val="nil"/>
        </w:pBdr>
        <w:spacing w:after="0" w:line="240" w:lineRule="auto"/>
        <w:jc w:val="both"/>
        <w:rPr>
          <w:rFonts w:ascii="Open Sans Light" w:eastAsia="Open Sans Light" w:hAnsi="Open Sans Light" w:cs="Open Sans Light"/>
          <w:color w:val="000000"/>
          <w:sz w:val="24"/>
          <w:szCs w:val="24"/>
        </w:rPr>
      </w:pPr>
      <w:r w:rsidRPr="00E82197">
        <w:rPr>
          <w:rFonts w:ascii="Open Sans Light" w:eastAsia="Open Sans Light" w:hAnsi="Open Sans Light" w:cs="Open Sans Light"/>
          <w:color w:val="000000"/>
          <w:sz w:val="24"/>
          <w:szCs w:val="24"/>
        </w:rPr>
        <w:t xml:space="preserve">Evaluar la eficacia de la implementación del </w:t>
      </w:r>
      <w:r w:rsidR="00D979D4">
        <w:rPr>
          <w:rFonts w:ascii="Open Sans Light" w:eastAsia="Open Sans Light" w:hAnsi="Open Sans Light" w:cs="Open Sans Light"/>
          <w:color w:val="000000"/>
          <w:sz w:val="24"/>
          <w:szCs w:val="24"/>
        </w:rPr>
        <w:t>PNAIA 2012 – 2021</w:t>
      </w:r>
      <w:r w:rsidRPr="00E82197">
        <w:rPr>
          <w:rFonts w:ascii="Open Sans Light" w:eastAsia="Open Sans Light" w:hAnsi="Open Sans Light" w:cs="Open Sans Light"/>
          <w:color w:val="000000"/>
          <w:sz w:val="24"/>
          <w:szCs w:val="24"/>
        </w:rPr>
        <w:t xml:space="preserve"> durante el periodo 2012 – 2020</w:t>
      </w:r>
      <w:r w:rsidR="000D412F">
        <w:rPr>
          <w:rFonts w:ascii="Open Sans Light" w:eastAsia="Open Sans Light" w:hAnsi="Open Sans Light" w:cs="Open Sans Light"/>
          <w:color w:val="000000"/>
          <w:sz w:val="24"/>
          <w:szCs w:val="24"/>
        </w:rPr>
        <w:t xml:space="preserve"> mediante el análisis de indicadores priorizados</w:t>
      </w:r>
      <w:r w:rsidRPr="00E82197">
        <w:rPr>
          <w:rFonts w:ascii="Open Sans Light" w:eastAsia="Open Sans Light" w:hAnsi="Open Sans Light" w:cs="Open Sans Light"/>
          <w:color w:val="000000"/>
          <w:sz w:val="24"/>
          <w:szCs w:val="24"/>
        </w:rPr>
        <w:t xml:space="preserve">. </w:t>
      </w:r>
    </w:p>
    <w:p w14:paraId="00000026" w14:textId="52E257D7" w:rsidR="00971081" w:rsidRPr="00E82197" w:rsidRDefault="000A25AF">
      <w:pPr>
        <w:numPr>
          <w:ilvl w:val="0"/>
          <w:numId w:val="6"/>
        </w:numPr>
        <w:pBdr>
          <w:top w:val="nil"/>
          <w:left w:val="nil"/>
          <w:bottom w:val="nil"/>
          <w:right w:val="nil"/>
          <w:between w:val="nil"/>
        </w:pBdr>
        <w:spacing w:after="0" w:line="240" w:lineRule="auto"/>
        <w:jc w:val="both"/>
        <w:rPr>
          <w:rFonts w:ascii="Open Sans Light" w:eastAsia="Open Sans Light" w:hAnsi="Open Sans Light" w:cs="Open Sans Light"/>
          <w:color w:val="000000"/>
          <w:sz w:val="24"/>
          <w:szCs w:val="24"/>
        </w:rPr>
      </w:pPr>
      <w:r w:rsidRPr="00E82197">
        <w:rPr>
          <w:rFonts w:ascii="Open Sans Light" w:eastAsia="Open Sans Light" w:hAnsi="Open Sans Light" w:cs="Open Sans Light"/>
          <w:color w:val="000000"/>
          <w:sz w:val="24"/>
          <w:szCs w:val="24"/>
        </w:rPr>
        <w:t>Verificar el nivel de</w:t>
      </w:r>
      <w:r w:rsidR="009104B2" w:rsidRPr="00E82197">
        <w:rPr>
          <w:rFonts w:ascii="Open Sans Light" w:eastAsia="Open Sans Light" w:hAnsi="Open Sans Light" w:cs="Open Sans Light"/>
          <w:color w:val="000000"/>
          <w:sz w:val="24"/>
          <w:szCs w:val="24"/>
        </w:rPr>
        <w:t xml:space="preserve"> implementación </w:t>
      </w:r>
      <w:r w:rsidRPr="00E82197">
        <w:rPr>
          <w:rFonts w:ascii="Open Sans Light" w:eastAsia="Open Sans Light" w:hAnsi="Open Sans Light" w:cs="Open Sans Light"/>
          <w:color w:val="000000"/>
          <w:sz w:val="24"/>
          <w:szCs w:val="24"/>
        </w:rPr>
        <w:t xml:space="preserve">de las estrategias </w:t>
      </w:r>
      <w:r w:rsidR="009104B2" w:rsidRPr="00E82197">
        <w:rPr>
          <w:rFonts w:ascii="Open Sans Light" w:eastAsia="Open Sans Light" w:hAnsi="Open Sans Light" w:cs="Open Sans Light"/>
          <w:color w:val="000000"/>
          <w:sz w:val="24"/>
          <w:szCs w:val="24"/>
        </w:rPr>
        <w:t>asociadas a las metas emblemáticas.</w:t>
      </w:r>
    </w:p>
    <w:p w14:paraId="00000027" w14:textId="3A595239" w:rsidR="00971081" w:rsidRPr="00E82197" w:rsidRDefault="009104B2">
      <w:pPr>
        <w:numPr>
          <w:ilvl w:val="0"/>
          <w:numId w:val="6"/>
        </w:numPr>
        <w:pBdr>
          <w:top w:val="nil"/>
          <w:left w:val="nil"/>
          <w:bottom w:val="nil"/>
          <w:right w:val="nil"/>
          <w:between w:val="nil"/>
        </w:pBdr>
        <w:spacing w:after="0" w:line="240" w:lineRule="auto"/>
        <w:jc w:val="both"/>
        <w:rPr>
          <w:rFonts w:ascii="Open Sans Light" w:eastAsia="Open Sans Light" w:hAnsi="Open Sans Light" w:cs="Open Sans Light"/>
          <w:color w:val="000000"/>
          <w:sz w:val="24"/>
          <w:szCs w:val="24"/>
        </w:rPr>
      </w:pPr>
      <w:r w:rsidRPr="00E82197">
        <w:rPr>
          <w:rFonts w:ascii="Open Sans Light" w:eastAsia="Open Sans Light" w:hAnsi="Open Sans Light" w:cs="Open Sans Light"/>
          <w:color w:val="000000"/>
          <w:sz w:val="24"/>
          <w:szCs w:val="24"/>
        </w:rPr>
        <w:lastRenderedPageBreak/>
        <w:t xml:space="preserve">Evaluar la </w:t>
      </w:r>
      <w:r w:rsidR="00862681" w:rsidRPr="00E82197">
        <w:rPr>
          <w:rFonts w:ascii="Open Sans Light" w:eastAsia="Open Sans Light" w:hAnsi="Open Sans Light" w:cs="Open Sans Light"/>
          <w:color w:val="000000"/>
          <w:sz w:val="24"/>
          <w:szCs w:val="24"/>
        </w:rPr>
        <w:t>implementación de</w:t>
      </w:r>
      <w:r w:rsidRPr="00E82197">
        <w:rPr>
          <w:rFonts w:ascii="Open Sans Light" w:eastAsia="Open Sans Light" w:hAnsi="Open Sans Light" w:cs="Open Sans Light"/>
          <w:color w:val="000000"/>
          <w:sz w:val="24"/>
          <w:szCs w:val="24"/>
        </w:rPr>
        <w:t xml:space="preserve"> los mecanismos de articulación en la consecución de los resultados del </w:t>
      </w:r>
      <w:r w:rsidR="00D979D4">
        <w:rPr>
          <w:rFonts w:ascii="Open Sans Light" w:eastAsia="Open Sans Light" w:hAnsi="Open Sans Light" w:cs="Open Sans Light"/>
          <w:color w:val="000000"/>
          <w:sz w:val="24"/>
          <w:szCs w:val="24"/>
        </w:rPr>
        <w:t>PNAIA 2012 – 202</w:t>
      </w:r>
      <w:r w:rsidR="0047192D">
        <w:rPr>
          <w:rFonts w:ascii="Open Sans Light" w:eastAsia="Open Sans Light" w:hAnsi="Open Sans Light" w:cs="Open Sans Light"/>
          <w:color w:val="000000"/>
          <w:sz w:val="24"/>
          <w:szCs w:val="24"/>
        </w:rPr>
        <w:t>1</w:t>
      </w:r>
      <w:r w:rsidRPr="00E82197">
        <w:rPr>
          <w:rFonts w:ascii="Open Sans Light" w:eastAsia="Open Sans Light" w:hAnsi="Open Sans Light" w:cs="Open Sans Light"/>
          <w:color w:val="000000"/>
          <w:sz w:val="24"/>
          <w:szCs w:val="24"/>
        </w:rPr>
        <w:t>.</w:t>
      </w:r>
    </w:p>
    <w:p w14:paraId="00000028" w14:textId="77777777" w:rsidR="00971081" w:rsidRPr="00E82197" w:rsidRDefault="00971081">
      <w:pPr>
        <w:spacing w:after="0" w:line="240" w:lineRule="auto"/>
        <w:ind w:left="426"/>
        <w:rPr>
          <w:rFonts w:ascii="Open Sans Light" w:eastAsia="Open Sans Light" w:hAnsi="Open Sans Light" w:cs="Open Sans Light"/>
          <w:color w:val="000000"/>
          <w:sz w:val="24"/>
          <w:szCs w:val="24"/>
        </w:rPr>
      </w:pPr>
    </w:p>
    <w:p w14:paraId="00000029" w14:textId="63FE9CAA" w:rsidR="00971081" w:rsidRPr="00151B3A" w:rsidRDefault="009104B2" w:rsidP="00E17EDC">
      <w:pPr>
        <w:pStyle w:val="Heading2"/>
        <w:numPr>
          <w:ilvl w:val="1"/>
          <w:numId w:val="24"/>
        </w:numPr>
        <w:ind w:left="851" w:hanging="491"/>
      </w:pPr>
      <w:bookmarkStart w:id="6" w:name="_Toc91781806"/>
      <w:r w:rsidRPr="00151B3A">
        <w:t>Objetivos específicos</w:t>
      </w:r>
      <w:r w:rsidR="00083BFD" w:rsidRPr="00151B3A">
        <w:t xml:space="preserve"> de la evaluación del PNAIA 2012-2021</w:t>
      </w:r>
      <w:bookmarkEnd w:id="6"/>
    </w:p>
    <w:p w14:paraId="0000002A" w14:textId="604C3F60" w:rsidR="00971081" w:rsidRPr="00E82197" w:rsidRDefault="00203BC9">
      <w:pPr>
        <w:numPr>
          <w:ilvl w:val="0"/>
          <w:numId w:val="6"/>
        </w:numPr>
        <w:pBdr>
          <w:top w:val="nil"/>
          <w:left w:val="nil"/>
          <w:bottom w:val="nil"/>
          <w:right w:val="nil"/>
          <w:between w:val="nil"/>
        </w:pBdr>
        <w:spacing w:after="0" w:line="240" w:lineRule="auto"/>
        <w:jc w:val="both"/>
        <w:rPr>
          <w:rFonts w:ascii="Open Sans Light" w:eastAsia="Open Sans Light" w:hAnsi="Open Sans Light" w:cs="Open Sans Light"/>
          <w:color w:val="000000"/>
          <w:sz w:val="24"/>
          <w:szCs w:val="24"/>
        </w:rPr>
      </w:pPr>
      <w:r w:rsidRPr="00E82197">
        <w:rPr>
          <w:rFonts w:ascii="Open Sans Light" w:eastAsia="Open Sans Light" w:hAnsi="Open Sans Light" w:cs="Open Sans Light"/>
          <w:color w:val="000000"/>
          <w:sz w:val="24"/>
          <w:szCs w:val="24"/>
        </w:rPr>
        <w:t xml:space="preserve">Analizar el </w:t>
      </w:r>
      <w:r w:rsidRPr="00091A7B">
        <w:rPr>
          <w:rFonts w:ascii="Open Sans Light" w:eastAsia="Open Sans Light" w:hAnsi="Open Sans Light" w:cs="Open Sans Light"/>
          <w:sz w:val="24"/>
          <w:szCs w:val="24"/>
        </w:rPr>
        <w:t>desempeño de</w:t>
      </w:r>
      <w:r w:rsidR="005E6B74" w:rsidRPr="00091A7B">
        <w:rPr>
          <w:rFonts w:ascii="Open Sans Light" w:eastAsia="Open Sans Light" w:hAnsi="Open Sans Light" w:cs="Open Sans Light"/>
          <w:sz w:val="24"/>
          <w:szCs w:val="24"/>
        </w:rPr>
        <w:t xml:space="preserve"> los 25 resultados esperados a través </w:t>
      </w:r>
      <w:r w:rsidR="009104B2" w:rsidRPr="00091A7B">
        <w:rPr>
          <w:rFonts w:ascii="Open Sans Light" w:eastAsia="Open Sans Light" w:hAnsi="Open Sans Light" w:cs="Open Sans Light"/>
          <w:sz w:val="24"/>
          <w:szCs w:val="24"/>
        </w:rPr>
        <w:t xml:space="preserve">de los </w:t>
      </w:r>
      <w:r w:rsidR="009104B2" w:rsidRPr="00151B3A">
        <w:rPr>
          <w:rFonts w:ascii="Open Sans Light" w:eastAsia="Open Sans Light" w:hAnsi="Open Sans Light" w:cs="Open Sans Light"/>
          <w:sz w:val="24"/>
          <w:szCs w:val="24"/>
        </w:rPr>
        <w:t>indicadores</w:t>
      </w:r>
      <w:r w:rsidR="005F73F2" w:rsidRPr="00151B3A">
        <w:rPr>
          <w:rFonts w:ascii="Open Sans Light" w:eastAsia="Open Sans Light" w:hAnsi="Open Sans Light" w:cs="Open Sans Light"/>
          <w:sz w:val="24"/>
          <w:szCs w:val="24"/>
        </w:rPr>
        <w:t xml:space="preserve"> </w:t>
      </w:r>
      <w:r w:rsidR="00852114" w:rsidRPr="00151B3A">
        <w:rPr>
          <w:rFonts w:ascii="Open Sans Light" w:eastAsia="Open Sans Light" w:hAnsi="Open Sans Light" w:cs="Open Sans Light"/>
          <w:sz w:val="24"/>
          <w:szCs w:val="24"/>
        </w:rPr>
        <w:t>proxy identificados</w:t>
      </w:r>
      <w:r w:rsidR="009104B2" w:rsidRPr="00151B3A">
        <w:rPr>
          <w:rFonts w:ascii="Open Sans Light" w:eastAsia="Open Sans Light" w:hAnsi="Open Sans Light" w:cs="Open Sans Light"/>
          <w:sz w:val="24"/>
          <w:szCs w:val="24"/>
        </w:rPr>
        <w:t>.</w:t>
      </w:r>
    </w:p>
    <w:p w14:paraId="6737DB2B" w14:textId="2D357E9E" w:rsidR="00C819C6" w:rsidRPr="00E82197" w:rsidRDefault="00C819C6">
      <w:pPr>
        <w:numPr>
          <w:ilvl w:val="0"/>
          <w:numId w:val="6"/>
        </w:numPr>
        <w:pBdr>
          <w:top w:val="nil"/>
          <w:left w:val="nil"/>
          <w:bottom w:val="nil"/>
          <w:right w:val="nil"/>
          <w:between w:val="nil"/>
        </w:pBdr>
        <w:spacing w:after="0" w:line="240" w:lineRule="auto"/>
        <w:jc w:val="both"/>
        <w:rPr>
          <w:rFonts w:ascii="Open Sans Light" w:eastAsia="Open Sans Light" w:hAnsi="Open Sans Light" w:cs="Open Sans Light"/>
          <w:color w:val="000000"/>
          <w:sz w:val="24"/>
          <w:szCs w:val="24"/>
        </w:rPr>
      </w:pPr>
      <w:r w:rsidRPr="00E82197">
        <w:rPr>
          <w:rFonts w:ascii="Open Sans Light" w:eastAsia="Open Sans Light" w:hAnsi="Open Sans Light" w:cs="Open Sans Light"/>
          <w:color w:val="000000"/>
          <w:sz w:val="24"/>
          <w:szCs w:val="24"/>
        </w:rPr>
        <w:t xml:space="preserve">Identificar patrones de comportamiento y el avance en el cierre de brechas </w:t>
      </w:r>
      <w:r w:rsidR="00203BC9" w:rsidRPr="00E82197">
        <w:rPr>
          <w:rFonts w:ascii="Open Sans Light" w:eastAsia="Open Sans Light" w:hAnsi="Open Sans Light" w:cs="Open Sans Light"/>
          <w:color w:val="000000"/>
          <w:sz w:val="24"/>
          <w:szCs w:val="24"/>
        </w:rPr>
        <w:t>de los indicadores analizados.</w:t>
      </w:r>
    </w:p>
    <w:p w14:paraId="7B6457A5" w14:textId="77D44D4C" w:rsidR="00A51C14" w:rsidRPr="00E82197" w:rsidRDefault="00A51C14">
      <w:pPr>
        <w:numPr>
          <w:ilvl w:val="0"/>
          <w:numId w:val="6"/>
        </w:numPr>
        <w:pBdr>
          <w:top w:val="nil"/>
          <w:left w:val="nil"/>
          <w:bottom w:val="nil"/>
          <w:right w:val="nil"/>
          <w:between w:val="nil"/>
        </w:pBdr>
        <w:spacing w:after="0" w:line="240" w:lineRule="auto"/>
        <w:jc w:val="both"/>
        <w:rPr>
          <w:rFonts w:ascii="Open Sans Light" w:eastAsia="Open Sans Light" w:hAnsi="Open Sans Light" w:cs="Open Sans Light"/>
          <w:color w:val="000000"/>
          <w:sz w:val="24"/>
          <w:szCs w:val="24"/>
        </w:rPr>
      </w:pPr>
      <w:r w:rsidRPr="00E82197">
        <w:rPr>
          <w:rFonts w:ascii="Open Sans Light" w:eastAsia="Open Sans Light" w:hAnsi="Open Sans Light" w:cs="Open Sans Light"/>
          <w:color w:val="000000"/>
          <w:sz w:val="24"/>
          <w:szCs w:val="24"/>
        </w:rPr>
        <w:t>Identificar buenas prácticas y lecciones aprendidas con miras a la implementación de la política nacional para las niñas, niños y adolescentes</w:t>
      </w:r>
    </w:p>
    <w:p w14:paraId="0000002D" w14:textId="77777777" w:rsidR="00971081" w:rsidRDefault="009104B2">
      <w:pPr>
        <w:rPr>
          <w:color w:val="1F3864"/>
          <w:sz w:val="32"/>
          <w:szCs w:val="32"/>
        </w:rPr>
      </w:pPr>
      <w:r>
        <w:br w:type="page"/>
      </w:r>
    </w:p>
    <w:p w14:paraId="0000002E" w14:textId="56DBBD10" w:rsidR="00971081" w:rsidRPr="00F03883" w:rsidRDefault="009104B2" w:rsidP="00C47DFA">
      <w:pPr>
        <w:pStyle w:val="Heading1"/>
        <w:numPr>
          <w:ilvl w:val="0"/>
          <w:numId w:val="24"/>
        </w:numPr>
        <w:spacing w:after="240"/>
        <w:ind w:left="360"/>
        <w:rPr>
          <w:color w:val="1F3864"/>
          <w:sz w:val="60"/>
          <w:szCs w:val="60"/>
        </w:rPr>
      </w:pPr>
      <w:bookmarkStart w:id="7" w:name="_Toc91781807"/>
      <w:r w:rsidRPr="00F03883">
        <w:rPr>
          <w:color w:val="1F3864"/>
          <w:sz w:val="60"/>
          <w:szCs w:val="60"/>
        </w:rPr>
        <w:lastRenderedPageBreak/>
        <w:t>Metodología</w:t>
      </w:r>
      <w:bookmarkEnd w:id="7"/>
    </w:p>
    <w:p w14:paraId="04D15A44" w14:textId="6E7465E6" w:rsidR="00D816A9" w:rsidRPr="00F03883" w:rsidRDefault="00D816A9" w:rsidP="00826B76">
      <w:pPr>
        <w:jc w:val="both"/>
        <w:rPr>
          <w:rFonts w:ascii="Open Sans Light" w:hAnsi="Open Sans Light" w:cs="Open Sans Light"/>
          <w:sz w:val="24"/>
          <w:szCs w:val="24"/>
        </w:rPr>
      </w:pPr>
      <w:r w:rsidRPr="00F03883">
        <w:rPr>
          <w:rFonts w:ascii="Open Sans Light" w:hAnsi="Open Sans Light" w:cs="Open Sans Light"/>
          <w:sz w:val="24"/>
          <w:szCs w:val="24"/>
        </w:rPr>
        <w:t>En esta sección se abordarán detalles técnico</w:t>
      </w:r>
      <w:r w:rsidR="00E75DAA">
        <w:rPr>
          <w:rFonts w:ascii="Open Sans Light" w:hAnsi="Open Sans Light" w:cs="Open Sans Light"/>
          <w:sz w:val="24"/>
          <w:szCs w:val="24"/>
        </w:rPr>
        <w:t>-metodológico</w:t>
      </w:r>
      <w:r w:rsidRPr="00F03883">
        <w:rPr>
          <w:rFonts w:ascii="Open Sans Light" w:hAnsi="Open Sans Light" w:cs="Open Sans Light"/>
          <w:sz w:val="24"/>
          <w:szCs w:val="24"/>
        </w:rPr>
        <w:t xml:space="preserve"> acerca de la elaboración del análisis de resultados del PNAIA 2012-2021. La estructura seguida en esta sección anticipará la estructura de la siguiente, en donde se mostrarán los resultados. En primer lugar, se </w:t>
      </w:r>
      <w:r w:rsidR="00607FDA">
        <w:rPr>
          <w:rFonts w:ascii="Open Sans Light" w:hAnsi="Open Sans Light" w:cs="Open Sans Light"/>
          <w:sz w:val="24"/>
          <w:szCs w:val="24"/>
        </w:rPr>
        <w:t>analiza</w:t>
      </w:r>
      <w:r w:rsidR="00607FDA" w:rsidRPr="00F03883">
        <w:rPr>
          <w:rFonts w:ascii="Open Sans Light" w:hAnsi="Open Sans Light" w:cs="Open Sans Light"/>
          <w:sz w:val="24"/>
          <w:szCs w:val="24"/>
        </w:rPr>
        <w:t xml:space="preserve"> </w:t>
      </w:r>
      <w:r w:rsidRPr="00F03883">
        <w:rPr>
          <w:rFonts w:ascii="Open Sans Light" w:hAnsi="Open Sans Light" w:cs="Open Sans Light"/>
          <w:sz w:val="24"/>
          <w:szCs w:val="24"/>
        </w:rPr>
        <w:t>la eficacia del PNAIA 2012-2021 sobre los resultados.</w:t>
      </w:r>
      <w:r w:rsidR="007B1CA8">
        <w:rPr>
          <w:rFonts w:ascii="Open Sans Light" w:hAnsi="Open Sans Light" w:cs="Open Sans Light"/>
          <w:sz w:val="24"/>
          <w:szCs w:val="24"/>
        </w:rPr>
        <w:t xml:space="preserve"> En segundo y tercer lugar se incorporan el balance de estrategias de </w:t>
      </w:r>
      <w:r w:rsidR="007B1CA8" w:rsidRPr="000E4478">
        <w:rPr>
          <w:rFonts w:ascii="Open Sans Light" w:hAnsi="Open Sans Light" w:cs="Open Sans Light"/>
          <w:sz w:val="24"/>
          <w:szCs w:val="24"/>
        </w:rPr>
        <w:t>implementación y el balance de mecanismos de implementación, respectivamente</w:t>
      </w:r>
      <w:r w:rsidR="00215A88" w:rsidRPr="000E4478">
        <w:rPr>
          <w:rFonts w:ascii="Open Sans Light" w:hAnsi="Open Sans Light" w:cs="Open Sans Light"/>
          <w:sz w:val="24"/>
          <w:szCs w:val="24"/>
        </w:rPr>
        <w:t>.</w:t>
      </w:r>
      <w:r w:rsidR="007671F8" w:rsidRPr="000E4478">
        <w:rPr>
          <w:rFonts w:ascii="Open Sans Light" w:hAnsi="Open Sans Light" w:cs="Open Sans Light"/>
          <w:sz w:val="24"/>
          <w:szCs w:val="24"/>
        </w:rPr>
        <w:t xml:space="preserve"> Al finalizar la tercera sección se añade un amplio análisis descriptivo que aproxima de una manera más integral los resultados esperados del PNAIA 2012-2021; estos no se añadieron en la sección primera con el fin de mantener una estructura balanceada entre las 3 subsecciones.</w:t>
      </w:r>
      <w:r w:rsidR="007671F8">
        <w:rPr>
          <w:rFonts w:ascii="Open Sans Light" w:hAnsi="Open Sans Light" w:cs="Open Sans Light"/>
          <w:sz w:val="24"/>
          <w:szCs w:val="24"/>
        </w:rPr>
        <w:t xml:space="preserve"> </w:t>
      </w:r>
      <w:r w:rsidR="00215A88" w:rsidRPr="00F03883">
        <w:rPr>
          <w:rFonts w:ascii="Open Sans Light" w:hAnsi="Open Sans Light" w:cs="Open Sans Light"/>
          <w:sz w:val="24"/>
          <w:szCs w:val="24"/>
        </w:rPr>
        <w:t xml:space="preserve"> </w:t>
      </w:r>
    </w:p>
    <w:p w14:paraId="00000032" w14:textId="0FB43119" w:rsidR="00971081" w:rsidRPr="00F03883" w:rsidRDefault="009104B2">
      <w:pPr>
        <w:spacing w:after="0" w:line="240" w:lineRule="auto"/>
        <w:jc w:val="both"/>
        <w:rPr>
          <w:rFonts w:ascii="Open Sans Light" w:eastAsia="Open Sans Light" w:hAnsi="Open Sans Light" w:cs="Open Sans Light"/>
          <w:b/>
          <w:i/>
          <w:color w:val="000000"/>
          <w:sz w:val="24"/>
          <w:szCs w:val="24"/>
        </w:rPr>
      </w:pPr>
      <w:r w:rsidRPr="00F03883">
        <w:rPr>
          <w:rFonts w:ascii="Open Sans Light" w:eastAsia="Open Sans Light" w:hAnsi="Open Sans Light" w:cs="Open Sans Light"/>
          <w:b/>
          <w:i/>
          <w:color w:val="000000"/>
          <w:sz w:val="24"/>
          <w:szCs w:val="24"/>
        </w:rPr>
        <w:t xml:space="preserve">Eficacia del </w:t>
      </w:r>
      <w:r w:rsidR="00D979D4" w:rsidRPr="00F03883">
        <w:rPr>
          <w:rFonts w:ascii="Open Sans Light" w:eastAsia="Open Sans Light" w:hAnsi="Open Sans Light" w:cs="Open Sans Light"/>
          <w:b/>
          <w:i/>
          <w:color w:val="000000"/>
          <w:sz w:val="24"/>
          <w:szCs w:val="24"/>
        </w:rPr>
        <w:t>PNAIA 2012 – 2021</w:t>
      </w:r>
      <w:r w:rsidR="00634741" w:rsidRPr="00F03883">
        <w:rPr>
          <w:rFonts w:ascii="Open Sans Light" w:eastAsia="Open Sans Light" w:hAnsi="Open Sans Light" w:cs="Open Sans Light"/>
          <w:b/>
          <w:i/>
          <w:color w:val="000000"/>
          <w:sz w:val="24"/>
          <w:szCs w:val="24"/>
        </w:rPr>
        <w:t xml:space="preserve"> </w:t>
      </w:r>
      <w:r w:rsidRPr="00F03883">
        <w:rPr>
          <w:rFonts w:ascii="Open Sans Light" w:eastAsia="Open Sans Light" w:hAnsi="Open Sans Light" w:cs="Open Sans Light"/>
          <w:b/>
          <w:i/>
          <w:color w:val="000000"/>
          <w:sz w:val="24"/>
          <w:szCs w:val="24"/>
        </w:rPr>
        <w:t>sobre los resultados</w:t>
      </w:r>
    </w:p>
    <w:p w14:paraId="00000033" w14:textId="77777777" w:rsidR="00971081" w:rsidRPr="00F03883" w:rsidRDefault="00971081">
      <w:pPr>
        <w:spacing w:after="0" w:line="240" w:lineRule="auto"/>
        <w:jc w:val="both"/>
        <w:rPr>
          <w:rFonts w:ascii="Open Sans Light" w:eastAsia="Open Sans Light" w:hAnsi="Open Sans Light" w:cs="Open Sans Light"/>
          <w:color w:val="000000"/>
          <w:sz w:val="24"/>
          <w:szCs w:val="24"/>
        </w:rPr>
      </w:pPr>
    </w:p>
    <w:p w14:paraId="00000036" w14:textId="10309B72" w:rsidR="00971081" w:rsidRPr="00F03883" w:rsidRDefault="00151B3A">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Esta</w:t>
      </w:r>
      <w:r w:rsidR="0070329F" w:rsidRPr="00151B3A">
        <w:rPr>
          <w:rFonts w:ascii="Open Sans Light" w:eastAsia="Open Sans Light" w:hAnsi="Open Sans Light" w:cs="Open Sans Light"/>
          <w:color w:val="000000"/>
          <w:sz w:val="24"/>
          <w:szCs w:val="24"/>
        </w:rPr>
        <w:t xml:space="preserve"> subsección corresponde a la evaluación de la eficacia del PNAIA 2012-2021 durante el periodo 2012-2020</w:t>
      </w:r>
      <w:r w:rsidR="000D412F">
        <w:rPr>
          <w:rFonts w:ascii="Open Sans Light" w:eastAsia="Open Sans Light" w:hAnsi="Open Sans Light" w:cs="Open Sans Light"/>
          <w:color w:val="000000"/>
          <w:sz w:val="24"/>
          <w:szCs w:val="24"/>
        </w:rPr>
        <w:t xml:space="preserve"> mediante el análisis de indicadores priorizados</w:t>
      </w:r>
      <w:r w:rsidR="0070329F" w:rsidRPr="00151B3A">
        <w:rPr>
          <w:rFonts w:ascii="Open Sans Light" w:eastAsia="Open Sans Light" w:hAnsi="Open Sans Light" w:cs="Open Sans Light"/>
          <w:color w:val="000000"/>
          <w:sz w:val="24"/>
          <w:szCs w:val="24"/>
        </w:rPr>
        <w:t xml:space="preserve">. La priorización de indicadores fue parte de un trabajo de gabinete del equipo de evaluación del MIMP, a partir del cual se seleccionó al indicador que mejor se alineaba a cada resultado específico y su respectiva meta 2021. </w:t>
      </w:r>
      <w:r w:rsidR="009104B2" w:rsidRPr="00151B3A">
        <w:rPr>
          <w:rFonts w:ascii="Open Sans Light" w:eastAsia="Open Sans Light" w:hAnsi="Open Sans Light" w:cs="Open Sans Light"/>
          <w:color w:val="000000"/>
          <w:sz w:val="24"/>
          <w:szCs w:val="24"/>
        </w:rPr>
        <w:t>Para el</w:t>
      </w:r>
      <w:r w:rsidR="00966214" w:rsidRPr="00151B3A">
        <w:rPr>
          <w:rFonts w:ascii="Open Sans Light" w:eastAsia="Open Sans Light" w:hAnsi="Open Sans Light" w:cs="Open Sans Light"/>
          <w:color w:val="000000"/>
          <w:sz w:val="24"/>
          <w:szCs w:val="24"/>
        </w:rPr>
        <w:t xml:space="preserve"> </w:t>
      </w:r>
      <w:r w:rsidR="009104B2" w:rsidRPr="00151B3A">
        <w:rPr>
          <w:rFonts w:ascii="Open Sans Light" w:eastAsia="Open Sans Light" w:hAnsi="Open Sans Light" w:cs="Open Sans Light"/>
          <w:color w:val="000000"/>
          <w:sz w:val="24"/>
          <w:szCs w:val="24"/>
        </w:rPr>
        <w:t xml:space="preserve">análisis de la eficacia del </w:t>
      </w:r>
      <w:r w:rsidR="00D979D4" w:rsidRPr="00151B3A">
        <w:rPr>
          <w:rFonts w:ascii="Open Sans Light" w:eastAsia="Open Sans Light" w:hAnsi="Open Sans Light" w:cs="Open Sans Light"/>
          <w:color w:val="000000"/>
          <w:sz w:val="24"/>
          <w:szCs w:val="24"/>
        </w:rPr>
        <w:t>PNAIA 2012 – 2021</w:t>
      </w:r>
      <w:r w:rsidR="00634741" w:rsidRPr="00151B3A">
        <w:rPr>
          <w:rFonts w:ascii="Open Sans Light" w:eastAsia="Open Sans Light" w:hAnsi="Open Sans Light" w:cs="Open Sans Light"/>
          <w:color w:val="000000"/>
          <w:sz w:val="24"/>
          <w:szCs w:val="24"/>
        </w:rPr>
        <w:t xml:space="preserve"> </w:t>
      </w:r>
      <w:r w:rsidR="009104B2" w:rsidRPr="00151B3A">
        <w:rPr>
          <w:rFonts w:ascii="Open Sans Light" w:eastAsia="Open Sans Light" w:hAnsi="Open Sans Light" w:cs="Open Sans Light"/>
          <w:color w:val="000000"/>
          <w:sz w:val="24"/>
          <w:szCs w:val="24"/>
        </w:rPr>
        <w:t xml:space="preserve">en la consecución de los resultados esperados al 2021, se ha priorizado el análisis de al menos un indicador por cada resultado esperado del plan, cuyo desempeño se medirá con los datos recabados </w:t>
      </w:r>
      <w:r w:rsidR="00FE4E26" w:rsidRPr="00151B3A">
        <w:rPr>
          <w:rFonts w:ascii="Open Sans Light" w:eastAsia="Open Sans Light" w:hAnsi="Open Sans Light" w:cs="Open Sans Light"/>
          <w:color w:val="000000"/>
          <w:sz w:val="24"/>
          <w:szCs w:val="24"/>
        </w:rPr>
        <w:t>durante el</w:t>
      </w:r>
      <w:r w:rsidR="009104B2" w:rsidRPr="00151B3A">
        <w:rPr>
          <w:rFonts w:ascii="Open Sans Light" w:eastAsia="Open Sans Light" w:hAnsi="Open Sans Light" w:cs="Open Sans Light"/>
          <w:color w:val="000000"/>
          <w:sz w:val="24"/>
          <w:szCs w:val="24"/>
        </w:rPr>
        <w:t xml:space="preserve"> periodo 2012 – 2020.</w:t>
      </w:r>
      <w:r w:rsidR="009104B2" w:rsidRPr="00F03883">
        <w:rPr>
          <w:rFonts w:ascii="Open Sans Light" w:eastAsia="Open Sans Light" w:hAnsi="Open Sans Light" w:cs="Open Sans Light"/>
          <w:color w:val="000000"/>
          <w:sz w:val="24"/>
          <w:szCs w:val="24"/>
        </w:rPr>
        <w:t xml:space="preserve"> </w:t>
      </w:r>
      <w:r w:rsidR="00F45E44" w:rsidRPr="00F03883">
        <w:rPr>
          <w:rFonts w:ascii="Open Sans Light" w:eastAsia="Open Sans Light" w:hAnsi="Open Sans Light" w:cs="Open Sans Light"/>
          <w:color w:val="000000"/>
          <w:sz w:val="24"/>
          <w:szCs w:val="24"/>
        </w:rPr>
        <w:t xml:space="preserve"> </w:t>
      </w:r>
    </w:p>
    <w:p w14:paraId="00000037" w14:textId="77777777" w:rsidR="00971081" w:rsidRPr="00F03883" w:rsidRDefault="00971081">
      <w:pPr>
        <w:spacing w:after="0" w:line="240" w:lineRule="auto"/>
        <w:jc w:val="both"/>
        <w:rPr>
          <w:rFonts w:ascii="Open Sans Light" w:eastAsia="Open Sans Light" w:hAnsi="Open Sans Light" w:cs="Open Sans Light"/>
          <w:color w:val="000000"/>
          <w:sz w:val="24"/>
          <w:szCs w:val="24"/>
        </w:rPr>
      </w:pPr>
    </w:p>
    <w:p w14:paraId="0000003C" w14:textId="193A3566" w:rsidR="00971081" w:rsidRPr="00F03883" w:rsidRDefault="009104B2">
      <w:pPr>
        <w:spacing w:after="0" w:line="240" w:lineRule="auto"/>
        <w:jc w:val="both"/>
        <w:rPr>
          <w:rFonts w:ascii="Open Sans Light" w:eastAsia="Open Sans Light" w:hAnsi="Open Sans Light" w:cs="Open Sans Light"/>
          <w:color w:val="000000"/>
          <w:sz w:val="24"/>
          <w:szCs w:val="24"/>
        </w:rPr>
      </w:pPr>
      <w:r w:rsidRPr="00F03883">
        <w:rPr>
          <w:rFonts w:ascii="Open Sans Light" w:eastAsia="Open Sans Light" w:hAnsi="Open Sans Light" w:cs="Open Sans Light"/>
          <w:color w:val="000000"/>
          <w:sz w:val="24"/>
          <w:szCs w:val="24"/>
        </w:rPr>
        <w:t xml:space="preserve">El análisis de eficacia </w:t>
      </w:r>
      <w:r w:rsidR="00B63F87" w:rsidRPr="00F03883">
        <w:rPr>
          <w:rFonts w:ascii="Open Sans Light" w:eastAsia="Open Sans Light" w:hAnsi="Open Sans Light" w:cs="Open Sans Light"/>
          <w:color w:val="000000"/>
          <w:sz w:val="24"/>
          <w:szCs w:val="24"/>
        </w:rPr>
        <w:t xml:space="preserve">busca </w:t>
      </w:r>
      <w:r w:rsidRPr="00F03883">
        <w:rPr>
          <w:rFonts w:ascii="Open Sans Light" w:eastAsia="Open Sans Light" w:hAnsi="Open Sans Light" w:cs="Open Sans Light"/>
          <w:color w:val="000000"/>
          <w:sz w:val="24"/>
          <w:szCs w:val="24"/>
        </w:rPr>
        <w:t>verifica</w:t>
      </w:r>
      <w:r w:rsidR="00B63F87" w:rsidRPr="00F03883">
        <w:rPr>
          <w:rFonts w:ascii="Open Sans Light" w:eastAsia="Open Sans Light" w:hAnsi="Open Sans Light" w:cs="Open Sans Light"/>
          <w:color w:val="000000"/>
          <w:sz w:val="24"/>
          <w:szCs w:val="24"/>
        </w:rPr>
        <w:t>r</w:t>
      </w:r>
      <w:r w:rsidRPr="00F03883">
        <w:rPr>
          <w:rFonts w:ascii="Open Sans Light" w:eastAsia="Open Sans Light" w:hAnsi="Open Sans Light" w:cs="Open Sans Light"/>
          <w:color w:val="000000"/>
          <w:sz w:val="24"/>
          <w:szCs w:val="24"/>
        </w:rPr>
        <w:t xml:space="preserve"> el cumplimiento de la meta programada al 2021. Para ello, a partir de los datos históricos 2012 – 2020, se realiz</w:t>
      </w:r>
      <w:r w:rsidR="008D2481" w:rsidRPr="00F03883">
        <w:rPr>
          <w:rFonts w:ascii="Open Sans Light" w:eastAsia="Open Sans Light" w:hAnsi="Open Sans Light" w:cs="Open Sans Light"/>
          <w:color w:val="000000"/>
          <w:sz w:val="24"/>
          <w:szCs w:val="24"/>
        </w:rPr>
        <w:t>a</w:t>
      </w:r>
      <w:r w:rsidR="00744F22" w:rsidRPr="00F03883">
        <w:rPr>
          <w:rFonts w:ascii="Open Sans Light" w:eastAsia="Open Sans Light" w:hAnsi="Open Sans Light" w:cs="Open Sans Light"/>
          <w:color w:val="000000"/>
          <w:sz w:val="24"/>
          <w:szCs w:val="24"/>
        </w:rPr>
        <w:t xml:space="preserve"> una proyección </w:t>
      </w:r>
      <w:r w:rsidR="000A7F37" w:rsidRPr="00F03883">
        <w:rPr>
          <w:rFonts w:ascii="Open Sans Light" w:eastAsia="Open Sans Light" w:hAnsi="Open Sans Light" w:cs="Open Sans Light"/>
          <w:color w:val="000000"/>
          <w:sz w:val="24"/>
          <w:szCs w:val="24"/>
        </w:rPr>
        <w:t xml:space="preserve">al 2021 bajo el método </w:t>
      </w:r>
      <w:r w:rsidR="006111D2" w:rsidRPr="00F03883">
        <w:rPr>
          <w:rFonts w:ascii="Open Sans Light" w:eastAsia="Open Sans Light" w:hAnsi="Open Sans Light" w:cs="Open Sans Light"/>
          <w:color w:val="000000"/>
          <w:sz w:val="24"/>
          <w:szCs w:val="24"/>
        </w:rPr>
        <w:t>suavizad</w:t>
      </w:r>
      <w:r w:rsidR="000A7F37" w:rsidRPr="00F03883">
        <w:rPr>
          <w:rFonts w:ascii="Open Sans Light" w:eastAsia="Open Sans Light" w:hAnsi="Open Sans Light" w:cs="Open Sans Light"/>
          <w:color w:val="000000"/>
          <w:sz w:val="24"/>
          <w:szCs w:val="24"/>
        </w:rPr>
        <w:t>o</w:t>
      </w:r>
      <w:r w:rsidR="006111D2" w:rsidRPr="00F03883">
        <w:rPr>
          <w:rFonts w:ascii="Open Sans Light" w:eastAsia="Open Sans Light" w:hAnsi="Open Sans Light" w:cs="Open Sans Light"/>
          <w:color w:val="000000"/>
          <w:sz w:val="24"/>
          <w:szCs w:val="24"/>
        </w:rPr>
        <w:t xml:space="preserve"> exponencial triple</w:t>
      </w:r>
      <w:r w:rsidR="001100E9" w:rsidRPr="00F03883">
        <w:rPr>
          <w:rFonts w:ascii="Open Sans Light" w:eastAsia="Open Sans Light" w:hAnsi="Open Sans Light" w:cs="Open Sans Light"/>
          <w:color w:val="000000"/>
          <w:sz w:val="24"/>
          <w:szCs w:val="24"/>
        </w:rPr>
        <w:t>,</w:t>
      </w:r>
      <w:r w:rsidR="006111D2" w:rsidRPr="00F03883">
        <w:rPr>
          <w:rFonts w:ascii="Open Sans Light" w:eastAsia="Open Sans Light" w:hAnsi="Open Sans Light" w:cs="Open Sans Light"/>
          <w:color w:val="000000"/>
          <w:sz w:val="24"/>
          <w:szCs w:val="24"/>
        </w:rPr>
        <w:t xml:space="preserve"> </w:t>
      </w:r>
      <w:r w:rsidR="00504528" w:rsidRPr="00F03883">
        <w:rPr>
          <w:rFonts w:ascii="Open Sans Light" w:eastAsia="Open Sans Light" w:hAnsi="Open Sans Light" w:cs="Open Sans Light"/>
          <w:color w:val="000000"/>
          <w:sz w:val="24"/>
          <w:szCs w:val="24"/>
        </w:rPr>
        <w:t>de tal manera que su</w:t>
      </w:r>
      <w:r w:rsidR="001A24BC" w:rsidRPr="00F03883">
        <w:rPr>
          <w:rFonts w:ascii="Open Sans Light" w:eastAsia="Open Sans Light" w:hAnsi="Open Sans Light" w:cs="Open Sans Light"/>
          <w:color w:val="000000"/>
          <w:sz w:val="24"/>
          <w:szCs w:val="24"/>
        </w:rPr>
        <w:t xml:space="preserve"> valor </w:t>
      </w:r>
      <w:r w:rsidR="001100E9" w:rsidRPr="00F03883">
        <w:rPr>
          <w:rFonts w:ascii="Open Sans Light" w:eastAsia="Open Sans Light" w:hAnsi="Open Sans Light" w:cs="Open Sans Light"/>
          <w:color w:val="000000"/>
          <w:sz w:val="24"/>
          <w:szCs w:val="24"/>
        </w:rPr>
        <w:t>pronosticado</w:t>
      </w:r>
      <w:r w:rsidR="001A24BC" w:rsidRPr="00F03883">
        <w:rPr>
          <w:rFonts w:ascii="Open Sans Light" w:eastAsia="Open Sans Light" w:hAnsi="Open Sans Light" w:cs="Open Sans Light"/>
          <w:color w:val="000000"/>
          <w:sz w:val="24"/>
          <w:szCs w:val="24"/>
        </w:rPr>
        <w:t xml:space="preserve"> </w:t>
      </w:r>
      <w:r w:rsidR="00504528" w:rsidRPr="00F03883">
        <w:rPr>
          <w:rFonts w:ascii="Open Sans Light" w:eastAsia="Open Sans Light" w:hAnsi="Open Sans Light" w:cs="Open Sans Light"/>
          <w:color w:val="000000"/>
          <w:sz w:val="24"/>
          <w:szCs w:val="24"/>
        </w:rPr>
        <w:t>mantenga</w:t>
      </w:r>
      <w:r w:rsidR="00737BA7" w:rsidRPr="00F03883">
        <w:rPr>
          <w:rFonts w:ascii="Open Sans Light" w:eastAsia="Open Sans Light" w:hAnsi="Open Sans Light" w:cs="Open Sans Light"/>
          <w:color w:val="000000"/>
          <w:sz w:val="24"/>
          <w:szCs w:val="24"/>
        </w:rPr>
        <w:t xml:space="preserve"> la continuación de la línea de tiempo. </w:t>
      </w:r>
      <w:r w:rsidR="00215ADF" w:rsidRPr="00F03883">
        <w:rPr>
          <w:rFonts w:ascii="Open Sans Light" w:eastAsia="Open Sans Light" w:hAnsi="Open Sans Light" w:cs="Open Sans Light"/>
          <w:color w:val="000000"/>
          <w:sz w:val="24"/>
          <w:szCs w:val="24"/>
        </w:rPr>
        <w:t>El objetivo</w:t>
      </w:r>
      <w:r w:rsidR="00504528" w:rsidRPr="00F03883">
        <w:rPr>
          <w:rFonts w:ascii="Open Sans Light" w:eastAsia="Open Sans Light" w:hAnsi="Open Sans Light" w:cs="Open Sans Light"/>
          <w:color w:val="000000"/>
          <w:sz w:val="24"/>
          <w:szCs w:val="24"/>
        </w:rPr>
        <w:t xml:space="preserve"> de la proyección de los indicadores</w:t>
      </w:r>
      <w:r w:rsidR="000A7F37" w:rsidRPr="00F03883">
        <w:rPr>
          <w:rFonts w:ascii="Open Sans Light" w:eastAsia="Open Sans Light" w:hAnsi="Open Sans Light" w:cs="Open Sans Light"/>
          <w:color w:val="000000"/>
          <w:sz w:val="24"/>
          <w:szCs w:val="24"/>
        </w:rPr>
        <w:t xml:space="preserve"> </w:t>
      </w:r>
      <w:r w:rsidR="008D2481" w:rsidRPr="00F03883">
        <w:rPr>
          <w:rFonts w:ascii="Open Sans Light" w:eastAsia="Open Sans Light" w:hAnsi="Open Sans Light" w:cs="Open Sans Light"/>
          <w:color w:val="000000"/>
          <w:sz w:val="24"/>
          <w:szCs w:val="24"/>
        </w:rPr>
        <w:t>es</w:t>
      </w:r>
      <w:r w:rsidR="000A7F37" w:rsidRPr="00F03883">
        <w:rPr>
          <w:rFonts w:ascii="Open Sans Light" w:eastAsia="Open Sans Light" w:hAnsi="Open Sans Light" w:cs="Open Sans Light"/>
          <w:color w:val="000000"/>
          <w:sz w:val="24"/>
          <w:szCs w:val="24"/>
        </w:rPr>
        <w:t xml:space="preserve"> </w:t>
      </w:r>
      <w:r w:rsidR="00215ADF" w:rsidRPr="00F03883">
        <w:rPr>
          <w:rFonts w:ascii="Open Sans Light" w:eastAsia="Open Sans Light" w:hAnsi="Open Sans Light" w:cs="Open Sans Light"/>
          <w:color w:val="000000"/>
          <w:sz w:val="24"/>
          <w:szCs w:val="24"/>
        </w:rPr>
        <w:t xml:space="preserve">determinar si se estaría alcanzando el logro esperado. </w:t>
      </w:r>
      <w:r w:rsidRPr="00F03883">
        <w:rPr>
          <w:rFonts w:ascii="Open Sans Light" w:eastAsia="Open Sans Light" w:hAnsi="Open Sans Light" w:cs="Open Sans Light"/>
          <w:color w:val="000000"/>
          <w:sz w:val="24"/>
          <w:szCs w:val="24"/>
        </w:rPr>
        <w:t xml:space="preserve">Asimismo, </w:t>
      </w:r>
      <w:r w:rsidR="008D2481" w:rsidRPr="00F03883">
        <w:rPr>
          <w:rFonts w:ascii="Open Sans Light" w:eastAsia="Open Sans Light" w:hAnsi="Open Sans Light" w:cs="Open Sans Light"/>
          <w:color w:val="000000"/>
          <w:sz w:val="24"/>
          <w:szCs w:val="24"/>
        </w:rPr>
        <w:t>para</w:t>
      </w:r>
      <w:r w:rsidRPr="00F03883">
        <w:rPr>
          <w:rFonts w:ascii="Open Sans Light" w:eastAsia="Open Sans Light" w:hAnsi="Open Sans Light" w:cs="Open Sans Light"/>
          <w:color w:val="000000"/>
          <w:sz w:val="24"/>
          <w:szCs w:val="24"/>
        </w:rPr>
        <w:t xml:space="preserve"> los casos donde no se cumpli</w:t>
      </w:r>
      <w:r w:rsidR="00DC22B8">
        <w:rPr>
          <w:rFonts w:ascii="Open Sans Light" w:eastAsia="Open Sans Light" w:hAnsi="Open Sans Light" w:cs="Open Sans Light"/>
          <w:color w:val="000000"/>
          <w:sz w:val="24"/>
          <w:szCs w:val="24"/>
        </w:rPr>
        <w:t>ó</w:t>
      </w:r>
      <w:r w:rsidRPr="00F03883">
        <w:rPr>
          <w:rFonts w:ascii="Open Sans Light" w:eastAsia="Open Sans Light" w:hAnsi="Open Sans Light" w:cs="Open Sans Light"/>
          <w:color w:val="000000"/>
          <w:sz w:val="24"/>
          <w:szCs w:val="24"/>
        </w:rPr>
        <w:t xml:space="preserve"> la meta se estim</w:t>
      </w:r>
      <w:r w:rsidR="00DC22B8">
        <w:rPr>
          <w:rFonts w:ascii="Open Sans Light" w:eastAsia="Open Sans Light" w:hAnsi="Open Sans Light" w:cs="Open Sans Light"/>
          <w:color w:val="000000"/>
          <w:sz w:val="24"/>
          <w:szCs w:val="24"/>
        </w:rPr>
        <w:t>ó</w:t>
      </w:r>
      <w:r w:rsidRPr="00F03883">
        <w:rPr>
          <w:rFonts w:ascii="Open Sans Light" w:eastAsia="Open Sans Light" w:hAnsi="Open Sans Light" w:cs="Open Sans Light"/>
          <w:color w:val="000000"/>
          <w:sz w:val="24"/>
          <w:szCs w:val="24"/>
        </w:rPr>
        <w:t xml:space="preserve"> e</w:t>
      </w:r>
      <w:r w:rsidR="00DC22B8">
        <w:rPr>
          <w:rFonts w:ascii="Open Sans Light" w:eastAsia="Open Sans Light" w:hAnsi="Open Sans Light" w:cs="Open Sans Light"/>
          <w:color w:val="000000"/>
          <w:sz w:val="24"/>
          <w:szCs w:val="24"/>
        </w:rPr>
        <w:t xml:space="preserve">l </w:t>
      </w:r>
      <w:r w:rsidRPr="00F03883">
        <w:rPr>
          <w:rFonts w:ascii="Open Sans Light" w:eastAsia="Open Sans Light" w:hAnsi="Open Sans Light" w:cs="Open Sans Light"/>
          <w:color w:val="000000"/>
          <w:sz w:val="24"/>
          <w:szCs w:val="24"/>
        </w:rPr>
        <w:t xml:space="preserve">periodo aproximado </w:t>
      </w:r>
      <w:r w:rsidR="00DC22B8">
        <w:rPr>
          <w:rFonts w:ascii="Open Sans Light" w:eastAsia="Open Sans Light" w:hAnsi="Open Sans Light" w:cs="Open Sans Light"/>
          <w:color w:val="000000"/>
          <w:sz w:val="24"/>
          <w:szCs w:val="24"/>
        </w:rPr>
        <w:t xml:space="preserve">en que </w:t>
      </w:r>
      <w:r w:rsidRPr="00F03883">
        <w:rPr>
          <w:rFonts w:ascii="Open Sans Light" w:eastAsia="Open Sans Light" w:hAnsi="Open Sans Light" w:cs="Open Sans Light"/>
          <w:color w:val="000000"/>
          <w:sz w:val="24"/>
          <w:szCs w:val="24"/>
        </w:rPr>
        <w:t>se lograría el resultado.</w:t>
      </w:r>
      <w:r w:rsidR="00F45E44" w:rsidRPr="00F03883">
        <w:rPr>
          <w:rFonts w:ascii="Open Sans Light" w:eastAsia="Open Sans Light" w:hAnsi="Open Sans Light" w:cs="Open Sans Light"/>
          <w:color w:val="000000"/>
          <w:sz w:val="24"/>
          <w:szCs w:val="24"/>
        </w:rPr>
        <w:t xml:space="preserve"> </w:t>
      </w:r>
    </w:p>
    <w:p w14:paraId="0000003D" w14:textId="77777777" w:rsidR="00971081" w:rsidRPr="00F03883" w:rsidRDefault="00971081">
      <w:pPr>
        <w:spacing w:after="0" w:line="240" w:lineRule="auto"/>
        <w:jc w:val="both"/>
        <w:rPr>
          <w:rFonts w:ascii="Open Sans Light" w:eastAsia="Open Sans Light" w:hAnsi="Open Sans Light" w:cs="Open Sans Light"/>
          <w:color w:val="000000"/>
          <w:sz w:val="24"/>
          <w:szCs w:val="24"/>
        </w:rPr>
      </w:pPr>
    </w:p>
    <w:p w14:paraId="0000003F" w14:textId="77777777" w:rsidR="00971081" w:rsidRPr="00F03883" w:rsidRDefault="009104B2">
      <w:pPr>
        <w:spacing w:after="0" w:line="240" w:lineRule="auto"/>
        <w:jc w:val="both"/>
        <w:rPr>
          <w:rFonts w:ascii="Open Sans Light" w:eastAsia="Open Sans Light" w:hAnsi="Open Sans Light" w:cs="Open Sans Light"/>
          <w:b/>
          <w:i/>
          <w:color w:val="000000"/>
          <w:sz w:val="24"/>
          <w:szCs w:val="24"/>
        </w:rPr>
      </w:pPr>
      <w:r w:rsidRPr="00F03883">
        <w:rPr>
          <w:rFonts w:ascii="Open Sans Light" w:eastAsia="Open Sans Light" w:hAnsi="Open Sans Light" w:cs="Open Sans Light"/>
          <w:b/>
          <w:i/>
          <w:color w:val="000000"/>
          <w:sz w:val="24"/>
          <w:szCs w:val="24"/>
        </w:rPr>
        <w:t>Balance de estrategias implementadas</w:t>
      </w:r>
    </w:p>
    <w:p w14:paraId="00000040" w14:textId="77777777" w:rsidR="00971081" w:rsidRPr="00F03883" w:rsidRDefault="00971081">
      <w:pPr>
        <w:spacing w:after="0" w:line="240" w:lineRule="auto"/>
        <w:jc w:val="both"/>
        <w:rPr>
          <w:rFonts w:ascii="Open Sans Light" w:eastAsia="Open Sans Light" w:hAnsi="Open Sans Light" w:cs="Open Sans Light"/>
          <w:color w:val="000000"/>
          <w:sz w:val="24"/>
          <w:szCs w:val="24"/>
        </w:rPr>
      </w:pPr>
    </w:p>
    <w:p w14:paraId="00000041" w14:textId="691F5C23" w:rsidR="00971081" w:rsidRPr="00F03883" w:rsidRDefault="001267B6">
      <w:pPr>
        <w:spacing w:after="0" w:line="240" w:lineRule="auto"/>
        <w:jc w:val="both"/>
        <w:rPr>
          <w:rFonts w:ascii="Open Sans Light" w:eastAsia="Open Sans Light" w:hAnsi="Open Sans Light" w:cs="Open Sans Light"/>
          <w:color w:val="000000"/>
          <w:sz w:val="24"/>
          <w:szCs w:val="24"/>
        </w:rPr>
      </w:pPr>
      <w:r w:rsidRPr="00F03883">
        <w:rPr>
          <w:rFonts w:ascii="Open Sans Light" w:eastAsia="Open Sans Light" w:hAnsi="Open Sans Light" w:cs="Open Sans Light"/>
          <w:color w:val="000000"/>
          <w:sz w:val="24"/>
          <w:szCs w:val="24"/>
        </w:rPr>
        <w:t>El balance de estrategias implementadas analiza l</w:t>
      </w:r>
      <w:r w:rsidR="009104B2" w:rsidRPr="00F03883">
        <w:rPr>
          <w:rFonts w:ascii="Open Sans Light" w:eastAsia="Open Sans Light" w:hAnsi="Open Sans Light" w:cs="Open Sans Light"/>
          <w:color w:val="000000"/>
          <w:sz w:val="24"/>
          <w:szCs w:val="24"/>
        </w:rPr>
        <w:t xml:space="preserve">os principales procesos estratégicos </w:t>
      </w:r>
      <w:r w:rsidR="00942CC1" w:rsidRPr="00F03883">
        <w:rPr>
          <w:rFonts w:ascii="Open Sans Light" w:eastAsia="Open Sans Light" w:hAnsi="Open Sans Light" w:cs="Open Sans Light"/>
          <w:color w:val="000000"/>
          <w:sz w:val="24"/>
          <w:szCs w:val="24"/>
        </w:rPr>
        <w:t xml:space="preserve">ejecutados para contribuir al logro de </w:t>
      </w:r>
      <w:r w:rsidR="00326E12" w:rsidRPr="00F03883">
        <w:rPr>
          <w:rFonts w:ascii="Open Sans Light" w:eastAsia="Open Sans Light" w:hAnsi="Open Sans Light" w:cs="Open Sans Light"/>
          <w:color w:val="000000"/>
          <w:sz w:val="24"/>
          <w:szCs w:val="24"/>
        </w:rPr>
        <w:t xml:space="preserve">objetivos </w:t>
      </w:r>
      <w:r w:rsidR="00942CC1" w:rsidRPr="00F03883">
        <w:rPr>
          <w:rFonts w:ascii="Open Sans Light" w:eastAsia="Open Sans Light" w:hAnsi="Open Sans Light" w:cs="Open Sans Light"/>
          <w:color w:val="000000"/>
          <w:sz w:val="24"/>
          <w:szCs w:val="24"/>
        </w:rPr>
        <w:t xml:space="preserve">del </w:t>
      </w:r>
      <w:r w:rsidR="00D979D4" w:rsidRPr="00F03883">
        <w:rPr>
          <w:rFonts w:ascii="Open Sans Light" w:eastAsia="Open Sans Light" w:hAnsi="Open Sans Light" w:cs="Open Sans Light"/>
          <w:color w:val="000000"/>
          <w:sz w:val="24"/>
          <w:szCs w:val="24"/>
        </w:rPr>
        <w:t>PNAIA 2012 – 202</w:t>
      </w:r>
      <w:r w:rsidR="0047192D" w:rsidRPr="00F03883">
        <w:rPr>
          <w:rFonts w:ascii="Open Sans Light" w:eastAsia="Open Sans Light" w:hAnsi="Open Sans Light" w:cs="Open Sans Light"/>
          <w:color w:val="000000"/>
          <w:sz w:val="24"/>
          <w:szCs w:val="24"/>
        </w:rPr>
        <w:t>1</w:t>
      </w:r>
      <w:r w:rsidRPr="00F03883">
        <w:rPr>
          <w:rFonts w:ascii="Open Sans Light" w:eastAsia="Open Sans Light" w:hAnsi="Open Sans Light" w:cs="Open Sans Light"/>
          <w:color w:val="000000"/>
          <w:sz w:val="24"/>
          <w:szCs w:val="24"/>
        </w:rPr>
        <w:t>;</w:t>
      </w:r>
      <w:r w:rsidR="00942CC1" w:rsidRPr="00F03883">
        <w:rPr>
          <w:rFonts w:ascii="Open Sans Light" w:eastAsia="Open Sans Light" w:hAnsi="Open Sans Light" w:cs="Open Sans Light"/>
          <w:color w:val="000000"/>
          <w:sz w:val="24"/>
          <w:szCs w:val="24"/>
        </w:rPr>
        <w:t xml:space="preserve"> </w:t>
      </w:r>
      <w:r w:rsidR="00A423D0" w:rsidRPr="00F03883">
        <w:rPr>
          <w:rFonts w:ascii="Open Sans Light" w:eastAsia="Open Sans Light" w:hAnsi="Open Sans Light" w:cs="Open Sans Light"/>
          <w:color w:val="000000"/>
          <w:sz w:val="24"/>
          <w:szCs w:val="24"/>
        </w:rPr>
        <w:t xml:space="preserve">identifica </w:t>
      </w:r>
      <w:r w:rsidR="009104B2" w:rsidRPr="00F03883">
        <w:rPr>
          <w:rFonts w:ascii="Open Sans Light" w:eastAsia="Open Sans Light" w:hAnsi="Open Sans Light" w:cs="Open Sans Light"/>
          <w:color w:val="000000"/>
          <w:sz w:val="24"/>
          <w:szCs w:val="24"/>
        </w:rPr>
        <w:t xml:space="preserve">cuántas y cuáles de las estrategias de implementación </w:t>
      </w:r>
      <w:r w:rsidR="009104B2" w:rsidRPr="00F03883">
        <w:rPr>
          <w:rFonts w:ascii="Open Sans Light" w:eastAsia="Open Sans Light" w:hAnsi="Open Sans Light" w:cs="Open Sans Light"/>
          <w:color w:val="000000"/>
          <w:sz w:val="24"/>
          <w:szCs w:val="24"/>
        </w:rPr>
        <w:lastRenderedPageBreak/>
        <w:t xml:space="preserve">establecidas en el </w:t>
      </w:r>
      <w:r w:rsidR="00D979D4" w:rsidRPr="00F03883">
        <w:rPr>
          <w:rFonts w:ascii="Open Sans Light" w:eastAsia="Open Sans Light" w:hAnsi="Open Sans Light" w:cs="Open Sans Light"/>
          <w:color w:val="000000"/>
          <w:sz w:val="24"/>
          <w:szCs w:val="24"/>
        </w:rPr>
        <w:t>PNAIA 2012 – 2021</w:t>
      </w:r>
      <w:r w:rsidR="0047192D" w:rsidRPr="00F03883">
        <w:rPr>
          <w:rFonts w:ascii="Open Sans Light" w:eastAsia="Open Sans Light" w:hAnsi="Open Sans Light" w:cs="Open Sans Light"/>
          <w:color w:val="000000"/>
          <w:sz w:val="24"/>
          <w:szCs w:val="24"/>
        </w:rPr>
        <w:t xml:space="preserve"> </w:t>
      </w:r>
      <w:r w:rsidR="00942CC1" w:rsidRPr="00F03883">
        <w:rPr>
          <w:rFonts w:ascii="Open Sans Light" w:eastAsia="Open Sans Light" w:hAnsi="Open Sans Light" w:cs="Open Sans Light"/>
          <w:color w:val="000000"/>
          <w:sz w:val="24"/>
          <w:szCs w:val="24"/>
        </w:rPr>
        <w:t>tuvieron una ejecución</w:t>
      </w:r>
      <w:r w:rsidR="00A423D0" w:rsidRPr="00F03883">
        <w:rPr>
          <w:rFonts w:ascii="Open Sans Light" w:eastAsia="Open Sans Light" w:hAnsi="Open Sans Light" w:cs="Open Sans Light"/>
          <w:color w:val="000000"/>
          <w:sz w:val="24"/>
          <w:szCs w:val="24"/>
        </w:rPr>
        <w:t xml:space="preserve"> presupuestal </w:t>
      </w:r>
      <w:r w:rsidR="00942CC1" w:rsidRPr="00F03883">
        <w:rPr>
          <w:rFonts w:ascii="Open Sans Light" w:eastAsia="Open Sans Light" w:hAnsi="Open Sans Light" w:cs="Open Sans Light"/>
          <w:color w:val="000000"/>
          <w:sz w:val="24"/>
          <w:szCs w:val="24"/>
        </w:rPr>
        <w:t xml:space="preserve">sostenible </w:t>
      </w:r>
      <w:r w:rsidR="00A423D0" w:rsidRPr="00F03883">
        <w:rPr>
          <w:rFonts w:ascii="Open Sans Light" w:eastAsia="Open Sans Light" w:hAnsi="Open Sans Light" w:cs="Open Sans Light"/>
          <w:color w:val="000000"/>
          <w:sz w:val="24"/>
          <w:szCs w:val="24"/>
        </w:rPr>
        <w:t>destinada a su implementación</w:t>
      </w:r>
      <w:r w:rsidR="009104B2" w:rsidRPr="00F03883">
        <w:rPr>
          <w:rFonts w:ascii="Open Sans Light" w:eastAsia="Open Sans Light" w:hAnsi="Open Sans Light" w:cs="Open Sans Light"/>
          <w:color w:val="000000"/>
          <w:sz w:val="24"/>
          <w:szCs w:val="24"/>
        </w:rPr>
        <w:t xml:space="preserve">. </w:t>
      </w:r>
      <w:r w:rsidR="00CE06A2" w:rsidRPr="00F03883">
        <w:rPr>
          <w:rFonts w:ascii="Open Sans Light" w:eastAsia="Open Sans Light" w:hAnsi="Open Sans Light" w:cs="Open Sans Light"/>
          <w:color w:val="000000"/>
          <w:sz w:val="24"/>
          <w:szCs w:val="24"/>
        </w:rPr>
        <w:t xml:space="preserve">Precisamente, se evalúan los avances en torno a 6 metas emblemáticas, cada una de ellas asociada a un Resultado Esperado para el 2021 en el marco del PNAIA 2012-2021. Vale resaltar que estas metas emblemáticas se definen como aquellas que se consideran prioritarias y esenciales para el desarrollo de la infancia y adolescencia en el Perú, cuyo señalamiento tiene un impacto orientador, simbólico y motivador para la sociedad. </w:t>
      </w:r>
      <w:r w:rsidR="009104B2" w:rsidRPr="00F03883">
        <w:rPr>
          <w:rFonts w:ascii="Open Sans Light" w:eastAsia="Open Sans Light" w:hAnsi="Open Sans Light" w:cs="Open Sans Light"/>
          <w:color w:val="000000"/>
          <w:sz w:val="24"/>
          <w:szCs w:val="24"/>
        </w:rPr>
        <w:t>A</w:t>
      </w:r>
      <w:r w:rsidR="00520EC6" w:rsidRPr="00F03883">
        <w:rPr>
          <w:rFonts w:ascii="Open Sans Light" w:eastAsia="Open Sans Light" w:hAnsi="Open Sans Light" w:cs="Open Sans Light"/>
          <w:color w:val="000000"/>
          <w:sz w:val="24"/>
          <w:szCs w:val="24"/>
        </w:rPr>
        <w:t>dicionalmente</w:t>
      </w:r>
      <w:r w:rsidR="009104B2" w:rsidRPr="00F03883">
        <w:rPr>
          <w:rFonts w:ascii="Open Sans Light" w:eastAsia="Open Sans Light" w:hAnsi="Open Sans Light" w:cs="Open Sans Light"/>
          <w:color w:val="000000"/>
          <w:sz w:val="24"/>
          <w:szCs w:val="24"/>
        </w:rPr>
        <w:t xml:space="preserve">, se </w:t>
      </w:r>
      <w:r w:rsidR="00CE06A2" w:rsidRPr="00F03883">
        <w:rPr>
          <w:rFonts w:ascii="Open Sans Light" w:eastAsia="Open Sans Light" w:hAnsi="Open Sans Light" w:cs="Open Sans Light"/>
          <w:color w:val="000000"/>
          <w:sz w:val="24"/>
          <w:szCs w:val="24"/>
        </w:rPr>
        <w:t>incluyen análisis de indicadores prox</w:t>
      </w:r>
      <w:r w:rsidR="00484666" w:rsidRPr="00F03883">
        <w:rPr>
          <w:rFonts w:ascii="Open Sans Light" w:eastAsia="Open Sans Light" w:hAnsi="Open Sans Light" w:cs="Open Sans Light"/>
          <w:color w:val="000000"/>
          <w:sz w:val="24"/>
          <w:szCs w:val="24"/>
        </w:rPr>
        <w:t>y</w:t>
      </w:r>
      <w:r w:rsidR="009104B2" w:rsidRPr="00F03883">
        <w:rPr>
          <w:rFonts w:ascii="Open Sans Light" w:eastAsia="Open Sans Light" w:hAnsi="Open Sans Light" w:cs="Open Sans Light"/>
          <w:color w:val="000000"/>
          <w:sz w:val="24"/>
          <w:szCs w:val="24"/>
        </w:rPr>
        <w:t xml:space="preserve"> </w:t>
      </w:r>
      <w:r w:rsidR="00CC196D" w:rsidRPr="00F03883">
        <w:rPr>
          <w:rFonts w:ascii="Open Sans Light" w:eastAsia="Open Sans Light" w:hAnsi="Open Sans Light" w:cs="Open Sans Light"/>
          <w:color w:val="000000"/>
          <w:sz w:val="24"/>
          <w:szCs w:val="24"/>
        </w:rPr>
        <w:t xml:space="preserve">de aquellas </w:t>
      </w:r>
      <w:r w:rsidR="009104B2" w:rsidRPr="00F03883">
        <w:rPr>
          <w:rFonts w:ascii="Open Sans Light" w:eastAsia="Open Sans Light" w:hAnsi="Open Sans Light" w:cs="Open Sans Light"/>
          <w:color w:val="000000"/>
          <w:sz w:val="24"/>
          <w:szCs w:val="24"/>
        </w:rPr>
        <w:t xml:space="preserve">estrategias que </w:t>
      </w:r>
      <w:r w:rsidR="00CC196D" w:rsidRPr="00F03883">
        <w:rPr>
          <w:rFonts w:ascii="Open Sans Light" w:eastAsia="Open Sans Light" w:hAnsi="Open Sans Light" w:cs="Open Sans Light"/>
          <w:color w:val="000000"/>
          <w:sz w:val="24"/>
          <w:szCs w:val="24"/>
        </w:rPr>
        <w:t>respondían</w:t>
      </w:r>
      <w:r w:rsidR="009104B2" w:rsidRPr="00F03883">
        <w:rPr>
          <w:rFonts w:ascii="Open Sans Light" w:eastAsia="Open Sans Light" w:hAnsi="Open Sans Light" w:cs="Open Sans Light"/>
          <w:color w:val="000000"/>
          <w:sz w:val="24"/>
          <w:szCs w:val="24"/>
        </w:rPr>
        <w:t xml:space="preserve"> directamente a resolver algunas problemáticas previamente identificadas</w:t>
      </w:r>
      <w:r w:rsidR="00484666" w:rsidRPr="00F03883">
        <w:rPr>
          <w:rFonts w:ascii="Open Sans Light" w:eastAsia="Open Sans Light" w:hAnsi="Open Sans Light" w:cs="Open Sans Light"/>
          <w:color w:val="000000"/>
          <w:sz w:val="24"/>
          <w:szCs w:val="24"/>
        </w:rPr>
        <w:t xml:space="preserve">, de tal manera que no solo se tiene una idea de los medios presupuestarios con los que se dispone para el logro de objetivos, sino también de qué tan cerca se está de lograrlos. </w:t>
      </w:r>
    </w:p>
    <w:p w14:paraId="00000042" w14:textId="77777777" w:rsidR="00971081" w:rsidRPr="00F03883" w:rsidRDefault="00971081">
      <w:pPr>
        <w:spacing w:after="0" w:line="240" w:lineRule="auto"/>
        <w:jc w:val="both"/>
        <w:rPr>
          <w:rFonts w:ascii="Open Sans Light" w:eastAsia="Open Sans Light" w:hAnsi="Open Sans Light" w:cs="Open Sans Light"/>
          <w:b/>
          <w:i/>
          <w:color w:val="000000"/>
          <w:sz w:val="24"/>
          <w:szCs w:val="24"/>
        </w:rPr>
      </w:pPr>
    </w:p>
    <w:p w14:paraId="00000044" w14:textId="6B39EC49" w:rsidR="00971081" w:rsidRPr="00F03883" w:rsidRDefault="00C668A9">
      <w:pPr>
        <w:spacing w:after="0" w:line="240" w:lineRule="auto"/>
        <w:jc w:val="both"/>
        <w:rPr>
          <w:rFonts w:ascii="Open Sans Light" w:eastAsia="Open Sans Light" w:hAnsi="Open Sans Light" w:cs="Open Sans Light"/>
          <w:b/>
          <w:i/>
          <w:color w:val="000000"/>
          <w:sz w:val="24"/>
          <w:szCs w:val="24"/>
        </w:rPr>
      </w:pPr>
      <w:r>
        <w:rPr>
          <w:rFonts w:ascii="Open Sans Light" w:eastAsia="Open Sans Light" w:hAnsi="Open Sans Light" w:cs="Open Sans Light"/>
          <w:b/>
          <w:i/>
          <w:color w:val="000000"/>
          <w:sz w:val="24"/>
          <w:szCs w:val="24"/>
        </w:rPr>
        <w:t>Balance</w:t>
      </w:r>
      <w:r w:rsidRPr="00F03883">
        <w:rPr>
          <w:rFonts w:ascii="Open Sans Light" w:eastAsia="Open Sans Light" w:hAnsi="Open Sans Light" w:cs="Open Sans Light"/>
          <w:b/>
          <w:i/>
          <w:color w:val="000000"/>
          <w:sz w:val="24"/>
          <w:szCs w:val="24"/>
        </w:rPr>
        <w:t xml:space="preserve"> </w:t>
      </w:r>
      <w:r w:rsidR="009104B2" w:rsidRPr="00F03883">
        <w:rPr>
          <w:rFonts w:ascii="Open Sans Light" w:eastAsia="Open Sans Light" w:hAnsi="Open Sans Light" w:cs="Open Sans Light"/>
          <w:b/>
          <w:i/>
          <w:color w:val="000000"/>
          <w:sz w:val="24"/>
          <w:szCs w:val="24"/>
        </w:rPr>
        <w:t xml:space="preserve">de los mecanismos de </w:t>
      </w:r>
      <w:r w:rsidR="00484666" w:rsidRPr="00F03883">
        <w:rPr>
          <w:rFonts w:ascii="Open Sans Light" w:eastAsia="Open Sans Light" w:hAnsi="Open Sans Light" w:cs="Open Sans Light"/>
          <w:b/>
          <w:i/>
          <w:color w:val="000000"/>
          <w:sz w:val="24"/>
          <w:szCs w:val="24"/>
        </w:rPr>
        <w:t>implementación</w:t>
      </w:r>
    </w:p>
    <w:p w14:paraId="00000045" w14:textId="77777777" w:rsidR="00971081" w:rsidRPr="00F03883" w:rsidRDefault="00971081">
      <w:pPr>
        <w:spacing w:after="0" w:line="240" w:lineRule="auto"/>
        <w:jc w:val="both"/>
        <w:rPr>
          <w:rFonts w:ascii="Open Sans Light" w:eastAsia="Open Sans Light" w:hAnsi="Open Sans Light" w:cs="Open Sans Light"/>
          <w:color w:val="000000"/>
          <w:sz w:val="24"/>
          <w:szCs w:val="24"/>
        </w:rPr>
      </w:pPr>
    </w:p>
    <w:p w14:paraId="1CCD03A4" w14:textId="731E973F" w:rsidR="00484666" w:rsidRPr="00F03883" w:rsidRDefault="00484666">
      <w:pPr>
        <w:spacing w:after="0" w:line="240" w:lineRule="auto"/>
        <w:jc w:val="both"/>
        <w:rPr>
          <w:rFonts w:ascii="Open Sans Light" w:eastAsia="Open Sans Light" w:hAnsi="Open Sans Light" w:cs="Open Sans Light"/>
          <w:color w:val="000000"/>
          <w:sz w:val="24"/>
          <w:szCs w:val="24"/>
        </w:rPr>
      </w:pPr>
      <w:r w:rsidRPr="00F03883">
        <w:rPr>
          <w:rFonts w:ascii="Open Sans Light" w:eastAsia="Open Sans Light" w:hAnsi="Open Sans Light" w:cs="Open Sans Light"/>
          <w:color w:val="000000"/>
          <w:sz w:val="24"/>
          <w:szCs w:val="24"/>
        </w:rPr>
        <w:t xml:space="preserve">De acuerdo con el PNAIA 2012-2021 su implementación efectiva está condicionada a la implementación de mecanismos de articulación. </w:t>
      </w:r>
      <w:r w:rsidR="00C93226" w:rsidRPr="00F03883">
        <w:rPr>
          <w:rFonts w:ascii="Open Sans Light" w:eastAsia="Open Sans Light" w:hAnsi="Open Sans Light" w:cs="Open Sans Light"/>
          <w:color w:val="000000"/>
          <w:sz w:val="24"/>
          <w:szCs w:val="24"/>
        </w:rPr>
        <w:t xml:space="preserve">En ese sentido, en la presente subsección se analizarán los detalles técnicos de cómo se consiguió una aproximación a la evaluación de la implementación de la Comisión Multisectorial, y los Grupos de Trabajo de Gasto Público, Comunicaciones y el SIMONE. Vale mencionar </w:t>
      </w:r>
      <w:r w:rsidR="001E5180" w:rsidRPr="00F03883">
        <w:rPr>
          <w:rFonts w:ascii="Open Sans Light" w:eastAsia="Open Sans Light" w:hAnsi="Open Sans Light" w:cs="Open Sans Light"/>
          <w:color w:val="000000"/>
          <w:sz w:val="24"/>
          <w:szCs w:val="24"/>
        </w:rPr>
        <w:t>que,</w:t>
      </w:r>
      <w:r w:rsidR="00C93226" w:rsidRPr="00F03883">
        <w:rPr>
          <w:rFonts w:ascii="Open Sans Light" w:eastAsia="Open Sans Light" w:hAnsi="Open Sans Light" w:cs="Open Sans Light"/>
          <w:color w:val="000000"/>
          <w:sz w:val="24"/>
          <w:szCs w:val="24"/>
        </w:rPr>
        <w:t xml:space="preserve"> si bien se buscó cubrir todos estos espacios de articulación, la sección siguiente, llamada “Resultados”, </w:t>
      </w:r>
      <w:r w:rsidR="00607FDA">
        <w:rPr>
          <w:rFonts w:ascii="Open Sans Light" w:eastAsia="Open Sans Light" w:hAnsi="Open Sans Light" w:cs="Open Sans Light"/>
          <w:color w:val="000000"/>
          <w:sz w:val="24"/>
          <w:szCs w:val="24"/>
        </w:rPr>
        <w:t>abarca lo concerniente a</w:t>
      </w:r>
      <w:r w:rsidR="00C93226" w:rsidRPr="00F03883">
        <w:rPr>
          <w:rFonts w:ascii="Open Sans Light" w:eastAsia="Open Sans Light" w:hAnsi="Open Sans Light" w:cs="Open Sans Light"/>
          <w:color w:val="000000"/>
          <w:sz w:val="24"/>
          <w:szCs w:val="24"/>
        </w:rPr>
        <w:t xml:space="preserve"> la Comisión Multisectorial Permanente, </w:t>
      </w:r>
      <w:r w:rsidR="001E5180" w:rsidRPr="00F03883">
        <w:rPr>
          <w:rFonts w:ascii="Open Sans Light" w:eastAsia="Open Sans Light" w:hAnsi="Open Sans Light" w:cs="Open Sans Light"/>
          <w:color w:val="000000"/>
          <w:sz w:val="24"/>
          <w:szCs w:val="24"/>
        </w:rPr>
        <w:t>el Grupo de Trabajo SIMONE,</w:t>
      </w:r>
      <w:r w:rsidR="003760D2" w:rsidRPr="003760D2">
        <w:t xml:space="preserve"> </w:t>
      </w:r>
      <w:r w:rsidR="003760D2" w:rsidRPr="003760D2">
        <w:rPr>
          <w:rFonts w:ascii="Open Sans Light" w:eastAsia="Open Sans Light" w:hAnsi="Open Sans Light" w:cs="Open Sans Light"/>
          <w:color w:val="000000"/>
          <w:sz w:val="24"/>
          <w:szCs w:val="24"/>
        </w:rPr>
        <w:t>el Grupo de Seguimiento al Gasto Público en Niñas, Niños y Adolescentes (GPNNA), el Grupo de Trabajo Comunicadores</w:t>
      </w:r>
      <w:r w:rsidR="003760D2">
        <w:rPr>
          <w:rFonts w:ascii="Open Sans Light" w:eastAsia="Open Sans Light" w:hAnsi="Open Sans Light" w:cs="Open Sans Light"/>
          <w:color w:val="000000"/>
          <w:sz w:val="24"/>
          <w:szCs w:val="24"/>
        </w:rPr>
        <w:t>, y</w:t>
      </w:r>
      <w:r w:rsidR="001E5180" w:rsidRPr="00F03883">
        <w:rPr>
          <w:rFonts w:ascii="Open Sans Light" w:eastAsia="Open Sans Light" w:hAnsi="Open Sans Light" w:cs="Open Sans Light"/>
          <w:color w:val="000000"/>
          <w:sz w:val="24"/>
          <w:szCs w:val="24"/>
        </w:rPr>
        <w:t xml:space="preserve"> los Planes Regionales de Acción por la Infancia y Adolescencia</w:t>
      </w:r>
      <w:r w:rsidR="00615D6E">
        <w:rPr>
          <w:rFonts w:ascii="Open Sans Light" w:eastAsia="Open Sans Light" w:hAnsi="Open Sans Light" w:cs="Open Sans Light"/>
          <w:color w:val="000000"/>
          <w:sz w:val="24"/>
          <w:szCs w:val="24"/>
        </w:rPr>
        <w:t>,</w:t>
      </w:r>
      <w:r w:rsidR="00607FDA">
        <w:rPr>
          <w:rFonts w:ascii="Open Sans Light" w:eastAsia="Open Sans Light" w:hAnsi="Open Sans Light" w:cs="Open Sans Light"/>
          <w:color w:val="000000"/>
          <w:sz w:val="24"/>
          <w:szCs w:val="24"/>
        </w:rPr>
        <w:t xml:space="preserve"> en la medida de la</w:t>
      </w:r>
      <w:r w:rsidR="00615D6E">
        <w:rPr>
          <w:rFonts w:ascii="Open Sans Light" w:eastAsia="Open Sans Light" w:hAnsi="Open Sans Light" w:cs="Open Sans Light"/>
          <w:color w:val="000000"/>
          <w:sz w:val="24"/>
          <w:szCs w:val="24"/>
        </w:rPr>
        <w:t xml:space="preserve"> calidad de </w:t>
      </w:r>
      <w:r w:rsidR="00607FDA">
        <w:rPr>
          <w:rFonts w:ascii="Open Sans Light" w:eastAsia="Open Sans Light" w:hAnsi="Open Sans Light" w:cs="Open Sans Light"/>
          <w:color w:val="000000"/>
          <w:sz w:val="24"/>
          <w:szCs w:val="24"/>
        </w:rPr>
        <w:t>información disponible</w:t>
      </w:r>
      <w:r w:rsidR="00615D6E">
        <w:rPr>
          <w:rFonts w:ascii="Open Sans Light" w:eastAsia="Open Sans Light" w:hAnsi="Open Sans Light" w:cs="Open Sans Light"/>
          <w:color w:val="000000"/>
          <w:sz w:val="24"/>
          <w:szCs w:val="24"/>
        </w:rPr>
        <w:t xml:space="preserve"> sobre el tema</w:t>
      </w:r>
      <w:r w:rsidR="001E5180" w:rsidRPr="00F03883">
        <w:rPr>
          <w:rFonts w:ascii="Open Sans Light" w:eastAsia="Open Sans Light" w:hAnsi="Open Sans Light" w:cs="Open Sans Light"/>
          <w:color w:val="000000"/>
          <w:sz w:val="24"/>
          <w:szCs w:val="24"/>
        </w:rPr>
        <w:t xml:space="preserve">. </w:t>
      </w:r>
      <w:r w:rsidR="00C93226" w:rsidRPr="00F03883">
        <w:rPr>
          <w:rFonts w:ascii="Open Sans Light" w:eastAsia="Open Sans Light" w:hAnsi="Open Sans Light" w:cs="Open Sans Light"/>
          <w:color w:val="000000"/>
          <w:sz w:val="24"/>
          <w:szCs w:val="24"/>
        </w:rPr>
        <w:t>A continuación, se muestra</w:t>
      </w:r>
      <w:r w:rsidR="00607FDA">
        <w:rPr>
          <w:rFonts w:ascii="Open Sans Light" w:eastAsia="Open Sans Light" w:hAnsi="Open Sans Light" w:cs="Open Sans Light"/>
          <w:color w:val="000000"/>
          <w:sz w:val="24"/>
          <w:szCs w:val="24"/>
        </w:rPr>
        <w:t xml:space="preserve">n las preguntas </w:t>
      </w:r>
      <w:r w:rsidR="00C93226" w:rsidRPr="00F03883">
        <w:rPr>
          <w:rFonts w:ascii="Open Sans Light" w:eastAsia="Open Sans Light" w:hAnsi="Open Sans Light" w:cs="Open Sans Light"/>
          <w:color w:val="000000"/>
          <w:sz w:val="24"/>
          <w:szCs w:val="24"/>
        </w:rPr>
        <w:t xml:space="preserve">de las entrevistas semiestructuradas que se realizaron a actores clave, representantes de dichos mecanismos, así como </w:t>
      </w:r>
      <w:r w:rsidR="005E026B">
        <w:rPr>
          <w:rFonts w:ascii="Open Sans Light" w:eastAsia="Open Sans Light" w:hAnsi="Open Sans Light" w:cs="Open Sans Light"/>
          <w:color w:val="000000"/>
          <w:sz w:val="24"/>
          <w:szCs w:val="24"/>
        </w:rPr>
        <w:t xml:space="preserve">en </w:t>
      </w:r>
      <w:r w:rsidR="00C93226" w:rsidRPr="00F03883">
        <w:rPr>
          <w:rFonts w:ascii="Open Sans Light" w:eastAsia="Open Sans Light" w:hAnsi="Open Sans Light" w:cs="Open Sans Light"/>
          <w:color w:val="000000"/>
          <w:sz w:val="24"/>
          <w:szCs w:val="24"/>
        </w:rPr>
        <w:t>grupos focales</w:t>
      </w:r>
      <w:r w:rsidR="00607FDA">
        <w:rPr>
          <w:rFonts w:ascii="Open Sans Light" w:eastAsia="Open Sans Light" w:hAnsi="Open Sans Light" w:cs="Open Sans Light"/>
          <w:color w:val="000000"/>
          <w:sz w:val="24"/>
          <w:szCs w:val="24"/>
        </w:rPr>
        <w:t>:</w:t>
      </w:r>
    </w:p>
    <w:p w14:paraId="00000047" w14:textId="77777777" w:rsidR="00971081" w:rsidRPr="00F03883" w:rsidRDefault="00971081">
      <w:pPr>
        <w:spacing w:after="0" w:line="240" w:lineRule="auto"/>
        <w:jc w:val="both"/>
        <w:rPr>
          <w:rFonts w:ascii="Open Sans Light" w:eastAsia="Open Sans Light" w:hAnsi="Open Sans Light" w:cs="Open Sans Light"/>
          <w:color w:val="000000"/>
          <w:sz w:val="24"/>
          <w:szCs w:val="24"/>
        </w:rPr>
      </w:pPr>
    </w:p>
    <w:p w14:paraId="00000048" w14:textId="77777777" w:rsidR="00971081" w:rsidRPr="00F03883" w:rsidRDefault="009104B2">
      <w:pPr>
        <w:numPr>
          <w:ilvl w:val="0"/>
          <w:numId w:val="2"/>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F03883">
        <w:rPr>
          <w:rFonts w:ascii="Open Sans Light" w:eastAsia="Open Sans Light" w:hAnsi="Open Sans Light" w:cs="Open Sans Light"/>
          <w:i/>
          <w:color w:val="000000"/>
          <w:sz w:val="24"/>
          <w:szCs w:val="24"/>
        </w:rPr>
        <w:t xml:space="preserve">¿Qué medidas principales se impulsaron desde la Comisión Multisectorial? </w:t>
      </w:r>
    </w:p>
    <w:p w14:paraId="00000049" w14:textId="77777777" w:rsidR="00971081" w:rsidRPr="00F03883" w:rsidRDefault="009104B2">
      <w:pPr>
        <w:numPr>
          <w:ilvl w:val="0"/>
          <w:numId w:val="2"/>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F03883">
        <w:rPr>
          <w:rFonts w:ascii="Open Sans Light" w:eastAsia="Open Sans Light" w:hAnsi="Open Sans Light" w:cs="Open Sans Light"/>
          <w:i/>
          <w:color w:val="000000"/>
          <w:sz w:val="24"/>
          <w:szCs w:val="24"/>
        </w:rPr>
        <w:t>¿Qué lecciones aprendidas e inconvenientes se identificaron para el trabajo de la comisión que serán cruciales resolver para la implementación de la política?</w:t>
      </w:r>
    </w:p>
    <w:p w14:paraId="0000004A" w14:textId="77777777" w:rsidR="00971081" w:rsidRPr="00F03883" w:rsidRDefault="009104B2">
      <w:pPr>
        <w:numPr>
          <w:ilvl w:val="0"/>
          <w:numId w:val="2"/>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F03883">
        <w:rPr>
          <w:rFonts w:ascii="Open Sans Light" w:eastAsia="Open Sans Light" w:hAnsi="Open Sans Light" w:cs="Open Sans Light"/>
          <w:i/>
          <w:color w:val="000000"/>
          <w:sz w:val="24"/>
          <w:szCs w:val="24"/>
        </w:rPr>
        <w:t>¿Cuáles fueron los principales acuerdos firmados de las Subcomisiones y Grupos de Trabajo?</w:t>
      </w:r>
    </w:p>
    <w:p w14:paraId="0000004B" w14:textId="77777777" w:rsidR="00971081" w:rsidRPr="00F03883" w:rsidRDefault="009104B2">
      <w:pPr>
        <w:numPr>
          <w:ilvl w:val="0"/>
          <w:numId w:val="2"/>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F03883">
        <w:rPr>
          <w:rFonts w:ascii="Open Sans Light" w:eastAsia="Open Sans Light" w:hAnsi="Open Sans Light" w:cs="Open Sans Light"/>
          <w:i/>
          <w:color w:val="000000"/>
          <w:sz w:val="24"/>
          <w:szCs w:val="24"/>
        </w:rPr>
        <w:t xml:space="preserve">¿Cómo se efectuó el cumplimiento de dichos acuerdos y cuáles fueron los alcances respecto a lo inicialmente establecido? </w:t>
      </w:r>
    </w:p>
    <w:p w14:paraId="0000004C" w14:textId="733C6800" w:rsidR="00971081" w:rsidRPr="00F03883" w:rsidRDefault="009104B2">
      <w:pPr>
        <w:numPr>
          <w:ilvl w:val="0"/>
          <w:numId w:val="2"/>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F03883">
        <w:rPr>
          <w:rFonts w:ascii="Open Sans Light" w:eastAsia="Open Sans Light" w:hAnsi="Open Sans Light" w:cs="Open Sans Light"/>
          <w:i/>
          <w:color w:val="000000"/>
          <w:sz w:val="24"/>
          <w:szCs w:val="24"/>
        </w:rPr>
        <w:t xml:space="preserve">¿Cómo contribuyeron los acuerdos firmados y ejecutados al logro de resultados esperados del </w:t>
      </w:r>
      <w:r w:rsidR="00D979D4" w:rsidRPr="00F03883">
        <w:rPr>
          <w:rFonts w:ascii="Open Sans Light" w:eastAsia="Open Sans Light" w:hAnsi="Open Sans Light" w:cs="Open Sans Light"/>
          <w:i/>
          <w:color w:val="000000"/>
          <w:sz w:val="24"/>
          <w:szCs w:val="24"/>
        </w:rPr>
        <w:t>PNAIA 2012 – 202</w:t>
      </w:r>
      <w:r w:rsidR="0047192D" w:rsidRPr="00F03883">
        <w:rPr>
          <w:rFonts w:ascii="Open Sans Light" w:eastAsia="Open Sans Light" w:hAnsi="Open Sans Light" w:cs="Open Sans Light"/>
          <w:i/>
          <w:color w:val="000000"/>
          <w:sz w:val="24"/>
          <w:szCs w:val="24"/>
        </w:rPr>
        <w:t>1</w:t>
      </w:r>
      <w:r w:rsidRPr="00F03883">
        <w:rPr>
          <w:rFonts w:ascii="Open Sans Light" w:eastAsia="Open Sans Light" w:hAnsi="Open Sans Light" w:cs="Open Sans Light"/>
          <w:i/>
          <w:color w:val="000000"/>
          <w:sz w:val="24"/>
          <w:szCs w:val="24"/>
        </w:rPr>
        <w:t>?</w:t>
      </w:r>
    </w:p>
    <w:p w14:paraId="0000004D" w14:textId="77777777" w:rsidR="00971081" w:rsidRPr="00E82197" w:rsidRDefault="009104B2">
      <w:pPr>
        <w:numPr>
          <w:ilvl w:val="0"/>
          <w:numId w:val="2"/>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F03883">
        <w:rPr>
          <w:rFonts w:ascii="Open Sans Light" w:eastAsia="Open Sans Light" w:hAnsi="Open Sans Light" w:cs="Open Sans Light"/>
          <w:i/>
          <w:color w:val="000000"/>
          <w:sz w:val="24"/>
          <w:szCs w:val="24"/>
        </w:rPr>
        <w:lastRenderedPageBreak/>
        <w:t>¿Cuáles</w:t>
      </w:r>
      <w:r w:rsidRPr="00E82197">
        <w:rPr>
          <w:rFonts w:ascii="Open Sans Light" w:eastAsia="Open Sans Light" w:hAnsi="Open Sans Light" w:cs="Open Sans Light"/>
          <w:i/>
          <w:color w:val="000000"/>
          <w:sz w:val="24"/>
          <w:szCs w:val="24"/>
        </w:rPr>
        <w:t xml:space="preserve"> son las principales lecciones aprendidas, buenas prácticas y cuellos de botella encontrados en las Subcomisiones y Grupos de Trabajo?</w:t>
      </w:r>
    </w:p>
    <w:p w14:paraId="0000004E" w14:textId="18F2FD37" w:rsidR="00971081" w:rsidRPr="00E82197" w:rsidRDefault="009104B2">
      <w:pPr>
        <w:numPr>
          <w:ilvl w:val="0"/>
          <w:numId w:val="2"/>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E82197">
        <w:rPr>
          <w:rFonts w:ascii="Open Sans Light" w:eastAsia="Open Sans Light" w:hAnsi="Open Sans Light" w:cs="Open Sans Light"/>
          <w:i/>
          <w:color w:val="000000"/>
          <w:sz w:val="24"/>
          <w:szCs w:val="24"/>
        </w:rPr>
        <w:t xml:space="preserve">¿En qué medida el SIMONE garantizó el seguimiento oportuno y periódico de los indicadores e implementación del </w:t>
      </w:r>
      <w:r w:rsidR="00D979D4">
        <w:rPr>
          <w:rFonts w:ascii="Open Sans Light" w:eastAsia="Open Sans Light" w:hAnsi="Open Sans Light" w:cs="Open Sans Light"/>
          <w:i/>
          <w:color w:val="000000"/>
          <w:sz w:val="24"/>
          <w:szCs w:val="24"/>
        </w:rPr>
        <w:t xml:space="preserve">PNAIA 2012 – </w:t>
      </w:r>
      <w:r w:rsidR="0047192D">
        <w:rPr>
          <w:rFonts w:ascii="Open Sans Light" w:eastAsia="Open Sans Light" w:hAnsi="Open Sans Light" w:cs="Open Sans Light"/>
          <w:i/>
          <w:color w:val="000000"/>
          <w:sz w:val="24"/>
          <w:szCs w:val="24"/>
        </w:rPr>
        <w:t>2021</w:t>
      </w:r>
      <w:r w:rsidRPr="00E82197">
        <w:rPr>
          <w:rFonts w:ascii="Open Sans Light" w:eastAsia="Open Sans Light" w:hAnsi="Open Sans Light" w:cs="Open Sans Light"/>
          <w:i/>
          <w:color w:val="000000"/>
          <w:sz w:val="24"/>
          <w:szCs w:val="24"/>
        </w:rPr>
        <w:t xml:space="preserve">? </w:t>
      </w:r>
    </w:p>
    <w:p w14:paraId="0000004F" w14:textId="77777777" w:rsidR="00971081" w:rsidRPr="00E82197" w:rsidRDefault="00971081">
      <w:pPr>
        <w:spacing w:after="0" w:line="240" w:lineRule="auto"/>
        <w:jc w:val="both"/>
        <w:rPr>
          <w:rFonts w:ascii="Open Sans Light" w:eastAsia="Open Sans Light" w:hAnsi="Open Sans Light" w:cs="Open Sans Light"/>
          <w:color w:val="000000"/>
          <w:sz w:val="24"/>
          <w:szCs w:val="24"/>
        </w:rPr>
      </w:pPr>
    </w:p>
    <w:p w14:paraId="00000050" w14:textId="3DB1BCB2" w:rsidR="00971081" w:rsidRDefault="009104B2">
      <w:pPr>
        <w:spacing w:after="0" w:line="240" w:lineRule="auto"/>
        <w:jc w:val="both"/>
        <w:rPr>
          <w:rFonts w:ascii="Open Sans Light" w:eastAsia="Open Sans Light" w:hAnsi="Open Sans Light" w:cs="Open Sans Light"/>
          <w:color w:val="000000"/>
          <w:sz w:val="24"/>
          <w:szCs w:val="24"/>
        </w:rPr>
      </w:pPr>
      <w:r w:rsidRPr="00E82197">
        <w:rPr>
          <w:rFonts w:ascii="Open Sans Light" w:eastAsia="Open Sans Light" w:hAnsi="Open Sans Light" w:cs="Open Sans Light"/>
          <w:color w:val="000000"/>
          <w:sz w:val="24"/>
          <w:szCs w:val="24"/>
        </w:rPr>
        <w:t>Adicionalmente, con el propósito de evaluar el nivel de articulación territorial con los gobiernos subnacionales, se realizó un grupo focal con actores representantes de Gobiernos Regionales involucrados en el proceso de implementación de los Planes Regionales de Acción por la Infancia y Adolescencia (PRAIA). El objetivo fue conocer:</w:t>
      </w:r>
    </w:p>
    <w:p w14:paraId="66A0D413" w14:textId="77777777" w:rsidR="006A166B" w:rsidRPr="00E82197" w:rsidRDefault="006A166B">
      <w:pPr>
        <w:spacing w:after="0" w:line="240" w:lineRule="auto"/>
        <w:jc w:val="both"/>
        <w:rPr>
          <w:rFonts w:ascii="Open Sans Light" w:eastAsia="Open Sans Light" w:hAnsi="Open Sans Light" w:cs="Open Sans Light"/>
          <w:color w:val="000000"/>
          <w:sz w:val="24"/>
          <w:szCs w:val="24"/>
        </w:rPr>
      </w:pPr>
    </w:p>
    <w:p w14:paraId="00000051" w14:textId="77777777" w:rsidR="00971081" w:rsidRPr="00E82197" w:rsidRDefault="009104B2">
      <w:pPr>
        <w:numPr>
          <w:ilvl w:val="0"/>
          <w:numId w:val="3"/>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E82197">
        <w:rPr>
          <w:rFonts w:ascii="Open Sans Light" w:eastAsia="Open Sans Light" w:hAnsi="Open Sans Light" w:cs="Open Sans Light"/>
          <w:i/>
          <w:color w:val="000000"/>
          <w:sz w:val="24"/>
          <w:szCs w:val="24"/>
        </w:rPr>
        <w:t>¿Cómo se implementaron los PRAIA en los Gobiernos Regionales?</w:t>
      </w:r>
    </w:p>
    <w:p w14:paraId="00000052" w14:textId="77777777" w:rsidR="00971081" w:rsidRPr="00E82197" w:rsidRDefault="009104B2">
      <w:pPr>
        <w:numPr>
          <w:ilvl w:val="0"/>
          <w:numId w:val="3"/>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E82197">
        <w:rPr>
          <w:rFonts w:ascii="Open Sans Light" w:eastAsia="Open Sans Light" w:hAnsi="Open Sans Light" w:cs="Open Sans Light"/>
          <w:i/>
          <w:color w:val="000000"/>
          <w:sz w:val="24"/>
          <w:szCs w:val="24"/>
        </w:rPr>
        <w:t>¿Cuáles fueron los principales logros de la implementación de los PRAIA?</w:t>
      </w:r>
    </w:p>
    <w:p w14:paraId="00000053" w14:textId="56761853" w:rsidR="00971081" w:rsidRPr="00E82197" w:rsidRDefault="009104B2">
      <w:pPr>
        <w:numPr>
          <w:ilvl w:val="0"/>
          <w:numId w:val="3"/>
        </w:numPr>
        <w:pBdr>
          <w:top w:val="nil"/>
          <w:left w:val="nil"/>
          <w:bottom w:val="nil"/>
          <w:right w:val="nil"/>
          <w:between w:val="nil"/>
        </w:pBdr>
        <w:spacing w:after="0" w:line="240" w:lineRule="auto"/>
        <w:jc w:val="both"/>
        <w:rPr>
          <w:rFonts w:ascii="Open Sans Light" w:eastAsia="Open Sans Light" w:hAnsi="Open Sans Light" w:cs="Open Sans Light"/>
          <w:i/>
          <w:color w:val="000000"/>
          <w:sz w:val="24"/>
          <w:szCs w:val="24"/>
        </w:rPr>
      </w:pPr>
      <w:r w:rsidRPr="00E82197">
        <w:rPr>
          <w:rFonts w:ascii="Open Sans Light" w:eastAsia="Open Sans Light" w:hAnsi="Open Sans Light" w:cs="Open Sans Light"/>
          <w:i/>
          <w:color w:val="000000"/>
          <w:sz w:val="24"/>
          <w:szCs w:val="24"/>
        </w:rPr>
        <w:t xml:space="preserve">¿En qué medida se lograron satisfacer las necesidades de asistencia técnica desde la rectoría del Sector </w:t>
      </w:r>
      <w:r w:rsidR="00705E44" w:rsidRPr="00E82197">
        <w:rPr>
          <w:rFonts w:ascii="Open Sans Light" w:eastAsia="Open Sans Light" w:hAnsi="Open Sans Light" w:cs="Open Sans Light"/>
          <w:i/>
          <w:color w:val="000000"/>
          <w:sz w:val="24"/>
          <w:szCs w:val="24"/>
        </w:rPr>
        <w:t xml:space="preserve">(gobierno nacional) </w:t>
      </w:r>
      <w:r w:rsidRPr="00E82197">
        <w:rPr>
          <w:rFonts w:ascii="Open Sans Light" w:eastAsia="Open Sans Light" w:hAnsi="Open Sans Light" w:cs="Open Sans Light"/>
          <w:i/>
          <w:color w:val="000000"/>
          <w:sz w:val="24"/>
          <w:szCs w:val="24"/>
        </w:rPr>
        <w:t>hacia</w:t>
      </w:r>
      <w:r w:rsidR="00705E44" w:rsidRPr="00E82197">
        <w:rPr>
          <w:rFonts w:ascii="Open Sans Light" w:eastAsia="Open Sans Light" w:hAnsi="Open Sans Light" w:cs="Open Sans Light"/>
          <w:i/>
          <w:color w:val="000000"/>
          <w:sz w:val="24"/>
          <w:szCs w:val="24"/>
        </w:rPr>
        <w:t xml:space="preserve"> los gobiernos regionales y locales?</w:t>
      </w:r>
    </w:p>
    <w:p w14:paraId="00000058" w14:textId="285CDBFB" w:rsidR="00971081" w:rsidRPr="0064347E" w:rsidRDefault="009104B2" w:rsidP="00266C7E">
      <w:pPr>
        <w:pStyle w:val="Heading1"/>
        <w:numPr>
          <w:ilvl w:val="0"/>
          <w:numId w:val="24"/>
        </w:numPr>
        <w:spacing w:after="240"/>
        <w:ind w:left="360"/>
        <w:rPr>
          <w:color w:val="1F3864"/>
          <w:sz w:val="60"/>
          <w:szCs w:val="60"/>
        </w:rPr>
      </w:pPr>
      <w:r>
        <w:br w:type="page"/>
      </w:r>
      <w:bookmarkStart w:id="8" w:name="_Toc91781808"/>
      <w:r w:rsidRPr="0064347E">
        <w:rPr>
          <w:color w:val="1F3864"/>
          <w:sz w:val="60"/>
          <w:szCs w:val="60"/>
        </w:rPr>
        <w:lastRenderedPageBreak/>
        <w:t>Resultados</w:t>
      </w:r>
      <w:bookmarkEnd w:id="8"/>
    </w:p>
    <w:p w14:paraId="00000060" w14:textId="3CE8D92F" w:rsidR="00971081" w:rsidRDefault="009104B2" w:rsidP="004C4BFE">
      <w:pPr>
        <w:keepNext/>
        <w:keepLines/>
        <w:pBdr>
          <w:top w:val="nil"/>
          <w:left w:val="nil"/>
          <w:bottom w:val="nil"/>
          <w:right w:val="nil"/>
          <w:between w:val="nil"/>
        </w:pBdr>
        <w:spacing w:before="240" w:after="0"/>
        <w:ind w:left="360" w:hanging="360"/>
        <w:rPr>
          <w:color w:val="002060"/>
          <w:sz w:val="32"/>
          <w:szCs w:val="32"/>
        </w:rPr>
      </w:pPr>
      <w:r>
        <w:rPr>
          <w:color w:val="002060"/>
          <w:sz w:val="32"/>
          <w:szCs w:val="32"/>
        </w:rPr>
        <w:t xml:space="preserve">Eficacia del </w:t>
      </w:r>
      <w:r w:rsidR="00D979D4">
        <w:rPr>
          <w:color w:val="002060"/>
          <w:sz w:val="32"/>
          <w:szCs w:val="32"/>
        </w:rPr>
        <w:t>PNAIA 2012 – 2021</w:t>
      </w:r>
      <w:r w:rsidR="00634741">
        <w:rPr>
          <w:color w:val="002060"/>
          <w:sz w:val="32"/>
          <w:szCs w:val="32"/>
        </w:rPr>
        <w:t xml:space="preserve"> </w:t>
      </w:r>
      <w:r>
        <w:rPr>
          <w:color w:val="002060"/>
          <w:sz w:val="32"/>
          <w:szCs w:val="32"/>
        </w:rPr>
        <w:t>sobre los resultados</w:t>
      </w:r>
    </w:p>
    <w:p w14:paraId="00000061" w14:textId="77777777" w:rsidR="00971081" w:rsidRDefault="00971081">
      <w:pPr>
        <w:spacing w:after="0" w:line="240" w:lineRule="auto"/>
        <w:ind w:left="851"/>
        <w:jc w:val="both"/>
        <w:rPr>
          <w:rFonts w:ascii="Open Sans Light" w:eastAsia="Open Sans Light" w:hAnsi="Open Sans Light" w:cs="Open Sans Light"/>
          <w:color w:val="000000"/>
          <w:sz w:val="24"/>
          <w:szCs w:val="24"/>
        </w:rPr>
      </w:pPr>
    </w:p>
    <w:p w14:paraId="301A6C2E" w14:textId="1257843D" w:rsidR="00351B85" w:rsidRDefault="000B13BD" w:rsidP="000B13BD">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Cada resultado esperado del </w:t>
      </w:r>
      <w:r w:rsidR="00D979D4">
        <w:rPr>
          <w:rFonts w:ascii="Open Sans Light" w:eastAsia="Open Sans Light" w:hAnsi="Open Sans Light" w:cs="Open Sans Light"/>
          <w:color w:val="000000"/>
          <w:sz w:val="24"/>
          <w:szCs w:val="24"/>
        </w:rPr>
        <w:t>PNAIA 2012 – 2021</w:t>
      </w:r>
      <w:r w:rsidR="0047192D">
        <w:rPr>
          <w:rFonts w:ascii="Open Sans Light" w:eastAsia="Open Sans Light" w:hAnsi="Open Sans Light" w:cs="Open Sans Light"/>
          <w:color w:val="000000"/>
          <w:sz w:val="24"/>
          <w:szCs w:val="24"/>
        </w:rPr>
        <w:t xml:space="preserve"> </w:t>
      </w:r>
      <w:r>
        <w:rPr>
          <w:rFonts w:ascii="Open Sans Light" w:eastAsia="Open Sans Light" w:hAnsi="Open Sans Light" w:cs="Open Sans Light"/>
          <w:color w:val="000000"/>
          <w:sz w:val="24"/>
          <w:szCs w:val="24"/>
        </w:rPr>
        <w:t>cuenta con metas e indicadores</w:t>
      </w:r>
      <w:r w:rsidR="00A2367B">
        <w:rPr>
          <w:rFonts w:ascii="Open Sans Light" w:eastAsia="Open Sans Light" w:hAnsi="Open Sans Light" w:cs="Open Sans Light"/>
          <w:color w:val="000000"/>
          <w:sz w:val="24"/>
          <w:szCs w:val="24"/>
        </w:rPr>
        <w:t xml:space="preserve"> para el seguimiento de su ejecución anual</w:t>
      </w:r>
      <w:r>
        <w:rPr>
          <w:rFonts w:ascii="Open Sans Light" w:eastAsia="Open Sans Light" w:hAnsi="Open Sans Light" w:cs="Open Sans Light"/>
          <w:color w:val="000000"/>
          <w:sz w:val="24"/>
          <w:szCs w:val="24"/>
        </w:rPr>
        <w:t xml:space="preserve">. </w:t>
      </w:r>
      <w:r w:rsidR="00642F4B">
        <w:rPr>
          <w:rFonts w:ascii="Open Sans Light" w:eastAsia="Open Sans Light" w:hAnsi="Open Sans Light" w:cs="Open Sans Light"/>
          <w:color w:val="000000"/>
          <w:sz w:val="24"/>
          <w:szCs w:val="24"/>
        </w:rPr>
        <w:t>Respecto a</w:t>
      </w:r>
      <w:r>
        <w:rPr>
          <w:rFonts w:ascii="Open Sans Light" w:eastAsia="Open Sans Light" w:hAnsi="Open Sans Light" w:cs="Open Sans Light"/>
          <w:color w:val="000000"/>
          <w:sz w:val="24"/>
          <w:szCs w:val="24"/>
        </w:rPr>
        <w:t xml:space="preserve"> las metas</w:t>
      </w:r>
      <w:r w:rsidR="00642F4B">
        <w:rPr>
          <w:rFonts w:ascii="Open Sans Light" w:eastAsia="Open Sans Light" w:hAnsi="Open Sans Light" w:cs="Open Sans Light"/>
          <w:color w:val="000000"/>
          <w:sz w:val="24"/>
          <w:szCs w:val="24"/>
        </w:rPr>
        <w:t xml:space="preserve">, </w:t>
      </w:r>
      <w:r w:rsidR="005060EB">
        <w:rPr>
          <w:rFonts w:ascii="Open Sans Light" w:eastAsia="Open Sans Light" w:hAnsi="Open Sans Light" w:cs="Open Sans Light"/>
          <w:color w:val="000000"/>
          <w:sz w:val="24"/>
          <w:szCs w:val="24"/>
        </w:rPr>
        <w:t>é</w:t>
      </w:r>
      <w:r w:rsidR="00642F4B">
        <w:rPr>
          <w:rFonts w:ascii="Open Sans Light" w:eastAsia="Open Sans Light" w:hAnsi="Open Sans Light" w:cs="Open Sans Light"/>
          <w:color w:val="000000"/>
          <w:sz w:val="24"/>
          <w:szCs w:val="24"/>
        </w:rPr>
        <w:t>stas</w:t>
      </w:r>
      <w:r>
        <w:rPr>
          <w:rFonts w:ascii="Open Sans Light" w:eastAsia="Open Sans Light" w:hAnsi="Open Sans Light" w:cs="Open Sans Light"/>
          <w:color w:val="000000"/>
          <w:sz w:val="24"/>
          <w:szCs w:val="24"/>
        </w:rPr>
        <w:t xml:space="preserve"> s</w:t>
      </w:r>
      <w:r w:rsidR="00642F4B">
        <w:rPr>
          <w:rFonts w:ascii="Open Sans Light" w:eastAsia="Open Sans Light" w:hAnsi="Open Sans Light" w:cs="Open Sans Light"/>
          <w:color w:val="000000"/>
          <w:sz w:val="24"/>
          <w:szCs w:val="24"/>
        </w:rPr>
        <w:t>e han</w:t>
      </w:r>
      <w:r>
        <w:rPr>
          <w:rFonts w:ascii="Open Sans Light" w:eastAsia="Open Sans Light" w:hAnsi="Open Sans Light" w:cs="Open Sans Light"/>
          <w:color w:val="000000"/>
          <w:sz w:val="24"/>
          <w:szCs w:val="24"/>
        </w:rPr>
        <w:t xml:space="preserve"> </w:t>
      </w:r>
      <w:r w:rsidR="005060EB">
        <w:rPr>
          <w:rFonts w:ascii="Open Sans Light" w:eastAsia="Open Sans Light" w:hAnsi="Open Sans Light" w:cs="Open Sans Light"/>
          <w:color w:val="000000"/>
          <w:sz w:val="24"/>
          <w:szCs w:val="24"/>
        </w:rPr>
        <w:t>clasificado</w:t>
      </w:r>
      <w:r>
        <w:rPr>
          <w:rFonts w:ascii="Open Sans Light" w:eastAsia="Open Sans Light" w:hAnsi="Open Sans Light" w:cs="Open Sans Light"/>
          <w:color w:val="000000"/>
          <w:sz w:val="24"/>
          <w:szCs w:val="24"/>
        </w:rPr>
        <w:t xml:space="preserve"> en cuantificables cuando existe un valor </w:t>
      </w:r>
      <w:r w:rsidR="00292F05">
        <w:rPr>
          <w:rFonts w:ascii="Open Sans Light" w:eastAsia="Open Sans Light" w:hAnsi="Open Sans Light" w:cs="Open Sans Light"/>
          <w:color w:val="000000"/>
          <w:sz w:val="24"/>
          <w:szCs w:val="24"/>
        </w:rPr>
        <w:t>establecido</w:t>
      </w:r>
      <w:r>
        <w:rPr>
          <w:rFonts w:ascii="Open Sans Light" w:eastAsia="Open Sans Light" w:hAnsi="Open Sans Light" w:cs="Open Sans Light"/>
          <w:color w:val="000000"/>
          <w:sz w:val="24"/>
          <w:szCs w:val="24"/>
        </w:rPr>
        <w:t xml:space="preserve">; y </w:t>
      </w:r>
      <w:r w:rsidR="005060EB">
        <w:rPr>
          <w:rFonts w:ascii="Open Sans Light" w:eastAsia="Open Sans Light" w:hAnsi="Open Sans Light" w:cs="Open Sans Light"/>
          <w:color w:val="000000"/>
          <w:sz w:val="24"/>
          <w:szCs w:val="24"/>
        </w:rPr>
        <w:t xml:space="preserve">en </w:t>
      </w:r>
      <w:r>
        <w:rPr>
          <w:rFonts w:ascii="Open Sans Light" w:eastAsia="Open Sans Light" w:hAnsi="Open Sans Light" w:cs="Open Sans Light"/>
          <w:color w:val="000000"/>
          <w:sz w:val="24"/>
          <w:szCs w:val="24"/>
        </w:rPr>
        <w:t xml:space="preserve">no cuantificables en los casos donde solo se indica el sentido </w:t>
      </w:r>
      <w:r w:rsidR="00D51D32">
        <w:rPr>
          <w:rFonts w:ascii="Open Sans Light" w:eastAsia="Open Sans Light" w:hAnsi="Open Sans Light" w:cs="Open Sans Light"/>
          <w:color w:val="000000"/>
          <w:sz w:val="24"/>
          <w:szCs w:val="24"/>
        </w:rPr>
        <w:t>esperado (ascendente o descendente)</w:t>
      </w:r>
      <w:r>
        <w:rPr>
          <w:rFonts w:ascii="Open Sans Light" w:eastAsia="Open Sans Light" w:hAnsi="Open Sans Light" w:cs="Open Sans Light"/>
          <w:color w:val="000000"/>
          <w:sz w:val="24"/>
          <w:szCs w:val="24"/>
        </w:rPr>
        <w:t xml:space="preserve"> </w:t>
      </w:r>
      <w:r w:rsidR="00292F05">
        <w:rPr>
          <w:rFonts w:ascii="Open Sans Light" w:eastAsia="Open Sans Light" w:hAnsi="Open Sans Light" w:cs="Open Sans Light"/>
          <w:color w:val="000000"/>
          <w:sz w:val="24"/>
          <w:szCs w:val="24"/>
        </w:rPr>
        <w:t>que debería seguir el</w:t>
      </w:r>
      <w:r>
        <w:rPr>
          <w:rFonts w:ascii="Open Sans Light" w:eastAsia="Open Sans Light" w:hAnsi="Open Sans Light" w:cs="Open Sans Light"/>
          <w:color w:val="000000"/>
          <w:sz w:val="24"/>
          <w:szCs w:val="24"/>
        </w:rPr>
        <w:t xml:space="preserve"> indicador (por ejemplo, </w:t>
      </w:r>
      <w:r w:rsidRPr="00E07CE7">
        <w:rPr>
          <w:rFonts w:ascii="Open Sans Light" w:eastAsia="Open Sans Light" w:hAnsi="Open Sans Light" w:cs="Open Sans Light"/>
          <w:i/>
          <w:iCs/>
          <w:color w:val="000000"/>
          <w:sz w:val="24"/>
          <w:szCs w:val="24"/>
        </w:rPr>
        <w:t>“reducir la desnutrición crónica”</w:t>
      </w:r>
      <w:r>
        <w:rPr>
          <w:rFonts w:ascii="Open Sans Light" w:eastAsia="Open Sans Light" w:hAnsi="Open Sans Light" w:cs="Open Sans Light"/>
          <w:color w:val="000000"/>
          <w:sz w:val="24"/>
          <w:szCs w:val="24"/>
        </w:rPr>
        <w:t xml:space="preserve">). </w:t>
      </w:r>
      <w:r w:rsidR="005060EB">
        <w:rPr>
          <w:rFonts w:ascii="Open Sans Light" w:eastAsia="Open Sans Light" w:hAnsi="Open Sans Light" w:cs="Open Sans Light"/>
          <w:color w:val="000000"/>
          <w:sz w:val="24"/>
          <w:szCs w:val="24"/>
        </w:rPr>
        <w:t>De esta manera</w:t>
      </w:r>
      <w:r>
        <w:rPr>
          <w:rFonts w:ascii="Open Sans Light" w:eastAsia="Open Sans Light" w:hAnsi="Open Sans Light" w:cs="Open Sans Light"/>
          <w:color w:val="000000"/>
          <w:sz w:val="24"/>
          <w:szCs w:val="24"/>
        </w:rPr>
        <w:t xml:space="preserve"> se identificó que</w:t>
      </w:r>
      <w:r w:rsidR="00351B85">
        <w:rPr>
          <w:rFonts w:ascii="Open Sans Light" w:eastAsia="Open Sans Light" w:hAnsi="Open Sans Light" w:cs="Open Sans Light"/>
          <w:color w:val="000000"/>
          <w:sz w:val="24"/>
          <w:szCs w:val="24"/>
        </w:rPr>
        <w:t xml:space="preserve"> de las 27 metas; 18 son del primer tipo (67% de casos) y 9 son del segundo tipo (33% de casos). </w:t>
      </w:r>
      <w:r w:rsidR="00DE4F64">
        <w:rPr>
          <w:rFonts w:ascii="Open Sans Light" w:eastAsia="Open Sans Light" w:hAnsi="Open Sans Light" w:cs="Open Sans Light"/>
          <w:color w:val="000000"/>
          <w:sz w:val="24"/>
          <w:szCs w:val="24"/>
        </w:rPr>
        <w:t xml:space="preserve"> </w:t>
      </w:r>
    </w:p>
    <w:p w14:paraId="584B20C7" w14:textId="4A12AA4C" w:rsidR="007639FE" w:rsidRDefault="007639FE" w:rsidP="000B13BD">
      <w:pPr>
        <w:spacing w:after="0" w:line="240" w:lineRule="auto"/>
        <w:jc w:val="both"/>
        <w:rPr>
          <w:rFonts w:ascii="Open Sans Light" w:eastAsia="Open Sans Light" w:hAnsi="Open Sans Light" w:cs="Open Sans Light"/>
          <w:color w:val="000000"/>
          <w:sz w:val="24"/>
          <w:szCs w:val="24"/>
        </w:rPr>
      </w:pPr>
    </w:p>
    <w:p w14:paraId="63F7D359" w14:textId="02666DB6" w:rsidR="007C7657" w:rsidRDefault="00E31CE2" w:rsidP="000B13BD">
      <w:pPr>
        <w:spacing w:after="0" w:line="240" w:lineRule="auto"/>
        <w:jc w:val="both"/>
        <w:rPr>
          <w:rFonts w:ascii="Open Sans Light" w:eastAsia="Open Sans Light" w:hAnsi="Open Sans Light" w:cs="Open Sans Light"/>
          <w:color w:val="000000"/>
          <w:sz w:val="24"/>
          <w:szCs w:val="24"/>
        </w:rPr>
      </w:pPr>
      <w:r w:rsidRPr="005F4A63">
        <w:rPr>
          <w:rFonts w:ascii="Open Sans Light" w:eastAsia="Open Sans Light" w:hAnsi="Open Sans Light" w:cs="Open Sans Light"/>
          <w:color w:val="000000"/>
          <w:sz w:val="24"/>
          <w:szCs w:val="24"/>
        </w:rPr>
        <w:t xml:space="preserve">En cuanto a la calidad de información con la que cuentan los indicadores se tiene que de los 30 disponibles; 10 cuentan con información óptima, 11 cuentan con información regular y, finalmente, los 9 restantes cuentan con información </w:t>
      </w:r>
      <w:r w:rsidR="008C757A" w:rsidRPr="005F4A63">
        <w:rPr>
          <w:rFonts w:ascii="Open Sans Light" w:eastAsia="Open Sans Light" w:hAnsi="Open Sans Light" w:cs="Open Sans Light"/>
          <w:color w:val="000000"/>
          <w:sz w:val="24"/>
          <w:szCs w:val="24"/>
        </w:rPr>
        <w:t>deficiente.</w:t>
      </w:r>
      <w:r w:rsidR="000D7812" w:rsidRPr="005F4A63">
        <w:rPr>
          <w:rFonts w:ascii="Open Sans Light" w:eastAsia="Open Sans Light" w:hAnsi="Open Sans Light" w:cs="Open Sans Light"/>
          <w:color w:val="000000"/>
          <w:sz w:val="24"/>
          <w:szCs w:val="24"/>
        </w:rPr>
        <w:t xml:space="preserve"> La Tabla 1,</w:t>
      </w:r>
      <w:r w:rsidR="000D7812" w:rsidRPr="005F4A63">
        <w:t xml:space="preserve"> </w:t>
      </w:r>
      <w:r w:rsidR="005F4A63">
        <w:t>“</w:t>
      </w:r>
      <w:r w:rsidR="000D7812" w:rsidRPr="005F4A63">
        <w:rPr>
          <w:rFonts w:ascii="Open Sans Light" w:eastAsia="Open Sans Light" w:hAnsi="Open Sans Light" w:cs="Open Sans Light"/>
          <w:color w:val="000000"/>
          <w:sz w:val="24"/>
          <w:szCs w:val="24"/>
        </w:rPr>
        <w:t>Estado de indicadores y metas del PNAIA 2012 – 2021</w:t>
      </w:r>
      <w:r w:rsidR="005F4A63">
        <w:rPr>
          <w:rFonts w:ascii="Open Sans Light" w:eastAsia="Open Sans Light" w:hAnsi="Open Sans Light" w:cs="Open Sans Light"/>
          <w:color w:val="000000"/>
          <w:sz w:val="24"/>
          <w:szCs w:val="24"/>
        </w:rPr>
        <w:t>”</w:t>
      </w:r>
      <w:r w:rsidR="000D7812" w:rsidRPr="005F4A63">
        <w:rPr>
          <w:rFonts w:ascii="Open Sans Light" w:eastAsia="Open Sans Light" w:hAnsi="Open Sans Light" w:cs="Open Sans Light"/>
          <w:color w:val="000000"/>
          <w:sz w:val="24"/>
          <w:szCs w:val="24"/>
        </w:rPr>
        <w:t xml:space="preserve">, muestra a estos 30 indicadores agrupados </w:t>
      </w:r>
      <w:r w:rsidR="00091A7B" w:rsidRPr="005F4A63">
        <w:rPr>
          <w:rFonts w:ascii="Open Sans Light" w:eastAsia="Open Sans Light" w:hAnsi="Open Sans Light" w:cs="Open Sans Light"/>
          <w:color w:val="000000"/>
          <w:sz w:val="24"/>
          <w:szCs w:val="24"/>
        </w:rPr>
        <w:t>de acuerdo con el</w:t>
      </w:r>
      <w:r w:rsidR="000D7812" w:rsidRPr="005F4A63">
        <w:rPr>
          <w:rFonts w:ascii="Open Sans Light" w:eastAsia="Open Sans Light" w:hAnsi="Open Sans Light" w:cs="Open Sans Light"/>
          <w:color w:val="000000"/>
          <w:sz w:val="24"/>
          <w:szCs w:val="24"/>
        </w:rPr>
        <w:t xml:space="preserve"> Resultado Esperado para el cual se consideran útiles, clasificados a su vez en 4 Objetivos Estratégicos.</w:t>
      </w:r>
      <w:r w:rsidR="008C757A" w:rsidRPr="005F4A63">
        <w:rPr>
          <w:rFonts w:ascii="Open Sans Light" w:eastAsia="Open Sans Light" w:hAnsi="Open Sans Light" w:cs="Open Sans Light"/>
          <w:color w:val="000000"/>
          <w:sz w:val="24"/>
          <w:szCs w:val="24"/>
        </w:rPr>
        <w:t xml:space="preserve"> En las siguientes viñetas se ofrece mayor detalle sobre la clasificación realizada a los indicadores en torno a la calidad de información con la que cuentan:</w:t>
      </w:r>
    </w:p>
    <w:p w14:paraId="34522E82" w14:textId="77777777" w:rsidR="006A166B" w:rsidRDefault="006A166B" w:rsidP="000B13BD">
      <w:pPr>
        <w:spacing w:after="0" w:line="240" w:lineRule="auto"/>
        <w:jc w:val="both"/>
        <w:rPr>
          <w:rFonts w:ascii="Open Sans Light" w:eastAsia="Open Sans Light" w:hAnsi="Open Sans Light" w:cs="Open Sans Light"/>
          <w:color w:val="000000"/>
          <w:sz w:val="24"/>
          <w:szCs w:val="24"/>
        </w:rPr>
      </w:pPr>
    </w:p>
    <w:p w14:paraId="61EDB795" w14:textId="3DB4D177" w:rsidR="003747E1" w:rsidRDefault="00BC1BB0" w:rsidP="003747E1">
      <w:pPr>
        <w:pStyle w:val="ListParagraph"/>
        <w:numPr>
          <w:ilvl w:val="0"/>
          <w:numId w:val="14"/>
        </w:numPr>
        <w:spacing w:after="0" w:line="240" w:lineRule="auto"/>
        <w:jc w:val="both"/>
        <w:rPr>
          <w:rFonts w:ascii="Open Sans Light" w:eastAsia="Open Sans Light" w:hAnsi="Open Sans Light" w:cs="Open Sans Light"/>
          <w:color w:val="000000"/>
          <w:sz w:val="24"/>
          <w:szCs w:val="24"/>
        </w:rPr>
      </w:pPr>
      <w:r w:rsidRPr="007B1A0B">
        <w:rPr>
          <w:rFonts w:ascii="Open Sans Light" w:eastAsia="Open Sans Light" w:hAnsi="Open Sans Light" w:cs="Open Sans Light"/>
          <w:b/>
          <w:bCs/>
          <w:color w:val="000000"/>
          <w:sz w:val="24"/>
          <w:szCs w:val="24"/>
        </w:rPr>
        <w:t>Ó</w:t>
      </w:r>
      <w:r w:rsidR="00B5161B" w:rsidRPr="007B1A0B">
        <w:rPr>
          <w:rFonts w:ascii="Open Sans Light" w:eastAsia="Open Sans Light" w:hAnsi="Open Sans Light" w:cs="Open Sans Light"/>
          <w:b/>
          <w:bCs/>
          <w:color w:val="000000"/>
          <w:sz w:val="24"/>
          <w:szCs w:val="24"/>
        </w:rPr>
        <w:t>ptima</w:t>
      </w:r>
      <w:r w:rsidR="003747E1" w:rsidRPr="007B1A0B">
        <w:rPr>
          <w:rFonts w:ascii="Open Sans Light" w:eastAsia="Open Sans Light" w:hAnsi="Open Sans Light" w:cs="Open Sans Light"/>
          <w:b/>
          <w:bCs/>
          <w:color w:val="000000"/>
          <w:sz w:val="24"/>
          <w:szCs w:val="24"/>
        </w:rPr>
        <w:t>:</w:t>
      </w:r>
      <w:r w:rsidR="003747E1" w:rsidRPr="003747E1">
        <w:rPr>
          <w:rFonts w:ascii="Open Sans Light" w:eastAsia="Open Sans Light" w:hAnsi="Open Sans Light" w:cs="Open Sans Light"/>
          <w:color w:val="000000"/>
          <w:sz w:val="24"/>
          <w:szCs w:val="24"/>
        </w:rPr>
        <w:t xml:space="preserve"> </w:t>
      </w:r>
      <w:r w:rsidR="008218AA">
        <w:rPr>
          <w:rFonts w:ascii="Open Sans Light" w:eastAsia="Open Sans Light" w:hAnsi="Open Sans Light" w:cs="Open Sans Light"/>
          <w:color w:val="000000"/>
          <w:sz w:val="24"/>
          <w:szCs w:val="24"/>
        </w:rPr>
        <w:t>Existe datos históricos anuales de todo el periodo</w:t>
      </w:r>
      <w:r w:rsidR="008218AA" w:rsidRPr="008218AA">
        <w:rPr>
          <w:rFonts w:ascii="Open Sans Light" w:eastAsia="Open Sans Light" w:hAnsi="Open Sans Light" w:cs="Open Sans Light"/>
          <w:color w:val="000000"/>
          <w:sz w:val="24"/>
          <w:szCs w:val="24"/>
        </w:rPr>
        <w:t xml:space="preserve"> </w:t>
      </w:r>
      <w:r w:rsidR="008218AA">
        <w:rPr>
          <w:rFonts w:ascii="Open Sans Light" w:eastAsia="Open Sans Light" w:hAnsi="Open Sans Light" w:cs="Open Sans Light"/>
          <w:color w:val="000000"/>
          <w:sz w:val="24"/>
          <w:szCs w:val="24"/>
        </w:rPr>
        <w:t>analizado (2012 – 2020)</w:t>
      </w:r>
      <w:r w:rsidR="0053409E">
        <w:rPr>
          <w:rFonts w:ascii="Open Sans Light" w:eastAsia="Open Sans Light" w:hAnsi="Open Sans Light" w:cs="Open Sans Light"/>
          <w:color w:val="000000"/>
          <w:sz w:val="24"/>
          <w:szCs w:val="24"/>
        </w:rPr>
        <w:t xml:space="preserve"> y la información está desagregada</w:t>
      </w:r>
      <w:r w:rsidR="00395079">
        <w:rPr>
          <w:rFonts w:ascii="Open Sans Light" w:eastAsia="Open Sans Light" w:hAnsi="Open Sans Light" w:cs="Open Sans Light"/>
          <w:color w:val="000000"/>
          <w:sz w:val="24"/>
          <w:szCs w:val="24"/>
        </w:rPr>
        <w:t xml:space="preserve"> por variables de interés</w:t>
      </w:r>
      <w:r w:rsidR="00D72EEB">
        <w:rPr>
          <w:rFonts w:ascii="Open Sans Light" w:eastAsia="Open Sans Light" w:hAnsi="Open Sans Light" w:cs="Open Sans Light"/>
          <w:color w:val="000000"/>
          <w:sz w:val="24"/>
          <w:szCs w:val="24"/>
        </w:rPr>
        <w:t xml:space="preserve"> </w:t>
      </w:r>
      <w:r w:rsidR="003F6705">
        <w:rPr>
          <w:rFonts w:ascii="Open Sans Light" w:eastAsia="Open Sans Light" w:hAnsi="Open Sans Light" w:cs="Open Sans Light"/>
          <w:color w:val="000000"/>
          <w:sz w:val="24"/>
          <w:szCs w:val="24"/>
        </w:rPr>
        <w:t>(</w:t>
      </w:r>
      <w:r w:rsidR="00D72EEB">
        <w:rPr>
          <w:rFonts w:ascii="Open Sans Light" w:eastAsia="Open Sans Light" w:hAnsi="Open Sans Light" w:cs="Open Sans Light"/>
          <w:color w:val="000000"/>
          <w:sz w:val="24"/>
          <w:szCs w:val="24"/>
        </w:rPr>
        <w:t xml:space="preserve">sexo, región, grupos </w:t>
      </w:r>
      <w:r w:rsidR="003F6705">
        <w:rPr>
          <w:rFonts w:ascii="Open Sans Light" w:eastAsia="Open Sans Light" w:hAnsi="Open Sans Light" w:cs="Open Sans Light"/>
          <w:color w:val="000000"/>
          <w:sz w:val="24"/>
          <w:szCs w:val="24"/>
        </w:rPr>
        <w:t xml:space="preserve">etarios, </w:t>
      </w:r>
      <w:r w:rsidR="00E82197">
        <w:rPr>
          <w:rFonts w:ascii="Open Sans Light" w:eastAsia="Open Sans Light" w:hAnsi="Open Sans Light" w:cs="Open Sans Light"/>
          <w:color w:val="000000"/>
          <w:sz w:val="24"/>
          <w:szCs w:val="24"/>
        </w:rPr>
        <w:t>etc.</w:t>
      </w:r>
      <w:r w:rsidR="003F6705">
        <w:rPr>
          <w:rFonts w:ascii="Open Sans Light" w:eastAsia="Open Sans Light" w:hAnsi="Open Sans Light" w:cs="Open Sans Light"/>
          <w:color w:val="000000"/>
          <w:sz w:val="24"/>
          <w:szCs w:val="24"/>
        </w:rPr>
        <w:t>)</w:t>
      </w:r>
      <w:r w:rsidR="008218AA">
        <w:rPr>
          <w:rFonts w:ascii="Open Sans Light" w:eastAsia="Open Sans Light" w:hAnsi="Open Sans Light" w:cs="Open Sans Light"/>
          <w:color w:val="000000"/>
          <w:sz w:val="24"/>
          <w:szCs w:val="24"/>
        </w:rPr>
        <w:t>.</w:t>
      </w:r>
    </w:p>
    <w:p w14:paraId="563622C8" w14:textId="545A5347" w:rsidR="00BC1BB0" w:rsidRPr="003747E1" w:rsidRDefault="00BC1BB0" w:rsidP="00BC1BB0">
      <w:pPr>
        <w:pStyle w:val="ListParagraph"/>
        <w:numPr>
          <w:ilvl w:val="0"/>
          <w:numId w:val="14"/>
        </w:numPr>
        <w:spacing w:after="0" w:line="240" w:lineRule="auto"/>
        <w:jc w:val="both"/>
        <w:rPr>
          <w:rFonts w:ascii="Open Sans Light" w:eastAsia="Open Sans Light" w:hAnsi="Open Sans Light" w:cs="Open Sans Light"/>
          <w:color w:val="000000"/>
          <w:sz w:val="24"/>
          <w:szCs w:val="24"/>
        </w:rPr>
      </w:pPr>
      <w:r w:rsidRPr="007B1A0B">
        <w:rPr>
          <w:rFonts w:ascii="Open Sans Light" w:eastAsia="Open Sans Light" w:hAnsi="Open Sans Light" w:cs="Open Sans Light"/>
          <w:b/>
          <w:bCs/>
          <w:color w:val="000000"/>
          <w:sz w:val="24"/>
          <w:szCs w:val="24"/>
        </w:rPr>
        <w:t>Regular:</w:t>
      </w:r>
      <w:r w:rsidRPr="003747E1">
        <w:rPr>
          <w:rFonts w:ascii="Open Sans Light" w:eastAsia="Open Sans Light" w:hAnsi="Open Sans Light" w:cs="Open Sans Light"/>
          <w:color w:val="000000"/>
          <w:sz w:val="24"/>
          <w:szCs w:val="24"/>
        </w:rPr>
        <w:t xml:space="preserve"> </w:t>
      </w:r>
      <w:r w:rsidR="00641AAB">
        <w:rPr>
          <w:rFonts w:ascii="Open Sans Light" w:eastAsia="Open Sans Light" w:hAnsi="Open Sans Light" w:cs="Open Sans Light"/>
          <w:color w:val="000000"/>
          <w:sz w:val="24"/>
          <w:szCs w:val="24"/>
        </w:rPr>
        <w:t>No cuenta con datos anuales</w:t>
      </w:r>
      <w:r>
        <w:rPr>
          <w:rFonts w:ascii="Open Sans Light" w:eastAsia="Open Sans Light" w:hAnsi="Open Sans Light" w:cs="Open Sans Light"/>
          <w:color w:val="000000"/>
          <w:sz w:val="24"/>
          <w:szCs w:val="24"/>
        </w:rPr>
        <w:t xml:space="preserve"> </w:t>
      </w:r>
      <w:r w:rsidR="00641AAB">
        <w:rPr>
          <w:rFonts w:ascii="Open Sans Light" w:eastAsia="Open Sans Light" w:hAnsi="Open Sans Light" w:cs="Open Sans Light"/>
          <w:color w:val="000000"/>
          <w:sz w:val="24"/>
          <w:szCs w:val="24"/>
        </w:rPr>
        <w:t>en todo el periodo, pero</w:t>
      </w:r>
      <w:r>
        <w:rPr>
          <w:rFonts w:ascii="Open Sans Light" w:eastAsia="Open Sans Light" w:hAnsi="Open Sans Light" w:cs="Open Sans Light"/>
          <w:color w:val="000000"/>
          <w:sz w:val="24"/>
          <w:szCs w:val="24"/>
        </w:rPr>
        <w:t xml:space="preserve"> la información está desagregada</w:t>
      </w:r>
      <w:r w:rsidR="00641AAB">
        <w:rPr>
          <w:rFonts w:ascii="Open Sans Light" w:eastAsia="Open Sans Light" w:hAnsi="Open Sans Light" w:cs="Open Sans Light"/>
          <w:color w:val="000000"/>
          <w:sz w:val="24"/>
          <w:szCs w:val="24"/>
        </w:rPr>
        <w:t xml:space="preserve"> por variables de interés, o viceversa</w:t>
      </w:r>
      <w:r>
        <w:rPr>
          <w:rFonts w:ascii="Open Sans Light" w:eastAsia="Open Sans Light" w:hAnsi="Open Sans Light" w:cs="Open Sans Light"/>
          <w:color w:val="000000"/>
          <w:sz w:val="24"/>
          <w:szCs w:val="24"/>
        </w:rPr>
        <w:t>.</w:t>
      </w:r>
    </w:p>
    <w:p w14:paraId="7BCD663B" w14:textId="741AD504" w:rsidR="003747E1" w:rsidRPr="003747E1" w:rsidRDefault="00BC1BB0" w:rsidP="003747E1">
      <w:pPr>
        <w:pStyle w:val="ListParagraph"/>
        <w:numPr>
          <w:ilvl w:val="0"/>
          <w:numId w:val="14"/>
        </w:numPr>
        <w:spacing w:after="0" w:line="240" w:lineRule="auto"/>
        <w:jc w:val="both"/>
        <w:rPr>
          <w:rFonts w:ascii="Open Sans Light" w:eastAsia="Open Sans Light" w:hAnsi="Open Sans Light" w:cs="Open Sans Light"/>
          <w:color w:val="000000"/>
          <w:sz w:val="24"/>
          <w:szCs w:val="24"/>
        </w:rPr>
      </w:pPr>
      <w:r w:rsidRPr="007B1A0B">
        <w:rPr>
          <w:rFonts w:ascii="Open Sans Light" w:eastAsia="Open Sans Light" w:hAnsi="Open Sans Light" w:cs="Open Sans Light"/>
          <w:b/>
          <w:bCs/>
          <w:color w:val="000000"/>
          <w:sz w:val="24"/>
          <w:szCs w:val="24"/>
        </w:rPr>
        <w:t>D</w:t>
      </w:r>
      <w:r w:rsidR="003747E1" w:rsidRPr="007B1A0B">
        <w:rPr>
          <w:rFonts w:ascii="Open Sans Light" w:eastAsia="Open Sans Light" w:hAnsi="Open Sans Light" w:cs="Open Sans Light"/>
          <w:b/>
          <w:bCs/>
          <w:color w:val="000000"/>
          <w:sz w:val="24"/>
          <w:szCs w:val="24"/>
        </w:rPr>
        <w:t>eficiente:</w:t>
      </w:r>
      <w:r w:rsidR="00EE6BB1">
        <w:rPr>
          <w:rFonts w:ascii="Open Sans Light" w:eastAsia="Open Sans Light" w:hAnsi="Open Sans Light" w:cs="Open Sans Light"/>
          <w:color w:val="000000"/>
          <w:sz w:val="24"/>
          <w:szCs w:val="24"/>
        </w:rPr>
        <w:t xml:space="preserve"> </w:t>
      </w:r>
      <w:r w:rsidR="008218AA">
        <w:rPr>
          <w:rFonts w:ascii="Open Sans Light" w:eastAsia="Open Sans Light" w:hAnsi="Open Sans Light" w:cs="Open Sans Light"/>
          <w:color w:val="000000"/>
          <w:sz w:val="24"/>
          <w:szCs w:val="24"/>
        </w:rPr>
        <w:t>N</w:t>
      </w:r>
      <w:r w:rsidR="00BC75CB">
        <w:rPr>
          <w:rFonts w:ascii="Open Sans Light" w:eastAsia="Open Sans Light" w:hAnsi="Open Sans Light" w:cs="Open Sans Light"/>
          <w:color w:val="000000"/>
          <w:sz w:val="24"/>
          <w:szCs w:val="24"/>
        </w:rPr>
        <w:t xml:space="preserve">o cuenta con información anual para todo el periodo </w:t>
      </w:r>
      <w:r w:rsidR="0053409E">
        <w:rPr>
          <w:rFonts w:ascii="Open Sans Light" w:eastAsia="Open Sans Light" w:hAnsi="Open Sans Light" w:cs="Open Sans Light"/>
          <w:color w:val="000000"/>
          <w:sz w:val="24"/>
          <w:szCs w:val="24"/>
        </w:rPr>
        <w:t>ni con datos</w:t>
      </w:r>
      <w:r w:rsidR="00641AAB">
        <w:rPr>
          <w:rFonts w:ascii="Open Sans Light" w:eastAsia="Open Sans Light" w:hAnsi="Open Sans Light" w:cs="Open Sans Light"/>
          <w:color w:val="000000"/>
          <w:sz w:val="24"/>
          <w:szCs w:val="24"/>
        </w:rPr>
        <w:t xml:space="preserve"> desagregados</w:t>
      </w:r>
      <w:r w:rsidR="00EE6BB1">
        <w:rPr>
          <w:rFonts w:ascii="Open Sans Light" w:eastAsia="Open Sans Light" w:hAnsi="Open Sans Light" w:cs="Open Sans Light"/>
          <w:color w:val="000000"/>
          <w:sz w:val="24"/>
          <w:szCs w:val="24"/>
        </w:rPr>
        <w:t>.</w:t>
      </w:r>
    </w:p>
    <w:p w14:paraId="4FBD371A" w14:textId="77777777" w:rsidR="000B13BD" w:rsidRDefault="000B13BD" w:rsidP="000B13BD">
      <w:pPr>
        <w:spacing w:after="0" w:line="240" w:lineRule="auto"/>
        <w:jc w:val="both"/>
        <w:rPr>
          <w:rFonts w:ascii="Open Sans Light" w:eastAsia="Open Sans Light" w:hAnsi="Open Sans Light" w:cs="Open Sans Light"/>
          <w:color w:val="000000"/>
          <w:sz w:val="24"/>
          <w:szCs w:val="24"/>
        </w:rPr>
      </w:pPr>
    </w:p>
    <w:p w14:paraId="0CD0F5DB" w14:textId="03394D87" w:rsidR="00F5747C" w:rsidRDefault="00F5747C" w:rsidP="00F5747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Para evaluar la eficacia </w:t>
      </w:r>
      <w:r w:rsidR="00BA33C5">
        <w:rPr>
          <w:rFonts w:ascii="Open Sans Light" w:eastAsia="Open Sans Light" w:hAnsi="Open Sans Light" w:cs="Open Sans Light"/>
          <w:color w:val="000000"/>
          <w:sz w:val="24"/>
          <w:szCs w:val="24"/>
        </w:rPr>
        <w:t xml:space="preserve">en el cumplimiento </w:t>
      </w:r>
      <w:r>
        <w:rPr>
          <w:rFonts w:ascii="Open Sans Light" w:eastAsia="Open Sans Light" w:hAnsi="Open Sans Light" w:cs="Open Sans Light"/>
          <w:color w:val="000000"/>
          <w:sz w:val="24"/>
          <w:szCs w:val="24"/>
        </w:rPr>
        <w:t>de las metas programadas al 2021, se proyectaron los</w:t>
      </w:r>
      <w:r w:rsidR="00BA33C5">
        <w:rPr>
          <w:rFonts w:ascii="Open Sans Light" w:eastAsia="Open Sans Light" w:hAnsi="Open Sans Light" w:cs="Open Sans Light"/>
          <w:color w:val="000000"/>
          <w:sz w:val="24"/>
          <w:szCs w:val="24"/>
        </w:rPr>
        <w:t xml:space="preserve"> indicadores</w:t>
      </w:r>
      <w:r>
        <w:rPr>
          <w:rFonts w:ascii="Open Sans Light" w:eastAsia="Open Sans Light" w:hAnsi="Open Sans Light" w:cs="Open Sans Light"/>
          <w:color w:val="000000"/>
          <w:sz w:val="24"/>
          <w:szCs w:val="24"/>
        </w:rPr>
        <w:t xml:space="preserve"> al 2021 y se verificó el cumplimiento de la meta establecida para el mismo periodo. </w:t>
      </w:r>
      <w:r w:rsidR="00A30DB5">
        <w:rPr>
          <w:rFonts w:ascii="Open Sans Light" w:eastAsia="Open Sans Light" w:hAnsi="Open Sans Light" w:cs="Open Sans Light"/>
          <w:color w:val="000000"/>
          <w:sz w:val="24"/>
          <w:szCs w:val="24"/>
        </w:rPr>
        <w:t>Al grupo de indicadores c</w:t>
      </w:r>
      <w:r w:rsidR="00007B94">
        <w:rPr>
          <w:rFonts w:ascii="Open Sans Light" w:eastAsia="Open Sans Light" w:hAnsi="Open Sans Light" w:cs="Open Sans Light"/>
          <w:color w:val="000000"/>
          <w:sz w:val="24"/>
          <w:szCs w:val="24"/>
        </w:rPr>
        <w:t>on información deficiente</w:t>
      </w:r>
      <w:r w:rsidR="00A30DB5">
        <w:rPr>
          <w:rFonts w:ascii="Open Sans Light" w:eastAsia="Open Sans Light" w:hAnsi="Open Sans Light" w:cs="Open Sans Light"/>
          <w:color w:val="000000"/>
          <w:sz w:val="24"/>
          <w:szCs w:val="24"/>
        </w:rPr>
        <w:t xml:space="preserve"> no se realizó la proyección de la meta al 2021 </w:t>
      </w:r>
      <w:r w:rsidR="00F42FF4">
        <w:rPr>
          <w:rFonts w:ascii="Open Sans Light" w:eastAsia="Open Sans Light" w:hAnsi="Open Sans Light" w:cs="Open Sans Light"/>
          <w:color w:val="000000"/>
          <w:sz w:val="24"/>
          <w:szCs w:val="24"/>
        </w:rPr>
        <w:t xml:space="preserve">debido a la falta de </w:t>
      </w:r>
      <w:r w:rsidR="00A30DB5">
        <w:rPr>
          <w:rFonts w:ascii="Open Sans Light" w:eastAsia="Open Sans Light" w:hAnsi="Open Sans Light" w:cs="Open Sans Light"/>
          <w:color w:val="000000"/>
          <w:sz w:val="24"/>
          <w:szCs w:val="24"/>
        </w:rPr>
        <w:t xml:space="preserve">datos </w:t>
      </w:r>
      <w:r w:rsidR="00F42FF4">
        <w:rPr>
          <w:rFonts w:ascii="Open Sans Light" w:eastAsia="Open Sans Light" w:hAnsi="Open Sans Light" w:cs="Open Sans Light"/>
          <w:color w:val="000000"/>
          <w:sz w:val="24"/>
          <w:szCs w:val="24"/>
        </w:rPr>
        <w:t>suficientes</w:t>
      </w:r>
      <w:r>
        <w:rPr>
          <w:rFonts w:ascii="Open Sans Light" w:eastAsia="Open Sans Light" w:hAnsi="Open Sans Light" w:cs="Open Sans Light"/>
          <w:color w:val="000000"/>
          <w:sz w:val="24"/>
          <w:szCs w:val="24"/>
        </w:rPr>
        <w:t>,</w:t>
      </w:r>
      <w:r w:rsidR="00F42FF4">
        <w:rPr>
          <w:rFonts w:ascii="Open Sans Light" w:eastAsia="Open Sans Light" w:hAnsi="Open Sans Light" w:cs="Open Sans Light"/>
          <w:color w:val="000000"/>
          <w:sz w:val="24"/>
          <w:szCs w:val="24"/>
        </w:rPr>
        <w:t xml:space="preserve"> por lo que, para esos casos,</w:t>
      </w:r>
      <w:r>
        <w:rPr>
          <w:rFonts w:ascii="Open Sans Light" w:eastAsia="Open Sans Light" w:hAnsi="Open Sans Light" w:cs="Open Sans Light"/>
          <w:color w:val="000000"/>
          <w:sz w:val="24"/>
          <w:szCs w:val="24"/>
        </w:rPr>
        <w:t xml:space="preserve"> el análisis se centra en la evolución histórica del </w:t>
      </w:r>
      <w:r w:rsidR="00D51D32">
        <w:rPr>
          <w:rFonts w:ascii="Open Sans Light" w:eastAsia="Open Sans Light" w:hAnsi="Open Sans Light" w:cs="Open Sans Light"/>
          <w:color w:val="000000"/>
          <w:sz w:val="24"/>
          <w:szCs w:val="24"/>
        </w:rPr>
        <w:t xml:space="preserve">sentido del </w:t>
      </w:r>
      <w:r>
        <w:rPr>
          <w:rFonts w:ascii="Open Sans Light" w:eastAsia="Open Sans Light" w:hAnsi="Open Sans Light" w:cs="Open Sans Light"/>
          <w:color w:val="000000"/>
          <w:sz w:val="24"/>
          <w:szCs w:val="24"/>
        </w:rPr>
        <w:t>indicador.</w:t>
      </w:r>
    </w:p>
    <w:p w14:paraId="28015B00" w14:textId="77777777" w:rsidR="00D346B3" w:rsidRDefault="00D346B3">
      <w:pPr>
        <w:spacing w:after="0" w:line="240" w:lineRule="auto"/>
        <w:jc w:val="both"/>
        <w:rPr>
          <w:rFonts w:ascii="Open Sans Light" w:eastAsia="Open Sans Light" w:hAnsi="Open Sans Light" w:cs="Open Sans Light"/>
          <w:color w:val="000000"/>
          <w:sz w:val="24"/>
          <w:szCs w:val="24"/>
        </w:rPr>
        <w:sectPr w:rsidR="00D346B3">
          <w:headerReference w:type="default" r:id="rId16"/>
          <w:pgSz w:w="11906" w:h="16838"/>
          <w:pgMar w:top="2127" w:right="1701" w:bottom="1417" w:left="1701" w:header="426" w:footer="567" w:gutter="0"/>
          <w:cols w:space="720"/>
        </w:sectPr>
      </w:pPr>
    </w:p>
    <w:p w14:paraId="3F06743F" w14:textId="77777777" w:rsidR="00970187" w:rsidRDefault="00970187">
      <w:pPr>
        <w:spacing w:after="0" w:line="240" w:lineRule="auto"/>
        <w:jc w:val="both"/>
        <w:rPr>
          <w:rFonts w:ascii="Open Sans Light" w:eastAsia="Open Sans Light" w:hAnsi="Open Sans Light" w:cs="Open Sans Light"/>
          <w:color w:val="000000"/>
          <w:sz w:val="24"/>
          <w:szCs w:val="24"/>
        </w:rPr>
      </w:pPr>
    </w:p>
    <w:p w14:paraId="2B765A7C" w14:textId="5E4DFCA0" w:rsidR="002E614C" w:rsidRPr="002E614C" w:rsidRDefault="002E614C" w:rsidP="00E1300E">
      <w:pPr>
        <w:spacing w:before="240" w:after="0" w:line="360" w:lineRule="auto"/>
        <w:jc w:val="center"/>
        <w:rPr>
          <w:rFonts w:ascii="Open Sans Light" w:eastAsia="Open Sans Light" w:hAnsi="Open Sans Light" w:cs="Open Sans Light"/>
          <w:b/>
          <w:color w:val="000000"/>
          <w:sz w:val="24"/>
          <w:szCs w:val="24"/>
        </w:rPr>
      </w:pPr>
      <w:r w:rsidRPr="00C1239A">
        <w:rPr>
          <w:rFonts w:ascii="Open Sans Light" w:eastAsia="Open Sans Light" w:hAnsi="Open Sans Light" w:cs="Open Sans Light"/>
          <w:i/>
          <w:color w:val="000000"/>
          <w:sz w:val="24"/>
          <w:szCs w:val="24"/>
        </w:rPr>
        <w:t xml:space="preserve">Tabla </w:t>
      </w:r>
      <w:r w:rsidRPr="00C1239A">
        <w:rPr>
          <w:rFonts w:ascii="Open Sans Light" w:eastAsia="Open Sans Light" w:hAnsi="Open Sans Light" w:cs="Open Sans Light"/>
          <w:i/>
          <w:color w:val="000000"/>
          <w:sz w:val="24"/>
          <w:szCs w:val="24"/>
        </w:rPr>
        <w:fldChar w:fldCharType="begin"/>
      </w:r>
      <w:r w:rsidRPr="00C1239A">
        <w:rPr>
          <w:rFonts w:ascii="Open Sans Light" w:eastAsia="Open Sans Light" w:hAnsi="Open Sans Light" w:cs="Open Sans Light"/>
          <w:i/>
          <w:color w:val="000000"/>
          <w:sz w:val="24"/>
          <w:szCs w:val="24"/>
        </w:rPr>
        <w:instrText xml:space="preserve"> SEQ Tabla \* ARABIC </w:instrText>
      </w:r>
      <w:r w:rsidRPr="00C1239A">
        <w:rPr>
          <w:rFonts w:ascii="Open Sans Light" w:eastAsia="Open Sans Light" w:hAnsi="Open Sans Light" w:cs="Open Sans Light"/>
          <w:i/>
          <w:color w:val="000000"/>
          <w:sz w:val="24"/>
          <w:szCs w:val="24"/>
        </w:rPr>
        <w:fldChar w:fldCharType="separate"/>
      </w:r>
      <w:r w:rsidR="00846FB2">
        <w:rPr>
          <w:rFonts w:ascii="Open Sans Light" w:eastAsia="Open Sans Light" w:hAnsi="Open Sans Light" w:cs="Open Sans Light"/>
          <w:i/>
          <w:noProof/>
          <w:color w:val="000000"/>
          <w:sz w:val="24"/>
          <w:szCs w:val="24"/>
        </w:rPr>
        <w:t>1</w:t>
      </w:r>
      <w:r w:rsidRPr="00C1239A">
        <w:rPr>
          <w:rFonts w:ascii="Open Sans Light" w:eastAsia="Open Sans Light" w:hAnsi="Open Sans Light" w:cs="Open Sans Light"/>
          <w:i/>
          <w:color w:val="000000"/>
          <w:sz w:val="24"/>
          <w:szCs w:val="24"/>
        </w:rPr>
        <w:fldChar w:fldCharType="end"/>
      </w:r>
      <w:r w:rsidRPr="002E614C">
        <w:rPr>
          <w:rFonts w:ascii="Open Sans Light" w:eastAsia="Open Sans Light" w:hAnsi="Open Sans Light" w:cs="Open Sans Light"/>
          <w:color w:val="000000"/>
          <w:sz w:val="24"/>
          <w:szCs w:val="24"/>
        </w:rPr>
        <w:t>.</w:t>
      </w:r>
      <w:r w:rsidRPr="002E614C">
        <w:rPr>
          <w:rFonts w:ascii="Open Sans Light" w:eastAsia="Open Sans Light" w:hAnsi="Open Sans Light" w:cs="Open Sans Light"/>
          <w:b/>
          <w:color w:val="000000"/>
          <w:sz w:val="24"/>
          <w:szCs w:val="24"/>
        </w:rPr>
        <w:t xml:space="preserve"> </w:t>
      </w:r>
      <w:r>
        <w:rPr>
          <w:rFonts w:ascii="Open Sans Light" w:eastAsia="Open Sans Light" w:hAnsi="Open Sans Light" w:cs="Open Sans Light"/>
          <w:b/>
          <w:color w:val="000000"/>
          <w:sz w:val="24"/>
          <w:szCs w:val="24"/>
        </w:rPr>
        <w:t xml:space="preserve">Estado de indicadores y metas del </w:t>
      </w:r>
      <w:r w:rsidR="00D979D4">
        <w:rPr>
          <w:rFonts w:ascii="Open Sans Light" w:eastAsia="Open Sans Light" w:hAnsi="Open Sans Light" w:cs="Open Sans Light"/>
          <w:b/>
          <w:color w:val="000000"/>
          <w:sz w:val="24"/>
          <w:szCs w:val="24"/>
        </w:rPr>
        <w:t>PNAIA 2012 – 2021</w:t>
      </w:r>
    </w:p>
    <w:tbl>
      <w:tblPr>
        <w:tblW w:w="15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3"/>
        <w:gridCol w:w="4120"/>
        <w:gridCol w:w="3864"/>
        <w:gridCol w:w="1333"/>
        <w:gridCol w:w="2682"/>
        <w:gridCol w:w="1136"/>
        <w:gridCol w:w="1034"/>
      </w:tblGrid>
      <w:tr w:rsidR="00155FD0" w:rsidRPr="005E515E" w14:paraId="44AF80A3" w14:textId="0F414FF7" w:rsidTr="00D654C4">
        <w:trPr>
          <w:trHeight w:val="172"/>
          <w:tblHeader/>
          <w:jc w:val="center"/>
        </w:trPr>
        <w:tc>
          <w:tcPr>
            <w:tcW w:w="903" w:type="dxa"/>
            <w:shd w:val="clear" w:color="auto" w:fill="000000" w:themeFill="text1"/>
            <w:noWrap/>
            <w:vAlign w:val="center"/>
            <w:hideMark/>
          </w:tcPr>
          <w:p w14:paraId="4008FD92" w14:textId="58D59085" w:rsidR="002908D0" w:rsidRPr="005E515E" w:rsidRDefault="002908D0" w:rsidP="00D654C4">
            <w:pPr>
              <w:spacing w:after="0" w:line="240" w:lineRule="auto"/>
              <w:jc w:val="center"/>
              <w:rPr>
                <w:rFonts w:ascii="Open Sans Light" w:eastAsia="Times New Roman" w:hAnsi="Open Sans Light" w:cs="Open Sans Light"/>
                <w:b/>
                <w:bCs/>
                <w:color w:val="FFFFFF" w:themeColor="background1"/>
                <w:sz w:val="14"/>
                <w:szCs w:val="14"/>
                <w:lang w:val="es-PE"/>
              </w:rPr>
            </w:pPr>
            <w:r w:rsidRPr="005E515E">
              <w:rPr>
                <w:rFonts w:ascii="Open Sans Light" w:eastAsia="Times New Roman" w:hAnsi="Open Sans Light" w:cs="Open Sans Light"/>
                <w:b/>
                <w:bCs/>
                <w:color w:val="FFFFFF" w:themeColor="background1"/>
                <w:sz w:val="14"/>
                <w:szCs w:val="14"/>
                <w:lang w:val="es-PE"/>
              </w:rPr>
              <w:t>Objetivo Estratégico</w:t>
            </w:r>
          </w:p>
        </w:tc>
        <w:tc>
          <w:tcPr>
            <w:tcW w:w="4120" w:type="dxa"/>
            <w:shd w:val="clear" w:color="auto" w:fill="000000" w:themeFill="text1"/>
            <w:noWrap/>
            <w:vAlign w:val="center"/>
          </w:tcPr>
          <w:p w14:paraId="33F4956B" w14:textId="77777777" w:rsidR="002908D0" w:rsidRPr="005E515E" w:rsidRDefault="002908D0" w:rsidP="00451EF8">
            <w:pPr>
              <w:spacing w:after="0" w:line="240" w:lineRule="auto"/>
              <w:jc w:val="center"/>
              <w:rPr>
                <w:rFonts w:ascii="Open Sans Light" w:eastAsia="Times New Roman" w:hAnsi="Open Sans Light" w:cs="Open Sans Light"/>
                <w:b/>
                <w:bCs/>
                <w:color w:val="FFFFFF" w:themeColor="background1"/>
                <w:sz w:val="14"/>
                <w:szCs w:val="14"/>
                <w:lang w:val="es-PE"/>
              </w:rPr>
            </w:pPr>
            <w:r w:rsidRPr="005E515E">
              <w:rPr>
                <w:rFonts w:ascii="Open Sans Light" w:eastAsia="Times New Roman" w:hAnsi="Open Sans Light" w:cs="Open Sans Light"/>
                <w:b/>
                <w:bCs/>
                <w:color w:val="FFFFFF" w:themeColor="background1"/>
                <w:sz w:val="14"/>
                <w:szCs w:val="14"/>
                <w:lang w:val="es-PE"/>
              </w:rPr>
              <w:t>Resultado Esperado</w:t>
            </w:r>
          </w:p>
        </w:tc>
        <w:tc>
          <w:tcPr>
            <w:tcW w:w="3864" w:type="dxa"/>
            <w:shd w:val="clear" w:color="auto" w:fill="000000" w:themeFill="text1"/>
            <w:vAlign w:val="center"/>
          </w:tcPr>
          <w:p w14:paraId="4914F95F" w14:textId="1D910AB9" w:rsidR="002908D0" w:rsidRPr="005E515E" w:rsidRDefault="002908D0" w:rsidP="00451EF8">
            <w:pPr>
              <w:spacing w:after="0" w:line="240" w:lineRule="auto"/>
              <w:jc w:val="center"/>
              <w:rPr>
                <w:rFonts w:ascii="Open Sans Light" w:eastAsia="Times New Roman" w:hAnsi="Open Sans Light" w:cs="Open Sans Light"/>
                <w:b/>
                <w:bCs/>
                <w:color w:val="FFFFFF" w:themeColor="background1"/>
                <w:sz w:val="14"/>
                <w:szCs w:val="14"/>
                <w:lang w:val="es-PE"/>
              </w:rPr>
            </w:pPr>
            <w:r w:rsidRPr="005E515E">
              <w:rPr>
                <w:rFonts w:ascii="Open Sans Light" w:eastAsia="Times New Roman" w:hAnsi="Open Sans Light" w:cs="Open Sans Light"/>
                <w:b/>
                <w:bCs/>
                <w:color w:val="FFFFFF" w:themeColor="background1"/>
                <w:sz w:val="14"/>
                <w:szCs w:val="14"/>
                <w:lang w:val="es-PE"/>
              </w:rPr>
              <w:t xml:space="preserve">Meta </w:t>
            </w:r>
            <w:r w:rsidR="00D979D4">
              <w:rPr>
                <w:rFonts w:ascii="Open Sans Light" w:eastAsia="Times New Roman" w:hAnsi="Open Sans Light" w:cs="Open Sans Light"/>
                <w:b/>
                <w:bCs/>
                <w:color w:val="FFFFFF" w:themeColor="background1"/>
                <w:sz w:val="14"/>
                <w:szCs w:val="14"/>
                <w:lang w:val="es-PE"/>
              </w:rPr>
              <w:t>PNAIA 2012 – 2021</w:t>
            </w:r>
          </w:p>
        </w:tc>
        <w:tc>
          <w:tcPr>
            <w:tcW w:w="1333" w:type="dxa"/>
            <w:shd w:val="clear" w:color="auto" w:fill="000000" w:themeFill="text1"/>
            <w:vAlign w:val="center"/>
          </w:tcPr>
          <w:p w14:paraId="20A39E09" w14:textId="31207A25" w:rsidR="002908D0" w:rsidRPr="005E515E" w:rsidRDefault="002908D0" w:rsidP="00451EF8">
            <w:pPr>
              <w:spacing w:after="0" w:line="240" w:lineRule="auto"/>
              <w:jc w:val="center"/>
              <w:rPr>
                <w:rFonts w:ascii="Open Sans Light" w:eastAsia="Times New Roman" w:hAnsi="Open Sans Light" w:cs="Open Sans Light"/>
                <w:b/>
                <w:bCs/>
                <w:color w:val="FFFFFF" w:themeColor="background1"/>
                <w:sz w:val="14"/>
                <w:szCs w:val="14"/>
                <w:lang w:val="es-PE"/>
              </w:rPr>
            </w:pPr>
            <w:r w:rsidRPr="005E515E">
              <w:rPr>
                <w:rFonts w:ascii="Open Sans Light" w:eastAsia="Times New Roman" w:hAnsi="Open Sans Light" w:cs="Open Sans Light"/>
                <w:b/>
                <w:bCs/>
                <w:color w:val="FFFFFF" w:themeColor="background1"/>
                <w:sz w:val="14"/>
                <w:szCs w:val="14"/>
                <w:lang w:val="es-PE"/>
              </w:rPr>
              <w:t>Tipo de meta</w:t>
            </w:r>
          </w:p>
        </w:tc>
        <w:tc>
          <w:tcPr>
            <w:tcW w:w="2682" w:type="dxa"/>
            <w:shd w:val="clear" w:color="auto" w:fill="000000" w:themeFill="text1"/>
            <w:vAlign w:val="center"/>
          </w:tcPr>
          <w:p w14:paraId="1EC78CF4" w14:textId="336FADE4" w:rsidR="002908D0" w:rsidRPr="005E515E" w:rsidRDefault="002908D0" w:rsidP="00451EF8">
            <w:pPr>
              <w:spacing w:after="0" w:line="240" w:lineRule="auto"/>
              <w:jc w:val="center"/>
              <w:rPr>
                <w:rFonts w:ascii="Open Sans Light" w:eastAsia="Times New Roman" w:hAnsi="Open Sans Light" w:cs="Open Sans Light"/>
                <w:b/>
                <w:bCs/>
                <w:color w:val="FFFFFF" w:themeColor="background1"/>
                <w:sz w:val="14"/>
                <w:szCs w:val="14"/>
                <w:lang w:val="es-PE"/>
              </w:rPr>
            </w:pPr>
            <w:r w:rsidRPr="005E515E">
              <w:rPr>
                <w:rFonts w:ascii="Open Sans Light" w:eastAsia="Times New Roman" w:hAnsi="Open Sans Light" w:cs="Open Sans Light"/>
                <w:b/>
                <w:bCs/>
                <w:color w:val="FFFFFF" w:themeColor="background1"/>
                <w:sz w:val="14"/>
                <w:szCs w:val="14"/>
                <w:lang w:val="es-PE"/>
              </w:rPr>
              <w:t>Indicador priorizado</w:t>
            </w:r>
          </w:p>
        </w:tc>
        <w:tc>
          <w:tcPr>
            <w:tcW w:w="1136" w:type="dxa"/>
            <w:shd w:val="clear" w:color="auto" w:fill="000000" w:themeFill="text1"/>
            <w:vAlign w:val="center"/>
          </w:tcPr>
          <w:p w14:paraId="3B451034" w14:textId="118B631C" w:rsidR="002908D0" w:rsidRPr="005E515E" w:rsidRDefault="002908D0" w:rsidP="00451EF8">
            <w:pPr>
              <w:spacing w:after="0" w:line="240" w:lineRule="auto"/>
              <w:jc w:val="center"/>
              <w:rPr>
                <w:rFonts w:ascii="Open Sans Light" w:eastAsia="Times New Roman" w:hAnsi="Open Sans Light" w:cs="Open Sans Light"/>
                <w:b/>
                <w:bCs/>
                <w:color w:val="FFFFFF" w:themeColor="background1"/>
                <w:sz w:val="14"/>
                <w:szCs w:val="14"/>
                <w:lang w:val="es-PE"/>
              </w:rPr>
            </w:pPr>
            <w:r w:rsidRPr="005E515E">
              <w:rPr>
                <w:rFonts w:ascii="Open Sans Light" w:eastAsia="Times New Roman" w:hAnsi="Open Sans Light" w:cs="Open Sans Light"/>
                <w:b/>
                <w:bCs/>
                <w:color w:val="FFFFFF" w:themeColor="background1"/>
                <w:sz w:val="14"/>
                <w:szCs w:val="14"/>
                <w:lang w:val="es-PE"/>
              </w:rPr>
              <w:t>Fuente de información</w:t>
            </w:r>
          </w:p>
        </w:tc>
        <w:tc>
          <w:tcPr>
            <w:tcW w:w="1034" w:type="dxa"/>
            <w:shd w:val="clear" w:color="auto" w:fill="000000" w:themeFill="text1"/>
            <w:vAlign w:val="center"/>
          </w:tcPr>
          <w:p w14:paraId="57A57598" w14:textId="7487E706" w:rsidR="002908D0" w:rsidRPr="005E515E" w:rsidRDefault="00996544" w:rsidP="00451EF8">
            <w:pPr>
              <w:spacing w:after="0" w:line="240" w:lineRule="auto"/>
              <w:jc w:val="center"/>
              <w:rPr>
                <w:rFonts w:ascii="Open Sans Light" w:eastAsia="Times New Roman" w:hAnsi="Open Sans Light" w:cs="Open Sans Light"/>
                <w:b/>
                <w:bCs/>
                <w:color w:val="FFFFFF" w:themeColor="background1"/>
                <w:sz w:val="14"/>
                <w:szCs w:val="14"/>
                <w:lang w:val="es-PE"/>
              </w:rPr>
            </w:pPr>
            <w:r>
              <w:rPr>
                <w:rFonts w:ascii="Open Sans Light" w:eastAsia="Times New Roman" w:hAnsi="Open Sans Light" w:cs="Open Sans Light"/>
                <w:b/>
                <w:bCs/>
                <w:color w:val="FFFFFF" w:themeColor="background1"/>
                <w:sz w:val="14"/>
                <w:szCs w:val="14"/>
                <w:lang w:val="es-PE"/>
              </w:rPr>
              <w:t>Calidad</w:t>
            </w:r>
            <w:r w:rsidR="000049D6" w:rsidRPr="005E515E">
              <w:rPr>
                <w:rFonts w:ascii="Open Sans Light" w:eastAsia="Times New Roman" w:hAnsi="Open Sans Light" w:cs="Open Sans Light"/>
                <w:b/>
                <w:bCs/>
                <w:color w:val="FFFFFF" w:themeColor="background1"/>
                <w:sz w:val="14"/>
                <w:szCs w:val="14"/>
                <w:lang w:val="es-PE"/>
              </w:rPr>
              <w:t xml:space="preserve"> de información</w:t>
            </w:r>
          </w:p>
        </w:tc>
      </w:tr>
      <w:tr w:rsidR="00155FD0" w:rsidRPr="005E515E" w14:paraId="291DFB7C" w14:textId="42605575" w:rsidTr="00D654C4">
        <w:trPr>
          <w:trHeight w:val="172"/>
          <w:jc w:val="center"/>
        </w:trPr>
        <w:tc>
          <w:tcPr>
            <w:tcW w:w="903" w:type="dxa"/>
            <w:vMerge w:val="restart"/>
            <w:shd w:val="clear" w:color="auto" w:fill="auto"/>
            <w:noWrap/>
            <w:vAlign w:val="center"/>
          </w:tcPr>
          <w:p w14:paraId="1BE6BFDD" w14:textId="385507BD" w:rsidR="002908D0" w:rsidRPr="005E515E" w:rsidRDefault="002908D0" w:rsidP="00D654C4">
            <w:pPr>
              <w:spacing w:after="0" w:line="240" w:lineRule="auto"/>
              <w:jc w:val="center"/>
              <w:rPr>
                <w:rFonts w:ascii="Open Sans Light" w:eastAsia="Times New Roman" w:hAnsi="Open Sans Light" w:cs="Open Sans Light"/>
                <w:color w:val="000000"/>
                <w:sz w:val="14"/>
                <w:szCs w:val="14"/>
                <w:lang w:val="es-PE"/>
              </w:rPr>
            </w:pPr>
            <w:r w:rsidRPr="005E515E">
              <w:rPr>
                <w:rFonts w:ascii="Open Sans Light" w:eastAsia="Times New Roman" w:hAnsi="Open Sans Light" w:cs="Open Sans Light"/>
                <w:color w:val="000000"/>
                <w:sz w:val="14"/>
                <w:szCs w:val="14"/>
                <w:lang w:val="es-PE"/>
              </w:rPr>
              <w:t>OE 1</w:t>
            </w:r>
          </w:p>
        </w:tc>
        <w:tc>
          <w:tcPr>
            <w:tcW w:w="4120" w:type="dxa"/>
            <w:shd w:val="clear" w:color="auto" w:fill="auto"/>
            <w:noWrap/>
            <w:vAlign w:val="center"/>
          </w:tcPr>
          <w:p w14:paraId="7E5B422B" w14:textId="4559F6CF" w:rsidR="002908D0" w:rsidRPr="005E515E" w:rsidRDefault="002908D0" w:rsidP="00005673">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 Niñas, niños y madres gestantes acceden a condiciones saludables y seguras de atención durante la gestación, el parto y el período neonatal, con respeto de su cultura, priorizando las zonas rurales y las comunidades nativas.</w:t>
            </w:r>
          </w:p>
        </w:tc>
        <w:tc>
          <w:tcPr>
            <w:tcW w:w="3864" w:type="dxa"/>
            <w:vAlign w:val="center"/>
          </w:tcPr>
          <w:p w14:paraId="0E06775E" w14:textId="275E3EEA" w:rsidR="002908D0" w:rsidRPr="005E515E" w:rsidRDefault="002908D0" w:rsidP="00005673">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Reducir un tercio la Tasa de Mortalidad Neonatal.</w:t>
            </w:r>
          </w:p>
        </w:tc>
        <w:tc>
          <w:tcPr>
            <w:tcW w:w="1333" w:type="dxa"/>
            <w:vAlign w:val="center"/>
          </w:tcPr>
          <w:p w14:paraId="7627AEFD" w14:textId="51E02928" w:rsidR="002908D0" w:rsidRPr="005E515E" w:rsidRDefault="002908D0" w:rsidP="00005673">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Cuantificable</w:t>
            </w:r>
          </w:p>
        </w:tc>
        <w:tc>
          <w:tcPr>
            <w:tcW w:w="2682" w:type="dxa"/>
            <w:vAlign w:val="center"/>
          </w:tcPr>
          <w:p w14:paraId="766E85C0" w14:textId="0EF8F6E7" w:rsidR="002908D0" w:rsidRPr="005E515E" w:rsidRDefault="002908D0" w:rsidP="00005673">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1.1. Tasa de mortalidad neonatal de los 10 años anteriores a la encuesta por cada mil nacidos vivos</w:t>
            </w:r>
          </w:p>
        </w:tc>
        <w:tc>
          <w:tcPr>
            <w:tcW w:w="1136" w:type="dxa"/>
            <w:vAlign w:val="center"/>
          </w:tcPr>
          <w:p w14:paraId="11926102" w14:textId="37ECBC92" w:rsidR="002908D0" w:rsidRPr="005E515E" w:rsidRDefault="005E515E" w:rsidP="000049D6">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ENDES - INEI</w:t>
            </w:r>
          </w:p>
        </w:tc>
        <w:tc>
          <w:tcPr>
            <w:tcW w:w="1034" w:type="dxa"/>
            <w:vAlign w:val="center"/>
          </w:tcPr>
          <w:p w14:paraId="04BB428E" w14:textId="2D587E05" w:rsidR="002908D0" w:rsidRPr="005E515E" w:rsidRDefault="00F800C0" w:rsidP="000049D6">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Óptima</w:t>
            </w:r>
          </w:p>
        </w:tc>
      </w:tr>
      <w:tr w:rsidR="00155FD0" w:rsidRPr="005E515E" w14:paraId="010EB22E" w14:textId="339A3E45" w:rsidTr="00D654C4">
        <w:trPr>
          <w:trHeight w:val="172"/>
          <w:jc w:val="center"/>
        </w:trPr>
        <w:tc>
          <w:tcPr>
            <w:tcW w:w="903" w:type="dxa"/>
            <w:vMerge/>
            <w:shd w:val="clear" w:color="auto" w:fill="auto"/>
            <w:noWrap/>
            <w:vAlign w:val="center"/>
          </w:tcPr>
          <w:p w14:paraId="7E458F92" w14:textId="299D1202" w:rsidR="002908D0" w:rsidRPr="005E515E" w:rsidRDefault="002908D0"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4DA1D7D6" w14:textId="65A05712" w:rsidR="002908D0" w:rsidRPr="005E515E" w:rsidRDefault="002908D0" w:rsidP="00005673">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2. Niñas y niños menores de 5 años de edad alcanzan un estado adecuado de nutrición y salud.</w:t>
            </w:r>
          </w:p>
        </w:tc>
        <w:tc>
          <w:tcPr>
            <w:tcW w:w="3864" w:type="dxa"/>
            <w:vAlign w:val="center"/>
          </w:tcPr>
          <w:p w14:paraId="54E21A10" w14:textId="533932FE" w:rsidR="002908D0" w:rsidRPr="005E515E" w:rsidRDefault="002908D0" w:rsidP="00005673">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Disminuir al 5% la desnutrición crónica en niñas y niños menores de 5 años de edad</w:t>
            </w:r>
          </w:p>
        </w:tc>
        <w:tc>
          <w:tcPr>
            <w:tcW w:w="1333" w:type="dxa"/>
            <w:vAlign w:val="center"/>
          </w:tcPr>
          <w:p w14:paraId="09BFF15A" w14:textId="673BB87C" w:rsidR="002908D0" w:rsidRPr="005E515E" w:rsidRDefault="002908D0" w:rsidP="00005673">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Cuantificable</w:t>
            </w:r>
          </w:p>
        </w:tc>
        <w:tc>
          <w:tcPr>
            <w:tcW w:w="2682" w:type="dxa"/>
            <w:vAlign w:val="center"/>
          </w:tcPr>
          <w:p w14:paraId="272C8B41" w14:textId="66240926" w:rsidR="002908D0" w:rsidRPr="005E515E" w:rsidRDefault="002908D0" w:rsidP="004669D0">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 xml:space="preserve">2.2. Porcentaje de desnutrición crónica en menores de 5 años de edad (patrón de referencia </w:t>
            </w:r>
            <w:r w:rsidR="004669D0">
              <w:rPr>
                <w:rFonts w:ascii="Open Sans Light" w:eastAsia="Arial Narrow" w:hAnsi="Open Sans Light" w:cs="Open Sans Light"/>
                <w:sz w:val="14"/>
                <w:szCs w:val="14"/>
              </w:rPr>
              <w:t>NCHS</w:t>
            </w:r>
            <w:r w:rsidRPr="005E515E">
              <w:rPr>
                <w:rFonts w:ascii="Open Sans Light" w:eastAsia="Arial Narrow" w:hAnsi="Open Sans Light" w:cs="Open Sans Light"/>
                <w:sz w:val="14"/>
                <w:szCs w:val="14"/>
              </w:rPr>
              <w:t>)</w:t>
            </w:r>
          </w:p>
        </w:tc>
        <w:tc>
          <w:tcPr>
            <w:tcW w:w="1136" w:type="dxa"/>
            <w:vAlign w:val="center"/>
          </w:tcPr>
          <w:p w14:paraId="1A3E36F7" w14:textId="40D094B0" w:rsidR="002908D0" w:rsidRPr="005E515E" w:rsidRDefault="004E22CC" w:rsidP="000049D6">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ENDES – INEI</w:t>
            </w:r>
          </w:p>
        </w:tc>
        <w:tc>
          <w:tcPr>
            <w:tcW w:w="1034" w:type="dxa"/>
            <w:vAlign w:val="center"/>
          </w:tcPr>
          <w:p w14:paraId="3F53A7C5" w14:textId="4240A92E" w:rsidR="002908D0" w:rsidRPr="005E515E" w:rsidRDefault="00F800C0" w:rsidP="000049D6">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Óptima</w:t>
            </w:r>
          </w:p>
        </w:tc>
      </w:tr>
      <w:tr w:rsidR="00155FD0" w:rsidRPr="005E515E" w14:paraId="474CA8CE" w14:textId="00B5C52D" w:rsidTr="00D654C4">
        <w:trPr>
          <w:trHeight w:val="172"/>
          <w:jc w:val="center"/>
        </w:trPr>
        <w:tc>
          <w:tcPr>
            <w:tcW w:w="903" w:type="dxa"/>
            <w:vMerge/>
            <w:shd w:val="clear" w:color="auto" w:fill="auto"/>
            <w:noWrap/>
            <w:vAlign w:val="center"/>
          </w:tcPr>
          <w:p w14:paraId="2BD64470" w14:textId="09C89645" w:rsidR="002908D0" w:rsidRPr="005E515E" w:rsidRDefault="002908D0"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560C393B" w14:textId="546611DD" w:rsidR="002908D0" w:rsidRPr="005E515E" w:rsidRDefault="002908D0" w:rsidP="00005673">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3. Niñas y niños de 0 a 2 años de edad cuentan con cuidado, atención integral y aprendizaje oportuno.</w:t>
            </w:r>
          </w:p>
        </w:tc>
        <w:tc>
          <w:tcPr>
            <w:tcW w:w="3864" w:type="dxa"/>
            <w:vAlign w:val="center"/>
          </w:tcPr>
          <w:p w14:paraId="2DFC68C9" w14:textId="6AC83216" w:rsidR="002908D0" w:rsidRPr="005E515E" w:rsidRDefault="002908D0" w:rsidP="00005673">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Las tres cuartas partes de niñas y niños menores de 36 meses de edad tienen controles de crecimiento y desarrollo completos para su edad.</w:t>
            </w:r>
          </w:p>
        </w:tc>
        <w:tc>
          <w:tcPr>
            <w:tcW w:w="1333" w:type="dxa"/>
            <w:vAlign w:val="center"/>
          </w:tcPr>
          <w:p w14:paraId="2C58A90E" w14:textId="79214ED3" w:rsidR="002908D0" w:rsidRPr="005E515E" w:rsidRDefault="002908D0" w:rsidP="00005673">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Cuantificable</w:t>
            </w:r>
          </w:p>
        </w:tc>
        <w:tc>
          <w:tcPr>
            <w:tcW w:w="2682" w:type="dxa"/>
            <w:vAlign w:val="center"/>
          </w:tcPr>
          <w:p w14:paraId="31A0BE56" w14:textId="1BBCB81B" w:rsidR="002908D0" w:rsidRPr="005E515E" w:rsidRDefault="002908D0" w:rsidP="00005673">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3.1. Porcentaje de niñas y niños menores de 36 meses que tienen controles de crecimiento y desarrollo (CRED) completos para su edad</w:t>
            </w:r>
          </w:p>
        </w:tc>
        <w:tc>
          <w:tcPr>
            <w:tcW w:w="1136" w:type="dxa"/>
            <w:vAlign w:val="center"/>
          </w:tcPr>
          <w:p w14:paraId="719FAE0F" w14:textId="1D7D8C2A" w:rsidR="002908D0" w:rsidRPr="005E515E" w:rsidRDefault="00AB153E" w:rsidP="000049D6">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ENDES – INEI</w:t>
            </w:r>
          </w:p>
        </w:tc>
        <w:tc>
          <w:tcPr>
            <w:tcW w:w="1034" w:type="dxa"/>
            <w:vAlign w:val="center"/>
          </w:tcPr>
          <w:p w14:paraId="585A0991" w14:textId="35F4A61D" w:rsidR="002908D0" w:rsidRPr="005E515E" w:rsidRDefault="004337CC" w:rsidP="000049D6">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Óptima</w:t>
            </w:r>
          </w:p>
        </w:tc>
      </w:tr>
      <w:tr w:rsidR="00155FD0" w:rsidRPr="005E515E" w14:paraId="116838DD" w14:textId="4499202F" w:rsidTr="00D654C4">
        <w:trPr>
          <w:trHeight w:val="172"/>
          <w:jc w:val="center"/>
        </w:trPr>
        <w:tc>
          <w:tcPr>
            <w:tcW w:w="903" w:type="dxa"/>
            <w:vMerge/>
            <w:shd w:val="clear" w:color="auto" w:fill="auto"/>
            <w:noWrap/>
            <w:vAlign w:val="center"/>
          </w:tcPr>
          <w:p w14:paraId="62F4D31B" w14:textId="6F39953D" w:rsidR="00C7604B" w:rsidRPr="005E515E" w:rsidRDefault="00C7604B"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65539EB4" w14:textId="1D3657ED" w:rsidR="00C7604B" w:rsidRPr="005E515E" w:rsidRDefault="00C7604B" w:rsidP="00C7604B">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4. Niñas y niños de 3 a 5 años de edad acceden a educación inicial de calidad, oportuna, intercultural, inclusiva, con cultura ambiental y libre de violencia.</w:t>
            </w:r>
          </w:p>
        </w:tc>
        <w:tc>
          <w:tcPr>
            <w:tcW w:w="3864" w:type="dxa"/>
            <w:vAlign w:val="center"/>
          </w:tcPr>
          <w:p w14:paraId="53FC4ECF" w14:textId="48D7E229" w:rsidR="00C7604B" w:rsidRPr="005E515E" w:rsidRDefault="00C7604B" w:rsidP="00C7604B">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Universalizar el acceso de niñas y niños de 3 a 5 años de edad a la educación inicial a la edad correspondiente, priorizando el ámbito rural.</w:t>
            </w:r>
          </w:p>
        </w:tc>
        <w:tc>
          <w:tcPr>
            <w:tcW w:w="1333" w:type="dxa"/>
            <w:vAlign w:val="center"/>
          </w:tcPr>
          <w:p w14:paraId="322C807C" w14:textId="0DD9F66E" w:rsidR="00C7604B" w:rsidRPr="005E515E" w:rsidRDefault="00C7604B" w:rsidP="00C7604B">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Cuantificable</w:t>
            </w:r>
          </w:p>
        </w:tc>
        <w:tc>
          <w:tcPr>
            <w:tcW w:w="2682" w:type="dxa"/>
            <w:vAlign w:val="center"/>
          </w:tcPr>
          <w:p w14:paraId="295DE1B9" w14:textId="31EFA347" w:rsidR="00C7604B" w:rsidRPr="005E515E" w:rsidRDefault="00C7604B" w:rsidP="00C7604B">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4.1. Tasa neta de matrícula en educación inicial, del grupo de 3 a 5 años de edad</w:t>
            </w:r>
          </w:p>
        </w:tc>
        <w:tc>
          <w:tcPr>
            <w:tcW w:w="1136" w:type="dxa"/>
            <w:vAlign w:val="center"/>
          </w:tcPr>
          <w:p w14:paraId="08B33C87" w14:textId="4B96190A" w:rsidR="00C7604B" w:rsidRPr="005E515E" w:rsidRDefault="00C7604B" w:rsidP="00C7604B">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ENAHO - INEI</w:t>
            </w:r>
          </w:p>
        </w:tc>
        <w:tc>
          <w:tcPr>
            <w:tcW w:w="1034" w:type="dxa"/>
            <w:vAlign w:val="center"/>
          </w:tcPr>
          <w:p w14:paraId="41748271" w14:textId="50B313D8" w:rsidR="00C7604B" w:rsidRPr="005E515E" w:rsidRDefault="004337CC" w:rsidP="00C7604B">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Óptima</w:t>
            </w:r>
          </w:p>
        </w:tc>
      </w:tr>
      <w:tr w:rsidR="00155FD0" w:rsidRPr="005E515E" w14:paraId="2C0989AF" w14:textId="3D524D7B" w:rsidTr="00D654C4">
        <w:trPr>
          <w:trHeight w:val="172"/>
          <w:jc w:val="center"/>
        </w:trPr>
        <w:tc>
          <w:tcPr>
            <w:tcW w:w="903" w:type="dxa"/>
            <w:vMerge w:val="restart"/>
            <w:shd w:val="clear" w:color="auto" w:fill="auto"/>
            <w:noWrap/>
            <w:vAlign w:val="center"/>
          </w:tcPr>
          <w:p w14:paraId="665A2BB5" w14:textId="0AA00295" w:rsidR="005E515E" w:rsidRPr="005E515E" w:rsidRDefault="005E515E" w:rsidP="00D654C4">
            <w:pPr>
              <w:spacing w:after="0" w:line="240" w:lineRule="auto"/>
              <w:jc w:val="center"/>
              <w:rPr>
                <w:rFonts w:ascii="Open Sans Light" w:eastAsia="Times New Roman" w:hAnsi="Open Sans Light" w:cs="Open Sans Light"/>
                <w:color w:val="000000"/>
                <w:sz w:val="14"/>
                <w:szCs w:val="14"/>
                <w:lang w:val="es-PE"/>
              </w:rPr>
            </w:pPr>
            <w:r w:rsidRPr="005E515E">
              <w:rPr>
                <w:rFonts w:ascii="Open Sans Light" w:eastAsia="Times New Roman" w:hAnsi="Open Sans Light" w:cs="Open Sans Light"/>
                <w:color w:val="000000"/>
                <w:sz w:val="14"/>
                <w:szCs w:val="14"/>
                <w:lang w:val="es-PE"/>
              </w:rPr>
              <w:t>OE 2</w:t>
            </w:r>
          </w:p>
        </w:tc>
        <w:tc>
          <w:tcPr>
            <w:tcW w:w="4120" w:type="dxa"/>
            <w:vMerge w:val="restart"/>
            <w:shd w:val="clear" w:color="auto" w:fill="auto"/>
            <w:noWrap/>
            <w:vAlign w:val="center"/>
          </w:tcPr>
          <w:p w14:paraId="2C4BAC27" w14:textId="1D0C082D" w:rsidR="005E515E" w:rsidRPr="005E515E" w:rsidRDefault="005E515E" w:rsidP="005E515E">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5. Niñas y niños de 6 a 11 años de edad acceden y concluyen en la edad normativa una educación primaria de calidad, intercultural, inclusiva, con cultura ambiental y libre de violencia</w:t>
            </w:r>
          </w:p>
        </w:tc>
        <w:tc>
          <w:tcPr>
            <w:tcW w:w="3864" w:type="dxa"/>
            <w:vMerge w:val="restart"/>
            <w:vAlign w:val="center"/>
          </w:tcPr>
          <w:p w14:paraId="6E180F22" w14:textId="71A2728C" w:rsidR="005E515E" w:rsidRPr="005E515E" w:rsidRDefault="005E515E" w:rsidP="005E515E">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El 70% de niñas y niños que cursan el segundo grado de primaria alcanza un nivel suficiente en comprensión de textos y matemática.</w:t>
            </w:r>
          </w:p>
        </w:tc>
        <w:tc>
          <w:tcPr>
            <w:tcW w:w="1333" w:type="dxa"/>
            <w:vMerge w:val="restart"/>
            <w:vAlign w:val="center"/>
          </w:tcPr>
          <w:p w14:paraId="03BF99CC" w14:textId="7DCFA483" w:rsidR="005E515E" w:rsidRPr="005E515E" w:rsidRDefault="005E515E" w:rsidP="005E515E">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Cuantificable</w:t>
            </w:r>
          </w:p>
        </w:tc>
        <w:tc>
          <w:tcPr>
            <w:tcW w:w="2682" w:type="dxa"/>
          </w:tcPr>
          <w:p w14:paraId="3FF57167" w14:textId="20808E4F" w:rsidR="005E515E" w:rsidRPr="005E515E" w:rsidRDefault="005E515E" w:rsidP="005E515E">
            <w:pPr>
              <w:spacing w:after="0" w:line="240" w:lineRule="auto"/>
              <w:rPr>
                <w:rFonts w:ascii="Open Sans Light" w:eastAsia="Arial Narrow" w:hAnsi="Open Sans Light" w:cs="Open Sans Light"/>
                <w:sz w:val="14"/>
                <w:szCs w:val="14"/>
              </w:rPr>
            </w:pPr>
            <w:r w:rsidRPr="005E515E">
              <w:rPr>
                <w:rFonts w:ascii="Open Sans Light" w:hAnsi="Open Sans Light" w:cs="Open Sans Light"/>
                <w:sz w:val="14"/>
                <w:szCs w:val="14"/>
              </w:rPr>
              <w:t>5.1. Porcentaje de niñas y niños que alcanzan suficiencia en el logro de las competencias de</w:t>
            </w:r>
            <w:r w:rsidR="008305F7">
              <w:rPr>
                <w:rFonts w:ascii="Open Sans Light" w:hAnsi="Open Sans Light" w:cs="Open Sans Light"/>
                <w:sz w:val="14"/>
                <w:szCs w:val="14"/>
              </w:rPr>
              <w:t xml:space="preserve"> c</w:t>
            </w:r>
            <w:r w:rsidRPr="005E515E">
              <w:rPr>
                <w:rFonts w:ascii="Open Sans Light" w:hAnsi="Open Sans Light" w:cs="Open Sans Light"/>
                <w:sz w:val="14"/>
                <w:szCs w:val="14"/>
              </w:rPr>
              <w:t>omprensión lectora en segundo grado</w:t>
            </w:r>
          </w:p>
        </w:tc>
        <w:tc>
          <w:tcPr>
            <w:tcW w:w="1136" w:type="dxa"/>
            <w:vAlign w:val="center"/>
          </w:tcPr>
          <w:p w14:paraId="08B30DEB" w14:textId="6A69CDD7" w:rsidR="005E515E" w:rsidRPr="005E515E" w:rsidRDefault="008305F7" w:rsidP="005E515E">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 xml:space="preserve">ECE - </w:t>
            </w:r>
            <w:r w:rsidR="00AB153E">
              <w:rPr>
                <w:rFonts w:ascii="Open Sans Light" w:eastAsia="Arial Narrow" w:hAnsi="Open Sans Light" w:cs="Open Sans Light"/>
                <w:sz w:val="14"/>
                <w:szCs w:val="14"/>
              </w:rPr>
              <w:t>MINEDU</w:t>
            </w:r>
          </w:p>
        </w:tc>
        <w:tc>
          <w:tcPr>
            <w:tcW w:w="1034" w:type="dxa"/>
            <w:vAlign w:val="center"/>
          </w:tcPr>
          <w:p w14:paraId="19733490" w14:textId="503500A6" w:rsidR="005E515E" w:rsidRPr="005E515E" w:rsidRDefault="00375E1D" w:rsidP="005E515E">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Regular</w:t>
            </w:r>
          </w:p>
        </w:tc>
      </w:tr>
      <w:tr w:rsidR="00155FD0" w:rsidRPr="005E515E" w14:paraId="145C291D" w14:textId="77777777" w:rsidTr="00D654C4">
        <w:trPr>
          <w:trHeight w:val="172"/>
          <w:jc w:val="center"/>
        </w:trPr>
        <w:tc>
          <w:tcPr>
            <w:tcW w:w="903" w:type="dxa"/>
            <w:vMerge/>
            <w:shd w:val="clear" w:color="auto" w:fill="auto"/>
            <w:noWrap/>
            <w:vAlign w:val="center"/>
          </w:tcPr>
          <w:p w14:paraId="4CFE4F6A" w14:textId="77777777" w:rsidR="005E515E" w:rsidRPr="005E515E" w:rsidRDefault="005E515E"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vMerge/>
            <w:shd w:val="clear" w:color="auto" w:fill="auto"/>
            <w:noWrap/>
            <w:vAlign w:val="center"/>
          </w:tcPr>
          <w:p w14:paraId="53396827" w14:textId="77777777" w:rsidR="005E515E" w:rsidRPr="005E515E" w:rsidRDefault="005E515E" w:rsidP="005E515E">
            <w:pPr>
              <w:spacing w:after="0" w:line="240" w:lineRule="auto"/>
              <w:rPr>
                <w:rFonts w:ascii="Open Sans Light" w:eastAsia="Arial Narrow" w:hAnsi="Open Sans Light" w:cs="Open Sans Light"/>
                <w:sz w:val="14"/>
                <w:szCs w:val="14"/>
              </w:rPr>
            </w:pPr>
          </w:p>
        </w:tc>
        <w:tc>
          <w:tcPr>
            <w:tcW w:w="3864" w:type="dxa"/>
            <w:vMerge/>
            <w:vAlign w:val="center"/>
          </w:tcPr>
          <w:p w14:paraId="5C5D876B" w14:textId="77777777" w:rsidR="005E515E" w:rsidRPr="005E515E" w:rsidRDefault="005E515E" w:rsidP="005E515E">
            <w:pPr>
              <w:spacing w:after="0" w:line="240" w:lineRule="auto"/>
              <w:rPr>
                <w:rFonts w:ascii="Open Sans Light" w:eastAsia="Arial Narrow" w:hAnsi="Open Sans Light" w:cs="Open Sans Light"/>
                <w:sz w:val="14"/>
                <w:szCs w:val="14"/>
              </w:rPr>
            </w:pPr>
          </w:p>
        </w:tc>
        <w:tc>
          <w:tcPr>
            <w:tcW w:w="1333" w:type="dxa"/>
            <w:vMerge/>
            <w:vAlign w:val="center"/>
          </w:tcPr>
          <w:p w14:paraId="0B20F941" w14:textId="77777777" w:rsidR="005E515E" w:rsidRPr="005E515E" w:rsidRDefault="005E515E" w:rsidP="005E515E">
            <w:pPr>
              <w:spacing w:after="0" w:line="240" w:lineRule="auto"/>
              <w:rPr>
                <w:rFonts w:ascii="Open Sans Light" w:eastAsia="Arial Narrow" w:hAnsi="Open Sans Light" w:cs="Open Sans Light"/>
                <w:sz w:val="14"/>
                <w:szCs w:val="14"/>
              </w:rPr>
            </w:pPr>
          </w:p>
        </w:tc>
        <w:tc>
          <w:tcPr>
            <w:tcW w:w="2682" w:type="dxa"/>
          </w:tcPr>
          <w:p w14:paraId="0B06DCE0" w14:textId="63065589" w:rsidR="005E515E" w:rsidRPr="005E515E" w:rsidRDefault="005E515E" w:rsidP="005E515E">
            <w:pPr>
              <w:spacing w:after="0" w:line="240" w:lineRule="auto"/>
              <w:rPr>
                <w:rFonts w:ascii="Open Sans Light" w:hAnsi="Open Sans Light" w:cs="Open Sans Light"/>
                <w:sz w:val="14"/>
                <w:szCs w:val="14"/>
              </w:rPr>
            </w:pPr>
            <w:r w:rsidRPr="005E515E">
              <w:rPr>
                <w:rFonts w:ascii="Open Sans Light" w:hAnsi="Open Sans Light" w:cs="Open Sans Light"/>
                <w:sz w:val="14"/>
                <w:szCs w:val="14"/>
              </w:rPr>
              <w:t>5.2. Porcentaje de niñas y niños que alcanzan suficiencia en el logro de las competencias de matemática en segundo grado</w:t>
            </w:r>
          </w:p>
        </w:tc>
        <w:tc>
          <w:tcPr>
            <w:tcW w:w="1136" w:type="dxa"/>
            <w:vAlign w:val="center"/>
          </w:tcPr>
          <w:p w14:paraId="215441F0" w14:textId="523CBA12" w:rsidR="005E515E" w:rsidRPr="005E515E" w:rsidRDefault="008305F7" w:rsidP="005E515E">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ECE - MINEDU</w:t>
            </w:r>
          </w:p>
        </w:tc>
        <w:tc>
          <w:tcPr>
            <w:tcW w:w="1034" w:type="dxa"/>
            <w:vAlign w:val="center"/>
          </w:tcPr>
          <w:p w14:paraId="38724F62" w14:textId="0CA3AE7C" w:rsidR="005E515E" w:rsidRPr="005E515E" w:rsidRDefault="00375E1D" w:rsidP="005E515E">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Regular</w:t>
            </w:r>
          </w:p>
        </w:tc>
      </w:tr>
      <w:tr w:rsidR="00155FD0" w:rsidRPr="005E515E" w14:paraId="3A7D0300" w14:textId="6F7E0023" w:rsidTr="00D654C4">
        <w:trPr>
          <w:trHeight w:val="172"/>
          <w:jc w:val="center"/>
        </w:trPr>
        <w:tc>
          <w:tcPr>
            <w:tcW w:w="903" w:type="dxa"/>
            <w:vMerge/>
            <w:shd w:val="clear" w:color="auto" w:fill="auto"/>
            <w:noWrap/>
            <w:vAlign w:val="center"/>
          </w:tcPr>
          <w:p w14:paraId="1E7DE379" w14:textId="77777777" w:rsidR="00C516FB" w:rsidRPr="005E515E" w:rsidRDefault="00C516FB"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5E8C54AC" w14:textId="01BAF156" w:rsidR="00C516FB" w:rsidRPr="005E515E" w:rsidRDefault="00C516FB" w:rsidP="00C516FB">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6. Niñas, niños y adolescentes se encuentran protegidos frente al trabajo infantil.</w:t>
            </w:r>
          </w:p>
        </w:tc>
        <w:tc>
          <w:tcPr>
            <w:tcW w:w="3864" w:type="dxa"/>
            <w:vAlign w:val="center"/>
          </w:tcPr>
          <w:p w14:paraId="489941C5" w14:textId="7BC92C68" w:rsidR="00C516FB" w:rsidRPr="005E515E" w:rsidRDefault="00C516FB" w:rsidP="00C516FB">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Erradicar el trabajo de niñas, niños y adolescentes con edades por debajo de la mínima.</w:t>
            </w:r>
          </w:p>
        </w:tc>
        <w:tc>
          <w:tcPr>
            <w:tcW w:w="1333" w:type="dxa"/>
            <w:vAlign w:val="center"/>
          </w:tcPr>
          <w:p w14:paraId="1AE27CC6" w14:textId="21E72B87" w:rsidR="00C516FB" w:rsidRPr="005E515E" w:rsidRDefault="00C516FB" w:rsidP="00C516FB">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39382EB0" w14:textId="41EAA1E7" w:rsidR="00C516FB" w:rsidRPr="005E515E" w:rsidRDefault="007F69BF" w:rsidP="00C516FB">
            <w:pPr>
              <w:spacing w:after="0" w:line="240" w:lineRule="auto"/>
              <w:rPr>
                <w:rFonts w:ascii="Open Sans Light" w:eastAsia="Arial Narrow" w:hAnsi="Open Sans Light" w:cs="Open Sans Light"/>
                <w:sz w:val="14"/>
                <w:szCs w:val="14"/>
              </w:rPr>
            </w:pPr>
            <w:r w:rsidRPr="00C516FB">
              <w:rPr>
                <w:rFonts w:ascii="Open Sans Light" w:eastAsia="Arial Narrow" w:hAnsi="Open Sans Light" w:cs="Open Sans Light"/>
                <w:sz w:val="14"/>
                <w:szCs w:val="14"/>
              </w:rPr>
              <w:t>6.1. Porcentaje de niñas, niños y adolescentes que trabajan por debajo de la edad mínima (5-13 años de edad).</w:t>
            </w:r>
          </w:p>
        </w:tc>
        <w:tc>
          <w:tcPr>
            <w:tcW w:w="1136" w:type="dxa"/>
            <w:vAlign w:val="center"/>
          </w:tcPr>
          <w:p w14:paraId="657B2903" w14:textId="2A22D26A" w:rsidR="00C516FB" w:rsidRPr="005E515E" w:rsidRDefault="00C516FB" w:rsidP="00C516FB">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ENAHO - INEI</w:t>
            </w:r>
          </w:p>
        </w:tc>
        <w:tc>
          <w:tcPr>
            <w:tcW w:w="1034" w:type="dxa"/>
            <w:vAlign w:val="center"/>
          </w:tcPr>
          <w:p w14:paraId="4FD82C42" w14:textId="6F5FEC67" w:rsidR="00C516FB" w:rsidRPr="005E515E" w:rsidRDefault="004337CC" w:rsidP="00C516FB">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Óptima</w:t>
            </w:r>
          </w:p>
        </w:tc>
      </w:tr>
      <w:tr w:rsidR="00155FD0" w:rsidRPr="005E515E" w14:paraId="2B4E1965" w14:textId="5D91DF7B" w:rsidTr="00D654C4">
        <w:trPr>
          <w:trHeight w:val="172"/>
          <w:jc w:val="center"/>
        </w:trPr>
        <w:tc>
          <w:tcPr>
            <w:tcW w:w="903" w:type="dxa"/>
            <w:vMerge w:val="restart"/>
            <w:shd w:val="clear" w:color="auto" w:fill="auto"/>
            <w:noWrap/>
            <w:vAlign w:val="center"/>
          </w:tcPr>
          <w:p w14:paraId="6D9287D2" w14:textId="20F4046C" w:rsidR="00395802" w:rsidRPr="005E515E" w:rsidRDefault="00395802" w:rsidP="00D654C4">
            <w:pPr>
              <w:spacing w:after="0" w:line="240" w:lineRule="auto"/>
              <w:jc w:val="center"/>
              <w:rPr>
                <w:rFonts w:ascii="Open Sans Light" w:eastAsia="Times New Roman" w:hAnsi="Open Sans Light" w:cs="Open Sans Light"/>
                <w:color w:val="000000"/>
                <w:sz w:val="14"/>
                <w:szCs w:val="14"/>
                <w:lang w:val="es-PE"/>
              </w:rPr>
            </w:pPr>
            <w:r w:rsidRPr="005E515E">
              <w:rPr>
                <w:rFonts w:ascii="Open Sans Light" w:eastAsia="Times New Roman" w:hAnsi="Open Sans Light" w:cs="Open Sans Light"/>
                <w:color w:val="000000"/>
                <w:sz w:val="14"/>
                <w:szCs w:val="14"/>
                <w:lang w:val="es-PE"/>
              </w:rPr>
              <w:t>OE 3</w:t>
            </w:r>
          </w:p>
        </w:tc>
        <w:tc>
          <w:tcPr>
            <w:tcW w:w="4120" w:type="dxa"/>
            <w:shd w:val="clear" w:color="auto" w:fill="auto"/>
            <w:noWrap/>
            <w:vAlign w:val="center"/>
          </w:tcPr>
          <w:p w14:paraId="297185BE" w14:textId="6FB98C83" w:rsidR="00395802" w:rsidRPr="005E515E" w:rsidRDefault="00395802"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7. Las y los adolescentes acceden y concluyen en la edad normativa una educación secundaria de calidad, intercultural, inclusiva, con cultura ambiental y libre de violencia.</w:t>
            </w:r>
          </w:p>
        </w:tc>
        <w:tc>
          <w:tcPr>
            <w:tcW w:w="3864" w:type="dxa"/>
            <w:vAlign w:val="center"/>
          </w:tcPr>
          <w:p w14:paraId="032486A5" w14:textId="3C5082BD" w:rsidR="00395802" w:rsidRPr="005E515E" w:rsidRDefault="00395802"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La mitad de las y los estudiantes peruanos con 15 años de edad alcanza el nivel 3 (más de 481 puntos) en comprensión lectora, matemáticas y ciencias evaluados con la prueba PISA.</w:t>
            </w:r>
          </w:p>
        </w:tc>
        <w:tc>
          <w:tcPr>
            <w:tcW w:w="1333" w:type="dxa"/>
            <w:vAlign w:val="center"/>
          </w:tcPr>
          <w:p w14:paraId="13DDA457" w14:textId="6E4CB0EF" w:rsidR="00395802" w:rsidRPr="005E515E" w:rsidRDefault="00395802" w:rsidP="00395802">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Cuantificable</w:t>
            </w:r>
          </w:p>
        </w:tc>
        <w:tc>
          <w:tcPr>
            <w:tcW w:w="2682" w:type="dxa"/>
            <w:vAlign w:val="center"/>
          </w:tcPr>
          <w:p w14:paraId="2F385D96" w14:textId="29AAAB5E" w:rsidR="00395802" w:rsidRPr="005E515E" w:rsidRDefault="00395802" w:rsidP="00395802">
            <w:pPr>
              <w:spacing w:after="0" w:line="240" w:lineRule="auto"/>
              <w:rPr>
                <w:rFonts w:ascii="Open Sans Light" w:eastAsia="Arial Narrow" w:hAnsi="Open Sans Light" w:cs="Open Sans Light"/>
                <w:sz w:val="14"/>
                <w:szCs w:val="14"/>
              </w:rPr>
            </w:pPr>
            <w:r w:rsidRPr="00C516FB">
              <w:rPr>
                <w:rFonts w:ascii="Open Sans Light" w:eastAsia="Arial Narrow" w:hAnsi="Open Sans Light" w:cs="Open Sans Light"/>
                <w:sz w:val="14"/>
                <w:szCs w:val="14"/>
              </w:rPr>
              <w:t>7.1. Resultado promedio de las y los estudiantes peruanos de 15 años de edad obtenidos en la prueba PISA, por materia evaluada.</w:t>
            </w:r>
          </w:p>
        </w:tc>
        <w:tc>
          <w:tcPr>
            <w:tcW w:w="1136" w:type="dxa"/>
            <w:vAlign w:val="center"/>
          </w:tcPr>
          <w:p w14:paraId="5F2C8CFD" w14:textId="1FD9378C" w:rsidR="00395802" w:rsidRPr="005E515E" w:rsidRDefault="005B5B41" w:rsidP="00395802">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PISA</w:t>
            </w:r>
          </w:p>
        </w:tc>
        <w:tc>
          <w:tcPr>
            <w:tcW w:w="1034" w:type="dxa"/>
            <w:vAlign w:val="center"/>
          </w:tcPr>
          <w:p w14:paraId="40375F27" w14:textId="31022286" w:rsidR="00395802" w:rsidRPr="005E515E" w:rsidRDefault="00375E1D" w:rsidP="00395802">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Regular</w:t>
            </w:r>
          </w:p>
        </w:tc>
      </w:tr>
      <w:tr w:rsidR="00155FD0" w:rsidRPr="005E515E" w14:paraId="6448F3B7" w14:textId="31CE7A58" w:rsidTr="00D654C4">
        <w:trPr>
          <w:trHeight w:val="172"/>
          <w:jc w:val="center"/>
        </w:trPr>
        <w:tc>
          <w:tcPr>
            <w:tcW w:w="903" w:type="dxa"/>
            <w:vMerge/>
            <w:shd w:val="clear" w:color="auto" w:fill="auto"/>
            <w:noWrap/>
            <w:vAlign w:val="center"/>
          </w:tcPr>
          <w:p w14:paraId="75609F71" w14:textId="77777777" w:rsidR="00395802" w:rsidRPr="005E515E" w:rsidRDefault="00395802"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16D1B45B" w14:textId="20EE4B1D" w:rsidR="00395802" w:rsidRPr="005E515E" w:rsidRDefault="00395802"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8. Las y los adolescentes se encuentran protegidos frente al trabajo peligroso.</w:t>
            </w:r>
          </w:p>
        </w:tc>
        <w:tc>
          <w:tcPr>
            <w:tcW w:w="3864" w:type="dxa"/>
            <w:vAlign w:val="center"/>
          </w:tcPr>
          <w:p w14:paraId="0600B5BE" w14:textId="70C4677B" w:rsidR="00395802" w:rsidRPr="005E515E" w:rsidRDefault="00395802"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Erradicar el trabajo peligroso realizado en adolescentes aún dentro de la edad laboral permitida.</w:t>
            </w:r>
          </w:p>
        </w:tc>
        <w:tc>
          <w:tcPr>
            <w:tcW w:w="1333" w:type="dxa"/>
            <w:vAlign w:val="center"/>
          </w:tcPr>
          <w:p w14:paraId="7887052C" w14:textId="0F2CA981" w:rsidR="00395802" w:rsidRPr="005E515E" w:rsidRDefault="00395802" w:rsidP="00395802">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Cuantificable</w:t>
            </w:r>
          </w:p>
        </w:tc>
        <w:tc>
          <w:tcPr>
            <w:tcW w:w="2682" w:type="dxa"/>
            <w:vAlign w:val="center"/>
          </w:tcPr>
          <w:p w14:paraId="6A007FF9" w14:textId="137CF8E3" w:rsidR="00395802" w:rsidRPr="005E515E" w:rsidRDefault="00395802" w:rsidP="00395802">
            <w:pPr>
              <w:spacing w:after="0" w:line="240" w:lineRule="auto"/>
              <w:rPr>
                <w:rFonts w:ascii="Open Sans Light" w:eastAsia="Arial Narrow" w:hAnsi="Open Sans Light" w:cs="Open Sans Light"/>
                <w:sz w:val="14"/>
                <w:szCs w:val="14"/>
              </w:rPr>
            </w:pPr>
            <w:r w:rsidRPr="00C516FB">
              <w:rPr>
                <w:rFonts w:ascii="Open Sans Light" w:eastAsia="Arial Narrow" w:hAnsi="Open Sans Light" w:cs="Open Sans Light"/>
                <w:sz w:val="14"/>
                <w:szCs w:val="14"/>
              </w:rPr>
              <w:t>8.1. Porcentaje de adolescentes dentro de la edad permitida que realizan trabajos peligrosos.</w:t>
            </w:r>
          </w:p>
        </w:tc>
        <w:tc>
          <w:tcPr>
            <w:tcW w:w="1136" w:type="dxa"/>
            <w:vAlign w:val="center"/>
          </w:tcPr>
          <w:p w14:paraId="37D21CDC" w14:textId="6A0E41B9" w:rsidR="00395802" w:rsidRPr="005E515E" w:rsidRDefault="005B5B41" w:rsidP="00395802">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ENAHO - INEI</w:t>
            </w:r>
          </w:p>
        </w:tc>
        <w:tc>
          <w:tcPr>
            <w:tcW w:w="1034" w:type="dxa"/>
            <w:vAlign w:val="center"/>
          </w:tcPr>
          <w:p w14:paraId="59384BC6" w14:textId="4D747A89" w:rsidR="00395802" w:rsidRPr="005E515E" w:rsidRDefault="004337CC" w:rsidP="00395802">
            <w:pPr>
              <w:spacing w:after="0" w:line="240" w:lineRule="auto"/>
              <w:jc w:val="center"/>
              <w:rPr>
                <w:rFonts w:ascii="Open Sans Light" w:eastAsia="Arial Narrow" w:hAnsi="Open Sans Light" w:cs="Open Sans Light"/>
                <w:sz w:val="14"/>
                <w:szCs w:val="14"/>
              </w:rPr>
            </w:pPr>
            <w:r>
              <w:rPr>
                <w:rFonts w:ascii="Open Sans Light" w:eastAsia="Arial Narrow" w:hAnsi="Open Sans Light" w:cs="Open Sans Light"/>
                <w:sz w:val="14"/>
                <w:szCs w:val="14"/>
              </w:rPr>
              <w:t>Óptima</w:t>
            </w:r>
          </w:p>
        </w:tc>
      </w:tr>
      <w:tr w:rsidR="00155FD0" w:rsidRPr="005E515E" w14:paraId="2510C4D6" w14:textId="39D2B340" w:rsidTr="00D654C4">
        <w:trPr>
          <w:trHeight w:val="172"/>
          <w:jc w:val="center"/>
        </w:trPr>
        <w:tc>
          <w:tcPr>
            <w:tcW w:w="903" w:type="dxa"/>
            <w:vMerge/>
            <w:shd w:val="clear" w:color="auto" w:fill="auto"/>
            <w:noWrap/>
            <w:vAlign w:val="center"/>
          </w:tcPr>
          <w:p w14:paraId="222F45DA" w14:textId="77777777" w:rsidR="00395802" w:rsidRPr="005E515E" w:rsidRDefault="00395802"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0A977ECF" w14:textId="39C2D29E" w:rsidR="00395802" w:rsidRPr="005E515E" w:rsidRDefault="00395802"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9. Las y los adolescentes postergan su maternidad y paternidad hasta alcanzar la edad adulta</w:t>
            </w:r>
          </w:p>
        </w:tc>
        <w:tc>
          <w:tcPr>
            <w:tcW w:w="3864" w:type="dxa"/>
            <w:vAlign w:val="center"/>
          </w:tcPr>
          <w:p w14:paraId="70E89108" w14:textId="0216D7D6" w:rsidR="00395802" w:rsidRPr="005E515E" w:rsidRDefault="00395802"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Reducir en un 20% el embarazo adolescente.</w:t>
            </w:r>
          </w:p>
        </w:tc>
        <w:tc>
          <w:tcPr>
            <w:tcW w:w="1333" w:type="dxa"/>
            <w:vAlign w:val="center"/>
          </w:tcPr>
          <w:p w14:paraId="76A02046" w14:textId="3F6F63E6" w:rsidR="00395802" w:rsidRPr="005E515E" w:rsidRDefault="00395802"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4160DFC3" w14:textId="3C64D7BC" w:rsidR="00395802" w:rsidRPr="005E515E" w:rsidRDefault="00395802" w:rsidP="00395802">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9.1. Porcentaje de mujeres (15- 19 años de edad) que ya son madres o están embarazadas por primera vez</w:t>
            </w:r>
          </w:p>
        </w:tc>
        <w:tc>
          <w:tcPr>
            <w:tcW w:w="1136" w:type="dxa"/>
            <w:vAlign w:val="center"/>
          </w:tcPr>
          <w:p w14:paraId="28BC16EF" w14:textId="01441EEB" w:rsidR="00395802" w:rsidRPr="005E515E" w:rsidRDefault="00A93236" w:rsidP="00395802">
            <w:pPr>
              <w:spacing w:after="0" w:line="240" w:lineRule="auto"/>
              <w:jc w:val="center"/>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ENDES – INEI</w:t>
            </w:r>
          </w:p>
        </w:tc>
        <w:tc>
          <w:tcPr>
            <w:tcW w:w="1034" w:type="dxa"/>
            <w:vAlign w:val="center"/>
          </w:tcPr>
          <w:p w14:paraId="633382BA" w14:textId="088DCA04" w:rsidR="00395802" w:rsidRPr="005E515E" w:rsidRDefault="004337CC" w:rsidP="00395802">
            <w:pPr>
              <w:spacing w:after="0" w:line="240" w:lineRule="auto"/>
              <w:jc w:val="center"/>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Óptima</w:t>
            </w:r>
          </w:p>
        </w:tc>
      </w:tr>
      <w:tr w:rsidR="009009F7" w:rsidRPr="005E515E" w14:paraId="1A6028A8" w14:textId="5F4A08D7" w:rsidTr="00D654C4">
        <w:trPr>
          <w:trHeight w:val="172"/>
          <w:jc w:val="center"/>
        </w:trPr>
        <w:tc>
          <w:tcPr>
            <w:tcW w:w="903" w:type="dxa"/>
            <w:vMerge/>
            <w:shd w:val="clear" w:color="auto" w:fill="auto"/>
            <w:noWrap/>
            <w:vAlign w:val="center"/>
          </w:tcPr>
          <w:p w14:paraId="3B889C90"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vMerge w:val="restart"/>
            <w:shd w:val="clear" w:color="auto" w:fill="auto"/>
            <w:noWrap/>
            <w:vAlign w:val="center"/>
          </w:tcPr>
          <w:p w14:paraId="02EB174F" w14:textId="4162D774" w:rsidR="009009F7" w:rsidRPr="005E515E" w:rsidRDefault="009009F7"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10. Las y los adolescentes disminuyen el consumo de drogas legales e ilegales.</w:t>
            </w:r>
          </w:p>
        </w:tc>
        <w:tc>
          <w:tcPr>
            <w:tcW w:w="3864" w:type="dxa"/>
            <w:vMerge w:val="restart"/>
            <w:vAlign w:val="center"/>
          </w:tcPr>
          <w:p w14:paraId="0FE9E0C2" w14:textId="07F04527" w:rsidR="009009F7" w:rsidRPr="005E515E" w:rsidRDefault="009009F7"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Se reduce en 5% la prevalencia anual del consumo de drogas legales e ilegales en la población escolar de secundaria</w:t>
            </w:r>
          </w:p>
        </w:tc>
        <w:tc>
          <w:tcPr>
            <w:tcW w:w="1333" w:type="dxa"/>
            <w:vMerge w:val="restart"/>
            <w:vAlign w:val="center"/>
          </w:tcPr>
          <w:p w14:paraId="5254263E" w14:textId="2F584493" w:rsidR="009009F7" w:rsidRPr="005E515E" w:rsidRDefault="009009F7" w:rsidP="00395802">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77DFC713" w14:textId="11BA1882" w:rsidR="009009F7" w:rsidRPr="005E515E" w:rsidRDefault="009009F7" w:rsidP="00395802">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 xml:space="preserve">10.1. Porcentaje de variación de prevalencia anual de consumo de drogas </w:t>
            </w:r>
            <w:r>
              <w:rPr>
                <w:rFonts w:ascii="Open Sans Light" w:eastAsia="Arial Narrow" w:hAnsi="Open Sans Light" w:cs="Open Sans Light"/>
                <w:sz w:val="14"/>
                <w:szCs w:val="14"/>
              </w:rPr>
              <w:t xml:space="preserve">legales </w:t>
            </w:r>
            <w:r w:rsidRPr="00C516FB">
              <w:rPr>
                <w:rFonts w:ascii="Open Sans Light" w:eastAsia="Arial Narrow" w:hAnsi="Open Sans Light" w:cs="Open Sans Light"/>
                <w:sz w:val="14"/>
                <w:szCs w:val="14"/>
              </w:rPr>
              <w:t>de vida en población escolar de secundaria de 12 a 17 años de edad en ciudades de más de 30 mil habitantes, por tipo.</w:t>
            </w:r>
          </w:p>
        </w:tc>
        <w:tc>
          <w:tcPr>
            <w:tcW w:w="1136" w:type="dxa"/>
            <w:vAlign w:val="center"/>
          </w:tcPr>
          <w:p w14:paraId="68C05A3D" w14:textId="3C7F18B9" w:rsidR="009009F7" w:rsidRPr="005E515E" w:rsidRDefault="009009F7" w:rsidP="00395802">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DEVIDA (Registros administrativos)</w:t>
            </w:r>
          </w:p>
        </w:tc>
        <w:tc>
          <w:tcPr>
            <w:tcW w:w="1034" w:type="dxa"/>
            <w:vAlign w:val="center"/>
          </w:tcPr>
          <w:p w14:paraId="36421106" w14:textId="635A4073" w:rsidR="009009F7" w:rsidRPr="005E515E" w:rsidRDefault="009009F7" w:rsidP="00395802">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Deficiente</w:t>
            </w:r>
          </w:p>
        </w:tc>
      </w:tr>
      <w:tr w:rsidR="009009F7" w:rsidRPr="005E515E" w14:paraId="3AE77EC7" w14:textId="77777777" w:rsidTr="00D654C4">
        <w:trPr>
          <w:trHeight w:val="172"/>
          <w:jc w:val="center"/>
        </w:trPr>
        <w:tc>
          <w:tcPr>
            <w:tcW w:w="903" w:type="dxa"/>
            <w:vMerge/>
            <w:shd w:val="clear" w:color="auto" w:fill="auto"/>
            <w:noWrap/>
            <w:vAlign w:val="center"/>
          </w:tcPr>
          <w:p w14:paraId="24192510"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vMerge/>
            <w:shd w:val="clear" w:color="auto" w:fill="auto"/>
            <w:noWrap/>
            <w:vAlign w:val="center"/>
          </w:tcPr>
          <w:p w14:paraId="73AFA855" w14:textId="77777777" w:rsidR="009009F7" w:rsidRPr="005E515E" w:rsidRDefault="009009F7" w:rsidP="009009F7">
            <w:pPr>
              <w:spacing w:after="0" w:line="240" w:lineRule="auto"/>
              <w:rPr>
                <w:rFonts w:ascii="Open Sans Light" w:eastAsia="Arial Narrow" w:hAnsi="Open Sans Light" w:cs="Open Sans Light"/>
                <w:sz w:val="14"/>
                <w:szCs w:val="14"/>
              </w:rPr>
            </w:pPr>
          </w:p>
        </w:tc>
        <w:tc>
          <w:tcPr>
            <w:tcW w:w="3864" w:type="dxa"/>
            <w:vMerge/>
            <w:vAlign w:val="center"/>
          </w:tcPr>
          <w:p w14:paraId="34D9B6B2" w14:textId="77777777" w:rsidR="009009F7" w:rsidRPr="005E515E" w:rsidRDefault="009009F7" w:rsidP="009009F7">
            <w:pPr>
              <w:spacing w:after="0" w:line="240" w:lineRule="auto"/>
              <w:rPr>
                <w:rFonts w:ascii="Open Sans Light" w:eastAsia="Arial Narrow" w:hAnsi="Open Sans Light" w:cs="Open Sans Light"/>
                <w:sz w:val="14"/>
                <w:szCs w:val="14"/>
              </w:rPr>
            </w:pPr>
          </w:p>
        </w:tc>
        <w:tc>
          <w:tcPr>
            <w:tcW w:w="1333" w:type="dxa"/>
            <w:vMerge/>
            <w:vAlign w:val="center"/>
          </w:tcPr>
          <w:p w14:paraId="1F42A135" w14:textId="7EE8E5B4" w:rsidR="009009F7" w:rsidRPr="005E515E" w:rsidRDefault="009009F7" w:rsidP="009009F7">
            <w:pPr>
              <w:spacing w:after="0" w:line="240" w:lineRule="auto"/>
              <w:rPr>
                <w:rFonts w:ascii="Open Sans Light" w:eastAsia="Arial Narrow" w:hAnsi="Open Sans Light" w:cs="Open Sans Light"/>
                <w:sz w:val="14"/>
                <w:szCs w:val="14"/>
              </w:rPr>
            </w:pPr>
          </w:p>
        </w:tc>
        <w:tc>
          <w:tcPr>
            <w:tcW w:w="2682" w:type="dxa"/>
            <w:vAlign w:val="center"/>
          </w:tcPr>
          <w:p w14:paraId="5A2F4039" w14:textId="7498FD9B" w:rsidR="009009F7" w:rsidRPr="00C516FB" w:rsidRDefault="009009F7" w:rsidP="009009F7">
            <w:pPr>
              <w:spacing w:after="0" w:line="240" w:lineRule="auto"/>
              <w:rPr>
                <w:rFonts w:ascii="Open Sans Light" w:eastAsia="Arial Narrow" w:hAnsi="Open Sans Light" w:cs="Open Sans Light"/>
                <w:sz w:val="14"/>
                <w:szCs w:val="14"/>
              </w:rPr>
            </w:pPr>
            <w:r w:rsidRPr="00C516FB">
              <w:rPr>
                <w:rFonts w:ascii="Open Sans Light" w:eastAsia="Arial Narrow" w:hAnsi="Open Sans Light" w:cs="Open Sans Light"/>
                <w:sz w:val="14"/>
                <w:szCs w:val="14"/>
              </w:rPr>
              <w:t>10.1. Porcentaje de variación de prevalencia anual de consumo de drogas</w:t>
            </w:r>
            <w:r>
              <w:rPr>
                <w:rFonts w:ascii="Open Sans Light" w:eastAsia="Arial Narrow" w:hAnsi="Open Sans Light" w:cs="Open Sans Light"/>
                <w:sz w:val="14"/>
                <w:szCs w:val="14"/>
              </w:rPr>
              <w:t xml:space="preserve"> ilegales</w:t>
            </w:r>
            <w:r w:rsidRPr="00C516FB">
              <w:rPr>
                <w:rFonts w:ascii="Open Sans Light" w:eastAsia="Arial Narrow" w:hAnsi="Open Sans Light" w:cs="Open Sans Light"/>
                <w:sz w:val="14"/>
                <w:szCs w:val="14"/>
              </w:rPr>
              <w:t xml:space="preserve"> de vida en población escolar de secundaria de 12 a 17 años de edad en ciudades de más de 30 mil habitantes, por tipo.</w:t>
            </w:r>
          </w:p>
        </w:tc>
        <w:tc>
          <w:tcPr>
            <w:tcW w:w="1136" w:type="dxa"/>
            <w:vAlign w:val="center"/>
          </w:tcPr>
          <w:p w14:paraId="61BFBFF8" w14:textId="359C9ECF" w:rsidR="009009F7"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DEVIDA (Registros administrativos)</w:t>
            </w:r>
          </w:p>
        </w:tc>
        <w:tc>
          <w:tcPr>
            <w:tcW w:w="1034" w:type="dxa"/>
            <w:vAlign w:val="center"/>
          </w:tcPr>
          <w:p w14:paraId="14347133" w14:textId="548539F3" w:rsidR="009009F7"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Deficiente</w:t>
            </w:r>
          </w:p>
        </w:tc>
      </w:tr>
      <w:tr w:rsidR="009009F7" w:rsidRPr="005E515E" w14:paraId="73FE7A9F" w14:textId="4302ABC7" w:rsidTr="00D654C4">
        <w:trPr>
          <w:trHeight w:val="172"/>
          <w:jc w:val="center"/>
        </w:trPr>
        <w:tc>
          <w:tcPr>
            <w:tcW w:w="903" w:type="dxa"/>
            <w:vMerge/>
            <w:shd w:val="clear" w:color="auto" w:fill="auto"/>
            <w:noWrap/>
            <w:vAlign w:val="center"/>
          </w:tcPr>
          <w:p w14:paraId="3584234F"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294B6AFD" w14:textId="7F362428"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11. Las y los adolescentes involucrados en conflictos con la ley penal disminuyen.</w:t>
            </w:r>
          </w:p>
        </w:tc>
        <w:tc>
          <w:tcPr>
            <w:tcW w:w="3864" w:type="dxa"/>
            <w:vAlign w:val="center"/>
          </w:tcPr>
          <w:p w14:paraId="4D5424DB" w14:textId="5B1610EF"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Reducir la tasa de adolescentes que se encuentran en conflicto con la Ley Penal.</w:t>
            </w:r>
          </w:p>
        </w:tc>
        <w:tc>
          <w:tcPr>
            <w:tcW w:w="1333" w:type="dxa"/>
            <w:vAlign w:val="center"/>
          </w:tcPr>
          <w:p w14:paraId="3016C132" w14:textId="7A050663"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No cuantificable</w:t>
            </w:r>
          </w:p>
        </w:tc>
        <w:tc>
          <w:tcPr>
            <w:tcW w:w="2682" w:type="dxa"/>
            <w:vAlign w:val="center"/>
          </w:tcPr>
          <w:p w14:paraId="3BF14E24" w14:textId="54EAC2B9"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11.1. Tasa de expedientes ingresados a las fiscalías de familia y/o mixtas por infracción de la Ley Penal por cada 100 mil habitantes entre 14 y 17 años de edad.</w:t>
            </w:r>
          </w:p>
        </w:tc>
        <w:tc>
          <w:tcPr>
            <w:tcW w:w="1136" w:type="dxa"/>
            <w:vAlign w:val="center"/>
          </w:tcPr>
          <w:p w14:paraId="570E1F7D" w14:textId="382CFD01"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MP – FN (Registros administrativos)</w:t>
            </w:r>
          </w:p>
        </w:tc>
        <w:tc>
          <w:tcPr>
            <w:tcW w:w="1034" w:type="dxa"/>
            <w:vAlign w:val="center"/>
          </w:tcPr>
          <w:p w14:paraId="5884D8EB" w14:textId="6F6BFAD9"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Deficiente</w:t>
            </w:r>
          </w:p>
        </w:tc>
      </w:tr>
      <w:tr w:rsidR="009009F7" w:rsidRPr="005E515E" w14:paraId="39EF73B0" w14:textId="335768A6" w:rsidTr="00D654C4">
        <w:trPr>
          <w:trHeight w:val="172"/>
          <w:jc w:val="center"/>
        </w:trPr>
        <w:tc>
          <w:tcPr>
            <w:tcW w:w="903" w:type="dxa"/>
            <w:vMerge/>
            <w:shd w:val="clear" w:color="auto" w:fill="auto"/>
            <w:noWrap/>
            <w:vAlign w:val="center"/>
          </w:tcPr>
          <w:p w14:paraId="680D629C"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648CD808" w14:textId="78948B25"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12. Se reduce la infección de VIH y SIDA en las y los adolescentes.</w:t>
            </w:r>
          </w:p>
        </w:tc>
        <w:tc>
          <w:tcPr>
            <w:tcW w:w="3864" w:type="dxa"/>
            <w:vAlign w:val="center"/>
          </w:tcPr>
          <w:p w14:paraId="0A489130" w14:textId="75AB00FA"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100% de adolescentes con diagnóstico de VIH reciben el tratamiento de forma gratuita, oportuna y continua.</w:t>
            </w:r>
          </w:p>
        </w:tc>
        <w:tc>
          <w:tcPr>
            <w:tcW w:w="1333" w:type="dxa"/>
            <w:vAlign w:val="center"/>
          </w:tcPr>
          <w:p w14:paraId="1CF68F98" w14:textId="143F24A4"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69366715" w14:textId="4D3D2865"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12.2. Porcentaje de adolescentes con diagnóstico de VIH reciben el tratamiento de forma gratuita oportuna y continua.</w:t>
            </w:r>
          </w:p>
        </w:tc>
        <w:tc>
          <w:tcPr>
            <w:tcW w:w="1136" w:type="dxa"/>
            <w:vAlign w:val="center"/>
          </w:tcPr>
          <w:p w14:paraId="38DF2CCC" w14:textId="7B4C2F23"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MINSA (Registros administrativos)</w:t>
            </w:r>
          </w:p>
        </w:tc>
        <w:tc>
          <w:tcPr>
            <w:tcW w:w="1034" w:type="dxa"/>
            <w:vAlign w:val="center"/>
          </w:tcPr>
          <w:p w14:paraId="3B567F39" w14:textId="1DCF0F5D"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Deficiente</w:t>
            </w:r>
          </w:p>
        </w:tc>
      </w:tr>
      <w:tr w:rsidR="009009F7" w:rsidRPr="005E515E" w14:paraId="234FBC6A" w14:textId="1469766B" w:rsidTr="00D654C4">
        <w:trPr>
          <w:trHeight w:val="172"/>
          <w:jc w:val="center"/>
        </w:trPr>
        <w:tc>
          <w:tcPr>
            <w:tcW w:w="903" w:type="dxa"/>
            <w:vMerge/>
            <w:shd w:val="clear" w:color="auto" w:fill="auto"/>
            <w:noWrap/>
            <w:vAlign w:val="center"/>
          </w:tcPr>
          <w:p w14:paraId="678258F7"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0E9BF4F8" w14:textId="3C515E72"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13. Las y los adolescentes acceden a una atención de salud de calidad y con pertinencia cultural.</w:t>
            </w:r>
          </w:p>
        </w:tc>
        <w:tc>
          <w:tcPr>
            <w:tcW w:w="3864" w:type="dxa"/>
            <w:vAlign w:val="center"/>
          </w:tcPr>
          <w:p w14:paraId="10117D87" w14:textId="18A11D59"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Incrementar la atención integral y diferenciada de las y los adolescentes</w:t>
            </w:r>
          </w:p>
        </w:tc>
        <w:tc>
          <w:tcPr>
            <w:tcW w:w="1333" w:type="dxa"/>
            <w:vAlign w:val="center"/>
          </w:tcPr>
          <w:p w14:paraId="0A0956B3" w14:textId="64519689"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No cuantificable</w:t>
            </w:r>
          </w:p>
        </w:tc>
        <w:tc>
          <w:tcPr>
            <w:tcW w:w="2682" w:type="dxa"/>
            <w:vAlign w:val="center"/>
          </w:tcPr>
          <w:p w14:paraId="0EB74CE9" w14:textId="298CB57D"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13.2. Prevalencia de anemia en mujeres de 15 a 19 años de edad</w:t>
            </w:r>
          </w:p>
        </w:tc>
        <w:tc>
          <w:tcPr>
            <w:tcW w:w="1136" w:type="dxa"/>
            <w:vAlign w:val="center"/>
          </w:tcPr>
          <w:p w14:paraId="66AFBC81" w14:textId="29CA6FC0"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ENDES – INEI</w:t>
            </w:r>
          </w:p>
        </w:tc>
        <w:tc>
          <w:tcPr>
            <w:tcW w:w="1034" w:type="dxa"/>
            <w:vAlign w:val="center"/>
          </w:tcPr>
          <w:p w14:paraId="2CF0B0E7" w14:textId="433323C6"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Óptima</w:t>
            </w:r>
          </w:p>
        </w:tc>
      </w:tr>
      <w:tr w:rsidR="009009F7" w:rsidRPr="005E515E" w14:paraId="0C09D2AA" w14:textId="738B145E" w:rsidTr="00D654C4">
        <w:trPr>
          <w:trHeight w:val="172"/>
          <w:jc w:val="center"/>
        </w:trPr>
        <w:tc>
          <w:tcPr>
            <w:tcW w:w="903" w:type="dxa"/>
            <w:vMerge/>
            <w:shd w:val="clear" w:color="auto" w:fill="auto"/>
            <w:noWrap/>
            <w:vAlign w:val="center"/>
          </w:tcPr>
          <w:p w14:paraId="64A80049"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1C1FD17B" w14:textId="77EFA251"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14. Las y los adolescentes no son objeto de explotación sexual.</w:t>
            </w:r>
          </w:p>
        </w:tc>
        <w:tc>
          <w:tcPr>
            <w:tcW w:w="3864" w:type="dxa"/>
            <w:vAlign w:val="center"/>
          </w:tcPr>
          <w:p w14:paraId="0BB410D0" w14:textId="3F32E61A"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 xml:space="preserve">Disminuir el número de niñas, niños y adolescentes que se encuentran en situación de explotación sexual. </w:t>
            </w:r>
          </w:p>
        </w:tc>
        <w:tc>
          <w:tcPr>
            <w:tcW w:w="1333" w:type="dxa"/>
            <w:vAlign w:val="center"/>
          </w:tcPr>
          <w:p w14:paraId="15F5A6B9" w14:textId="3352A27F"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No cuantificable</w:t>
            </w:r>
          </w:p>
        </w:tc>
        <w:tc>
          <w:tcPr>
            <w:tcW w:w="2682" w:type="dxa"/>
            <w:vAlign w:val="center"/>
          </w:tcPr>
          <w:p w14:paraId="344B3832" w14:textId="40ACFD2B"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 xml:space="preserve">14. </w:t>
            </w:r>
            <w:r w:rsidRPr="00C516FB">
              <w:rPr>
                <w:rFonts w:ascii="Open Sans Light" w:eastAsia="Arial Narrow" w:hAnsi="Open Sans Light" w:cs="Open Sans Light"/>
                <w:sz w:val="14"/>
                <w:szCs w:val="14"/>
              </w:rPr>
              <w:t>Porcentaje de denuncias ingresadas al Ministerio Público por casos de explotación sexual en NNA</w:t>
            </w:r>
          </w:p>
        </w:tc>
        <w:tc>
          <w:tcPr>
            <w:tcW w:w="1136" w:type="dxa"/>
            <w:vAlign w:val="center"/>
          </w:tcPr>
          <w:p w14:paraId="01A887FA" w14:textId="59CAF449"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MP – FN (Registros administrativos)</w:t>
            </w:r>
          </w:p>
        </w:tc>
        <w:tc>
          <w:tcPr>
            <w:tcW w:w="1034" w:type="dxa"/>
            <w:vAlign w:val="center"/>
          </w:tcPr>
          <w:p w14:paraId="39995A6D" w14:textId="124F7251"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Deficiente</w:t>
            </w:r>
          </w:p>
        </w:tc>
      </w:tr>
      <w:tr w:rsidR="009009F7" w:rsidRPr="005E515E" w14:paraId="6ECDCF50" w14:textId="783C9F8F" w:rsidTr="00D654C4">
        <w:trPr>
          <w:trHeight w:val="172"/>
          <w:jc w:val="center"/>
        </w:trPr>
        <w:tc>
          <w:tcPr>
            <w:tcW w:w="903" w:type="dxa"/>
            <w:vMerge w:val="restart"/>
            <w:shd w:val="clear" w:color="auto" w:fill="auto"/>
            <w:noWrap/>
            <w:vAlign w:val="center"/>
          </w:tcPr>
          <w:p w14:paraId="40532E7C" w14:textId="223E117B"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r w:rsidRPr="005E515E">
              <w:rPr>
                <w:rFonts w:ascii="Open Sans Light" w:eastAsia="Times New Roman" w:hAnsi="Open Sans Light" w:cs="Open Sans Light"/>
                <w:color w:val="000000"/>
                <w:sz w:val="14"/>
                <w:szCs w:val="14"/>
                <w:lang w:val="es-PE"/>
              </w:rPr>
              <w:t>OE 4</w:t>
            </w:r>
          </w:p>
        </w:tc>
        <w:tc>
          <w:tcPr>
            <w:tcW w:w="4120" w:type="dxa"/>
            <w:shd w:val="clear" w:color="auto" w:fill="auto"/>
            <w:noWrap/>
            <w:vAlign w:val="center"/>
          </w:tcPr>
          <w:p w14:paraId="522B31EC" w14:textId="0C1F4BB4"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15. Niñas, niños y adolescentes tienen asegurado el derecho al nombre y a la identidad de manera universal y oportuna.</w:t>
            </w:r>
          </w:p>
        </w:tc>
        <w:tc>
          <w:tcPr>
            <w:tcW w:w="3864" w:type="dxa"/>
            <w:vAlign w:val="center"/>
          </w:tcPr>
          <w:p w14:paraId="5E2713A2" w14:textId="27A80113"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Se universaliza el uso del DNI para las niñas, niños y adolescentes.</w:t>
            </w:r>
          </w:p>
        </w:tc>
        <w:tc>
          <w:tcPr>
            <w:tcW w:w="1333" w:type="dxa"/>
            <w:vAlign w:val="center"/>
          </w:tcPr>
          <w:p w14:paraId="1C291315" w14:textId="636191E9"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3D7A8A54" w14:textId="30A653FC"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15.1. Porcentaje de niñas, niños y adolescentes de 0 a 17 años de edad que cuentan DNI</w:t>
            </w:r>
          </w:p>
        </w:tc>
        <w:tc>
          <w:tcPr>
            <w:tcW w:w="1136" w:type="dxa"/>
            <w:vAlign w:val="center"/>
          </w:tcPr>
          <w:p w14:paraId="7A85A14D" w14:textId="0817B95F"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ENAPRES – INEI</w:t>
            </w:r>
          </w:p>
        </w:tc>
        <w:tc>
          <w:tcPr>
            <w:tcW w:w="1034" w:type="dxa"/>
            <w:vAlign w:val="center"/>
          </w:tcPr>
          <w:p w14:paraId="48C21F8B" w14:textId="4DED6F4A"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Óptima</w:t>
            </w:r>
          </w:p>
        </w:tc>
      </w:tr>
      <w:tr w:rsidR="009009F7" w:rsidRPr="005E515E" w14:paraId="030FB371" w14:textId="487609B6" w:rsidTr="00D654C4">
        <w:trPr>
          <w:trHeight w:val="172"/>
          <w:jc w:val="center"/>
        </w:trPr>
        <w:tc>
          <w:tcPr>
            <w:tcW w:w="903" w:type="dxa"/>
            <w:vMerge/>
            <w:shd w:val="clear" w:color="auto" w:fill="auto"/>
            <w:noWrap/>
            <w:vAlign w:val="center"/>
          </w:tcPr>
          <w:p w14:paraId="289600FC"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vMerge w:val="restart"/>
            <w:shd w:val="clear" w:color="auto" w:fill="auto"/>
            <w:noWrap/>
            <w:vAlign w:val="center"/>
          </w:tcPr>
          <w:p w14:paraId="1DB08A82" w14:textId="733DF0B8"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16. Niñas, niños y adolescentes con discapacidad acceden a servicios especializados de educación y salud.</w:t>
            </w:r>
          </w:p>
        </w:tc>
        <w:tc>
          <w:tcPr>
            <w:tcW w:w="3864" w:type="dxa"/>
            <w:vAlign w:val="center"/>
          </w:tcPr>
          <w:p w14:paraId="18BE513B" w14:textId="2A48B33D"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Se reduce la deserción escolar de niñas, niños y adolescentes con discapacidad que asisten a los Centros de Educación Básica Especial.</w:t>
            </w:r>
          </w:p>
        </w:tc>
        <w:tc>
          <w:tcPr>
            <w:tcW w:w="1333" w:type="dxa"/>
            <w:vAlign w:val="center"/>
          </w:tcPr>
          <w:p w14:paraId="583EFA28" w14:textId="3614E4B6"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No cuantificable</w:t>
            </w:r>
          </w:p>
        </w:tc>
        <w:tc>
          <w:tcPr>
            <w:tcW w:w="2682" w:type="dxa"/>
            <w:vAlign w:val="center"/>
          </w:tcPr>
          <w:p w14:paraId="2CAD93F4" w14:textId="77F0BE2A"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16.1.  Porcentaje de niñas, niños y adolescentes con discapacidad que culminan el año lectivo en los Centros de Educación Básica Especial.</w:t>
            </w:r>
          </w:p>
        </w:tc>
        <w:tc>
          <w:tcPr>
            <w:tcW w:w="1136" w:type="dxa"/>
            <w:vAlign w:val="center"/>
          </w:tcPr>
          <w:p w14:paraId="6235AD49" w14:textId="1984A3AE"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MINEDU (Registros administrativos)</w:t>
            </w:r>
          </w:p>
        </w:tc>
        <w:tc>
          <w:tcPr>
            <w:tcW w:w="1034" w:type="dxa"/>
            <w:vAlign w:val="center"/>
          </w:tcPr>
          <w:p w14:paraId="735F6CD2" w14:textId="75B90BFE"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Deficiente</w:t>
            </w:r>
          </w:p>
        </w:tc>
      </w:tr>
      <w:tr w:rsidR="009009F7" w:rsidRPr="005E515E" w14:paraId="3526DA4F" w14:textId="2A28618C" w:rsidTr="00D654C4">
        <w:trPr>
          <w:trHeight w:val="172"/>
          <w:jc w:val="center"/>
        </w:trPr>
        <w:tc>
          <w:tcPr>
            <w:tcW w:w="903" w:type="dxa"/>
            <w:vMerge/>
            <w:shd w:val="clear" w:color="auto" w:fill="auto"/>
            <w:noWrap/>
            <w:vAlign w:val="center"/>
          </w:tcPr>
          <w:p w14:paraId="232696CF"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vMerge/>
            <w:shd w:val="clear" w:color="auto" w:fill="auto"/>
            <w:noWrap/>
            <w:vAlign w:val="center"/>
          </w:tcPr>
          <w:p w14:paraId="1A744A62" w14:textId="77777777"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p>
        </w:tc>
        <w:tc>
          <w:tcPr>
            <w:tcW w:w="3864" w:type="dxa"/>
            <w:vAlign w:val="center"/>
          </w:tcPr>
          <w:p w14:paraId="7A565A81" w14:textId="4210F052"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Se incrementa el porcentaje de niñas y niños con alguna discapacidad, detectados y atendidos por los Establecimientos de Salud (EESS) durante los tres primeros años de vida.</w:t>
            </w:r>
          </w:p>
        </w:tc>
        <w:tc>
          <w:tcPr>
            <w:tcW w:w="1333" w:type="dxa"/>
            <w:vAlign w:val="center"/>
          </w:tcPr>
          <w:p w14:paraId="5DDAFCF3" w14:textId="5895AC20"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No cuantificable</w:t>
            </w:r>
          </w:p>
        </w:tc>
        <w:tc>
          <w:tcPr>
            <w:tcW w:w="2682" w:type="dxa"/>
            <w:vAlign w:val="center"/>
          </w:tcPr>
          <w:p w14:paraId="0359B167" w14:textId="46A5C563"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16.2. Porcentaje de niñas y niños con discapacidad detectados oportunamente en los Establecimientos de Salud antes de los tres años de edad.</w:t>
            </w:r>
          </w:p>
        </w:tc>
        <w:tc>
          <w:tcPr>
            <w:tcW w:w="1136" w:type="dxa"/>
            <w:vAlign w:val="center"/>
          </w:tcPr>
          <w:p w14:paraId="08DC64C5" w14:textId="68870910"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MINSA (Registros administrativos)</w:t>
            </w:r>
          </w:p>
        </w:tc>
        <w:tc>
          <w:tcPr>
            <w:tcW w:w="1034" w:type="dxa"/>
            <w:vAlign w:val="center"/>
          </w:tcPr>
          <w:p w14:paraId="6A330D5A" w14:textId="7CD97676"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Deficiente</w:t>
            </w:r>
          </w:p>
        </w:tc>
      </w:tr>
      <w:tr w:rsidR="009009F7" w:rsidRPr="005E515E" w14:paraId="5E89CB2C" w14:textId="0A3F4057" w:rsidTr="00D654C4">
        <w:trPr>
          <w:trHeight w:val="172"/>
          <w:jc w:val="center"/>
        </w:trPr>
        <w:tc>
          <w:tcPr>
            <w:tcW w:w="903" w:type="dxa"/>
            <w:vMerge/>
            <w:shd w:val="clear" w:color="auto" w:fill="auto"/>
            <w:noWrap/>
            <w:vAlign w:val="center"/>
          </w:tcPr>
          <w:p w14:paraId="0C490D72"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69958FF9" w14:textId="1EE0465E"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17. Niñas, niños y adolescentes están protegidos integralmente ante situaciones de trata (sexual, laboral, mendicidad).</w:t>
            </w:r>
          </w:p>
        </w:tc>
        <w:tc>
          <w:tcPr>
            <w:tcW w:w="3864" w:type="dxa"/>
            <w:vAlign w:val="center"/>
          </w:tcPr>
          <w:p w14:paraId="29C14130" w14:textId="1CF8500E"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Disminuye el número de casos de niñas, niños y adolescentes víctimas de situaciones de trata de personas.</w:t>
            </w:r>
          </w:p>
        </w:tc>
        <w:tc>
          <w:tcPr>
            <w:tcW w:w="1333" w:type="dxa"/>
            <w:vAlign w:val="center"/>
          </w:tcPr>
          <w:p w14:paraId="75EEA055" w14:textId="31B97CDC"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No cuantificable</w:t>
            </w:r>
          </w:p>
        </w:tc>
        <w:tc>
          <w:tcPr>
            <w:tcW w:w="2682" w:type="dxa"/>
            <w:vAlign w:val="center"/>
          </w:tcPr>
          <w:p w14:paraId="7E511E68" w14:textId="60924B84"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17.1. Número de niñas, niños y adolescentes que son víctimas de trata de personas.</w:t>
            </w:r>
          </w:p>
        </w:tc>
        <w:tc>
          <w:tcPr>
            <w:tcW w:w="1136" w:type="dxa"/>
            <w:vAlign w:val="center"/>
          </w:tcPr>
          <w:p w14:paraId="0A15C094" w14:textId="0F0A1B87"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MININTER (Registros administrativos)</w:t>
            </w:r>
          </w:p>
        </w:tc>
        <w:tc>
          <w:tcPr>
            <w:tcW w:w="1034" w:type="dxa"/>
            <w:vAlign w:val="center"/>
          </w:tcPr>
          <w:p w14:paraId="3793FB6F" w14:textId="5F5FACAD"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sidRPr="008B57AB">
              <w:rPr>
                <w:rFonts w:ascii="Open Sans Light" w:eastAsia="Times New Roman" w:hAnsi="Open Sans Light" w:cs="Open Sans Light"/>
                <w:color w:val="000000"/>
                <w:sz w:val="14"/>
                <w:szCs w:val="14"/>
                <w:lang w:val="es-PE"/>
              </w:rPr>
              <w:t>Deficiente</w:t>
            </w:r>
          </w:p>
        </w:tc>
      </w:tr>
      <w:tr w:rsidR="009009F7" w:rsidRPr="005E515E" w14:paraId="43B0C901" w14:textId="5589B08C" w:rsidTr="00D654C4">
        <w:trPr>
          <w:trHeight w:val="172"/>
          <w:jc w:val="center"/>
        </w:trPr>
        <w:tc>
          <w:tcPr>
            <w:tcW w:w="903" w:type="dxa"/>
            <w:vMerge/>
            <w:shd w:val="clear" w:color="auto" w:fill="auto"/>
            <w:noWrap/>
            <w:vAlign w:val="center"/>
          </w:tcPr>
          <w:p w14:paraId="7FB5FD07"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vMerge w:val="restart"/>
            <w:shd w:val="clear" w:color="auto" w:fill="auto"/>
            <w:noWrap/>
            <w:vAlign w:val="center"/>
          </w:tcPr>
          <w:p w14:paraId="03B8F54D" w14:textId="7D23DCA2"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18. Niñas, niños y adolescentes participan en el ciclo de políticas públicas que les involucran o interesan.</w:t>
            </w:r>
          </w:p>
        </w:tc>
        <w:tc>
          <w:tcPr>
            <w:tcW w:w="3864" w:type="dxa"/>
            <w:vMerge w:val="restart"/>
            <w:vAlign w:val="center"/>
          </w:tcPr>
          <w:p w14:paraId="69A732E8" w14:textId="63D431DA"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Niñas, niños y adolescentes participan en el ciclo de políticas públicas en temas que les involucran o interesan en el 75% de los gobiernos locales.</w:t>
            </w:r>
          </w:p>
        </w:tc>
        <w:tc>
          <w:tcPr>
            <w:tcW w:w="1333" w:type="dxa"/>
            <w:vMerge w:val="restart"/>
            <w:vAlign w:val="center"/>
          </w:tcPr>
          <w:p w14:paraId="4E58E75D" w14:textId="5FF46716"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74DB7CF5" w14:textId="6767FE03"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18.1 Porcentaje de gobiernos locales donde participan niñas, niños y adolescentes en el ciclo de políticas públicas en temas que les involucran o interesan</w:t>
            </w:r>
          </w:p>
        </w:tc>
        <w:tc>
          <w:tcPr>
            <w:tcW w:w="1136" w:type="dxa"/>
            <w:vAlign w:val="center"/>
          </w:tcPr>
          <w:p w14:paraId="310951D9" w14:textId="52C74451"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MIMP (Registros administrativos)</w:t>
            </w:r>
          </w:p>
        </w:tc>
        <w:tc>
          <w:tcPr>
            <w:tcW w:w="1034" w:type="dxa"/>
            <w:vAlign w:val="center"/>
          </w:tcPr>
          <w:p w14:paraId="1E46DDE0" w14:textId="7E1F2C34"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Regular</w:t>
            </w:r>
          </w:p>
        </w:tc>
      </w:tr>
      <w:tr w:rsidR="009009F7" w:rsidRPr="005E515E" w14:paraId="344F5049" w14:textId="77777777" w:rsidTr="00D654C4">
        <w:trPr>
          <w:trHeight w:val="172"/>
          <w:jc w:val="center"/>
        </w:trPr>
        <w:tc>
          <w:tcPr>
            <w:tcW w:w="903" w:type="dxa"/>
            <w:vMerge/>
            <w:shd w:val="clear" w:color="auto" w:fill="auto"/>
            <w:noWrap/>
            <w:vAlign w:val="center"/>
          </w:tcPr>
          <w:p w14:paraId="3624649F"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vMerge/>
            <w:shd w:val="clear" w:color="auto" w:fill="auto"/>
            <w:noWrap/>
            <w:vAlign w:val="center"/>
          </w:tcPr>
          <w:p w14:paraId="2D35019A" w14:textId="77777777" w:rsidR="009009F7" w:rsidRPr="005E515E" w:rsidRDefault="009009F7" w:rsidP="009009F7">
            <w:pPr>
              <w:spacing w:after="0" w:line="240" w:lineRule="auto"/>
              <w:rPr>
                <w:rFonts w:ascii="Open Sans Light" w:eastAsia="Arial Narrow" w:hAnsi="Open Sans Light" w:cs="Open Sans Light"/>
                <w:sz w:val="14"/>
                <w:szCs w:val="14"/>
              </w:rPr>
            </w:pPr>
          </w:p>
        </w:tc>
        <w:tc>
          <w:tcPr>
            <w:tcW w:w="3864" w:type="dxa"/>
            <w:vMerge/>
            <w:vAlign w:val="center"/>
          </w:tcPr>
          <w:p w14:paraId="658B429D" w14:textId="77777777" w:rsidR="009009F7" w:rsidRPr="005E515E" w:rsidRDefault="009009F7" w:rsidP="009009F7">
            <w:pPr>
              <w:spacing w:after="0" w:line="240" w:lineRule="auto"/>
              <w:rPr>
                <w:rFonts w:ascii="Open Sans Light" w:eastAsia="Arial Narrow" w:hAnsi="Open Sans Light" w:cs="Open Sans Light"/>
                <w:sz w:val="14"/>
                <w:szCs w:val="14"/>
              </w:rPr>
            </w:pPr>
          </w:p>
        </w:tc>
        <w:tc>
          <w:tcPr>
            <w:tcW w:w="1333" w:type="dxa"/>
            <w:vMerge/>
            <w:vAlign w:val="center"/>
          </w:tcPr>
          <w:p w14:paraId="2A8780CA" w14:textId="77777777" w:rsidR="009009F7" w:rsidRPr="005E515E" w:rsidRDefault="009009F7" w:rsidP="009009F7">
            <w:pPr>
              <w:spacing w:after="0" w:line="240" w:lineRule="auto"/>
              <w:rPr>
                <w:rFonts w:ascii="Open Sans Light" w:eastAsia="Arial Narrow" w:hAnsi="Open Sans Light" w:cs="Open Sans Light"/>
                <w:sz w:val="14"/>
                <w:szCs w:val="14"/>
              </w:rPr>
            </w:pPr>
          </w:p>
        </w:tc>
        <w:tc>
          <w:tcPr>
            <w:tcW w:w="2682" w:type="dxa"/>
            <w:vAlign w:val="center"/>
          </w:tcPr>
          <w:p w14:paraId="2B64939C" w14:textId="0564C70F" w:rsidR="009009F7" w:rsidRPr="00C516FB" w:rsidRDefault="009009F7" w:rsidP="009009F7">
            <w:pPr>
              <w:spacing w:after="0" w:line="240" w:lineRule="auto"/>
              <w:rPr>
                <w:rFonts w:ascii="Open Sans Light" w:eastAsia="Arial Narrow" w:hAnsi="Open Sans Light" w:cs="Open Sans Light"/>
                <w:sz w:val="14"/>
                <w:szCs w:val="14"/>
              </w:rPr>
            </w:pPr>
            <w:r w:rsidRPr="00C516FB">
              <w:rPr>
                <w:rFonts w:ascii="Open Sans Light" w:eastAsia="Arial Narrow" w:hAnsi="Open Sans Light" w:cs="Open Sans Light"/>
                <w:sz w:val="14"/>
                <w:szCs w:val="14"/>
              </w:rPr>
              <w:t>18.2. Porcentaje de gobiernos regionales donde participan niñas, niños y adolescentes en el ciclo de políticas públicas en temas que les involucran o interesan.</w:t>
            </w:r>
          </w:p>
        </w:tc>
        <w:tc>
          <w:tcPr>
            <w:tcW w:w="1136" w:type="dxa"/>
            <w:vAlign w:val="center"/>
          </w:tcPr>
          <w:p w14:paraId="4C7F936D" w14:textId="4FC003E8"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MIMP (Registros administrativos)</w:t>
            </w:r>
          </w:p>
        </w:tc>
        <w:tc>
          <w:tcPr>
            <w:tcW w:w="1034" w:type="dxa"/>
            <w:vAlign w:val="center"/>
          </w:tcPr>
          <w:p w14:paraId="55478893" w14:textId="4D8B5793"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Regular</w:t>
            </w:r>
          </w:p>
        </w:tc>
      </w:tr>
      <w:tr w:rsidR="009009F7" w:rsidRPr="005E515E" w14:paraId="5CF57333" w14:textId="0EED2F3B" w:rsidTr="00D654C4">
        <w:trPr>
          <w:trHeight w:val="172"/>
          <w:jc w:val="center"/>
        </w:trPr>
        <w:tc>
          <w:tcPr>
            <w:tcW w:w="903" w:type="dxa"/>
            <w:vMerge/>
            <w:shd w:val="clear" w:color="auto" w:fill="auto"/>
            <w:noWrap/>
            <w:vAlign w:val="center"/>
          </w:tcPr>
          <w:p w14:paraId="73DFE189"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6EDC49C4" w14:textId="5C84E7AB"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19. Niñas, niños y adolescentes son menos vulnerables en situaciones de emergencias y desastres.</w:t>
            </w:r>
          </w:p>
        </w:tc>
        <w:tc>
          <w:tcPr>
            <w:tcW w:w="3864" w:type="dxa"/>
            <w:vAlign w:val="center"/>
          </w:tcPr>
          <w:p w14:paraId="1406CDEE" w14:textId="71B86003"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100% de Instituciones Educativas calificadas como seguras.</w:t>
            </w:r>
          </w:p>
        </w:tc>
        <w:tc>
          <w:tcPr>
            <w:tcW w:w="1333" w:type="dxa"/>
            <w:vAlign w:val="center"/>
          </w:tcPr>
          <w:p w14:paraId="6416E253" w14:textId="3E2391E1"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26DFA027" w14:textId="481DA3F2"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 xml:space="preserve">19. </w:t>
            </w:r>
            <w:r w:rsidRPr="00C516FB">
              <w:rPr>
                <w:rFonts w:ascii="Open Sans Light" w:eastAsia="Arial Narrow" w:hAnsi="Open Sans Light" w:cs="Open Sans Light"/>
                <w:sz w:val="14"/>
                <w:szCs w:val="14"/>
              </w:rPr>
              <w:t>Porcentaje de locales (escolares)</w:t>
            </w:r>
            <w:r>
              <w:rPr>
                <w:rFonts w:ascii="Open Sans Light" w:eastAsia="Arial Narrow" w:hAnsi="Open Sans Light" w:cs="Open Sans Light"/>
                <w:sz w:val="14"/>
                <w:szCs w:val="14"/>
              </w:rPr>
              <w:t xml:space="preserve"> </w:t>
            </w:r>
            <w:r w:rsidRPr="00C516FB">
              <w:rPr>
                <w:rFonts w:ascii="Open Sans Light" w:eastAsia="Arial Narrow" w:hAnsi="Open Sans Light" w:cs="Open Sans Light"/>
                <w:sz w:val="14"/>
                <w:szCs w:val="14"/>
              </w:rPr>
              <w:t>públicos en buen estado</w:t>
            </w:r>
          </w:p>
        </w:tc>
        <w:tc>
          <w:tcPr>
            <w:tcW w:w="1136" w:type="dxa"/>
            <w:vAlign w:val="center"/>
          </w:tcPr>
          <w:p w14:paraId="29A94358" w14:textId="3C3B804F"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MINEDU (Registros administrativos)</w:t>
            </w:r>
          </w:p>
        </w:tc>
        <w:tc>
          <w:tcPr>
            <w:tcW w:w="1034" w:type="dxa"/>
            <w:vAlign w:val="center"/>
          </w:tcPr>
          <w:p w14:paraId="3C3995D1" w14:textId="75AB8993"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Regular</w:t>
            </w:r>
          </w:p>
        </w:tc>
      </w:tr>
      <w:tr w:rsidR="009009F7" w:rsidRPr="005E515E" w14:paraId="7B3A15FF" w14:textId="13E5A715" w:rsidTr="00D654C4">
        <w:trPr>
          <w:trHeight w:val="172"/>
          <w:jc w:val="center"/>
        </w:trPr>
        <w:tc>
          <w:tcPr>
            <w:tcW w:w="903" w:type="dxa"/>
            <w:vMerge/>
            <w:shd w:val="clear" w:color="auto" w:fill="auto"/>
            <w:noWrap/>
            <w:vAlign w:val="center"/>
          </w:tcPr>
          <w:p w14:paraId="14211EA6"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vMerge w:val="restart"/>
            <w:shd w:val="clear" w:color="auto" w:fill="auto"/>
            <w:noWrap/>
            <w:vAlign w:val="center"/>
          </w:tcPr>
          <w:p w14:paraId="55A17176" w14:textId="7A0F9A0B"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20. Se reduce el número de niñas, niños y adolescentes que son víctimas de violencia familiar y escolar.</w:t>
            </w:r>
          </w:p>
        </w:tc>
        <w:tc>
          <w:tcPr>
            <w:tcW w:w="3864" w:type="dxa"/>
            <w:vAlign w:val="center"/>
          </w:tcPr>
          <w:p w14:paraId="2D8AADAF" w14:textId="7588233C"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Se reduce el número de niñas, niños y adolescentes víctimas de violencia familiar.</w:t>
            </w:r>
          </w:p>
        </w:tc>
        <w:tc>
          <w:tcPr>
            <w:tcW w:w="1333" w:type="dxa"/>
            <w:vAlign w:val="center"/>
          </w:tcPr>
          <w:p w14:paraId="3C35E90B" w14:textId="4D0A6C35"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No cuantificable</w:t>
            </w:r>
          </w:p>
        </w:tc>
        <w:tc>
          <w:tcPr>
            <w:tcW w:w="2682" w:type="dxa"/>
            <w:vAlign w:val="center"/>
          </w:tcPr>
          <w:p w14:paraId="7F023614" w14:textId="44E8AF82"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20.1. Porcentaje de niñas, niños y adolescentes que son víctimas de violencia familiar.</w:t>
            </w:r>
          </w:p>
        </w:tc>
        <w:tc>
          <w:tcPr>
            <w:tcW w:w="1136" w:type="dxa"/>
            <w:vAlign w:val="center"/>
          </w:tcPr>
          <w:p w14:paraId="2D1E8B84" w14:textId="4CCF12D5"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 xml:space="preserve">ENARES – INEI </w:t>
            </w:r>
          </w:p>
        </w:tc>
        <w:tc>
          <w:tcPr>
            <w:tcW w:w="1034" w:type="dxa"/>
            <w:vAlign w:val="center"/>
          </w:tcPr>
          <w:p w14:paraId="6C4799D5" w14:textId="04E8253E"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Regular</w:t>
            </w:r>
          </w:p>
        </w:tc>
      </w:tr>
      <w:tr w:rsidR="009009F7" w:rsidRPr="005E515E" w14:paraId="66DF1B67" w14:textId="357BC2EE" w:rsidTr="00D654C4">
        <w:trPr>
          <w:trHeight w:val="172"/>
          <w:jc w:val="center"/>
        </w:trPr>
        <w:tc>
          <w:tcPr>
            <w:tcW w:w="903" w:type="dxa"/>
            <w:vMerge/>
            <w:shd w:val="clear" w:color="auto" w:fill="auto"/>
            <w:noWrap/>
            <w:vAlign w:val="center"/>
          </w:tcPr>
          <w:p w14:paraId="446337EF"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vMerge/>
            <w:shd w:val="clear" w:color="auto" w:fill="auto"/>
            <w:noWrap/>
            <w:vAlign w:val="center"/>
          </w:tcPr>
          <w:p w14:paraId="2D65B2C7" w14:textId="77777777"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p>
        </w:tc>
        <w:tc>
          <w:tcPr>
            <w:tcW w:w="3864" w:type="dxa"/>
            <w:vAlign w:val="center"/>
          </w:tcPr>
          <w:p w14:paraId="318845CD" w14:textId="02BCB707"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Reducción del número de niñas, niños y adolescentes víctimas de violencia escolar.</w:t>
            </w:r>
          </w:p>
        </w:tc>
        <w:tc>
          <w:tcPr>
            <w:tcW w:w="1333" w:type="dxa"/>
            <w:vAlign w:val="center"/>
          </w:tcPr>
          <w:p w14:paraId="53EA8437" w14:textId="0F9D3241"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No cuantificable</w:t>
            </w:r>
          </w:p>
        </w:tc>
        <w:tc>
          <w:tcPr>
            <w:tcW w:w="2682" w:type="dxa"/>
            <w:vAlign w:val="center"/>
          </w:tcPr>
          <w:p w14:paraId="3039FF4A" w14:textId="1A4DBFA4"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20.2. Porcentaje de niñas, niños y adolescentes que son víctimas de violencia escolar</w:t>
            </w:r>
          </w:p>
        </w:tc>
        <w:tc>
          <w:tcPr>
            <w:tcW w:w="1136" w:type="dxa"/>
            <w:vAlign w:val="center"/>
          </w:tcPr>
          <w:p w14:paraId="14DC9586" w14:textId="73D40490"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 xml:space="preserve">ENARES – INEI </w:t>
            </w:r>
          </w:p>
        </w:tc>
        <w:tc>
          <w:tcPr>
            <w:tcW w:w="1034" w:type="dxa"/>
            <w:vAlign w:val="center"/>
          </w:tcPr>
          <w:p w14:paraId="67F1FEBF" w14:textId="10314F35"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Regular</w:t>
            </w:r>
          </w:p>
        </w:tc>
      </w:tr>
      <w:tr w:rsidR="009009F7" w:rsidRPr="005E515E" w14:paraId="642AB32A" w14:textId="35D43C52" w:rsidTr="00D654C4">
        <w:trPr>
          <w:trHeight w:val="172"/>
          <w:jc w:val="center"/>
        </w:trPr>
        <w:tc>
          <w:tcPr>
            <w:tcW w:w="903" w:type="dxa"/>
            <w:vMerge/>
            <w:shd w:val="clear" w:color="auto" w:fill="auto"/>
            <w:noWrap/>
            <w:vAlign w:val="center"/>
          </w:tcPr>
          <w:p w14:paraId="373AD660"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673EF877" w14:textId="1CC62F55"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21. Se reduce el número de niñas, niños y adolescentes que son víctimas de violencia sexual.</w:t>
            </w:r>
          </w:p>
        </w:tc>
        <w:tc>
          <w:tcPr>
            <w:tcW w:w="3864" w:type="dxa"/>
            <w:vAlign w:val="center"/>
          </w:tcPr>
          <w:p w14:paraId="75CED407" w14:textId="7A1294AA"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Se reduce el número de niñas, niños y adolescentes que son víctimas de violencia sexual.</w:t>
            </w:r>
          </w:p>
        </w:tc>
        <w:tc>
          <w:tcPr>
            <w:tcW w:w="1333" w:type="dxa"/>
            <w:vAlign w:val="center"/>
          </w:tcPr>
          <w:p w14:paraId="1AA918D7" w14:textId="697E951A"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No cuantificable</w:t>
            </w:r>
          </w:p>
        </w:tc>
        <w:tc>
          <w:tcPr>
            <w:tcW w:w="2682" w:type="dxa"/>
            <w:vAlign w:val="center"/>
          </w:tcPr>
          <w:p w14:paraId="0367C419" w14:textId="593A40F5"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21.1. Porcentaje de niñas, niños y adolescentes que son víctimas de violencia sexual.</w:t>
            </w:r>
          </w:p>
        </w:tc>
        <w:tc>
          <w:tcPr>
            <w:tcW w:w="1136" w:type="dxa"/>
            <w:vAlign w:val="center"/>
          </w:tcPr>
          <w:p w14:paraId="6E1844C5" w14:textId="79D3C866"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 xml:space="preserve">ENARES – INEI </w:t>
            </w:r>
          </w:p>
        </w:tc>
        <w:tc>
          <w:tcPr>
            <w:tcW w:w="1034" w:type="dxa"/>
            <w:vAlign w:val="center"/>
          </w:tcPr>
          <w:p w14:paraId="2A1AF2ED" w14:textId="11F06843"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Regular</w:t>
            </w:r>
          </w:p>
        </w:tc>
      </w:tr>
      <w:tr w:rsidR="009009F7" w:rsidRPr="005E515E" w14:paraId="43B881CA" w14:textId="52BA7AAA" w:rsidTr="00D654C4">
        <w:trPr>
          <w:trHeight w:val="172"/>
          <w:jc w:val="center"/>
        </w:trPr>
        <w:tc>
          <w:tcPr>
            <w:tcW w:w="903" w:type="dxa"/>
            <w:vMerge/>
            <w:shd w:val="clear" w:color="auto" w:fill="auto"/>
            <w:noWrap/>
            <w:vAlign w:val="center"/>
          </w:tcPr>
          <w:p w14:paraId="5346DF17"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60E952F0" w14:textId="35DE24DC"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22. Niñas, niños y adolescentes sin cuidados parentales se integran a una familia.</w:t>
            </w:r>
          </w:p>
        </w:tc>
        <w:tc>
          <w:tcPr>
            <w:tcW w:w="3864" w:type="dxa"/>
            <w:vAlign w:val="center"/>
          </w:tcPr>
          <w:p w14:paraId="721FBC5E" w14:textId="2638E35D"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Un tercio de las niñas, niños y adolescentes sin cuidados parentales, se reintegran a su seno familiar o se integran a un grupo familiar de manera definitiva.</w:t>
            </w:r>
          </w:p>
        </w:tc>
        <w:tc>
          <w:tcPr>
            <w:tcW w:w="1333" w:type="dxa"/>
            <w:vAlign w:val="center"/>
          </w:tcPr>
          <w:p w14:paraId="468A53AA" w14:textId="126AC830"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21D120EE" w14:textId="2ADAEF6A"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22.1. Porcentaje de niñas, niños y adolescentes sin cuidados parentales que se integran a una familia.</w:t>
            </w:r>
          </w:p>
        </w:tc>
        <w:tc>
          <w:tcPr>
            <w:tcW w:w="1136" w:type="dxa"/>
            <w:vAlign w:val="center"/>
          </w:tcPr>
          <w:p w14:paraId="50541940" w14:textId="59F5C15C"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MIMP (Registros administrativos)</w:t>
            </w:r>
          </w:p>
        </w:tc>
        <w:tc>
          <w:tcPr>
            <w:tcW w:w="1034" w:type="dxa"/>
            <w:vAlign w:val="center"/>
          </w:tcPr>
          <w:p w14:paraId="5700BC60" w14:textId="7F4B1A78"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Arial Narrow" w:hAnsi="Open Sans Light" w:cs="Open Sans Light"/>
                <w:sz w:val="14"/>
                <w:szCs w:val="14"/>
              </w:rPr>
              <w:t>Regular</w:t>
            </w:r>
          </w:p>
        </w:tc>
      </w:tr>
      <w:tr w:rsidR="009009F7" w:rsidRPr="005E515E" w14:paraId="2E350F89" w14:textId="1E4A3D3B" w:rsidTr="00D654C4">
        <w:trPr>
          <w:trHeight w:val="172"/>
          <w:jc w:val="center"/>
        </w:trPr>
        <w:tc>
          <w:tcPr>
            <w:tcW w:w="903" w:type="dxa"/>
            <w:vMerge/>
            <w:shd w:val="clear" w:color="auto" w:fill="auto"/>
            <w:noWrap/>
            <w:vAlign w:val="center"/>
          </w:tcPr>
          <w:p w14:paraId="20B913EE"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773E66A7" w14:textId="26F13A59" w:rsidR="009009F7" w:rsidRPr="005E515E" w:rsidRDefault="009009F7" w:rsidP="009009F7">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23. Niñas, niños y adolescentes no participan en conflictos internos.</w:t>
            </w:r>
          </w:p>
        </w:tc>
        <w:tc>
          <w:tcPr>
            <w:tcW w:w="3864" w:type="dxa"/>
            <w:vAlign w:val="center"/>
          </w:tcPr>
          <w:p w14:paraId="2FF502AA" w14:textId="0F583A62" w:rsidR="009009F7" w:rsidRPr="005E515E" w:rsidRDefault="009009F7" w:rsidP="009009F7">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No hay niña, niño o adolescente participando voluntariamente o por la fuerza en conflictos internos en el país.</w:t>
            </w:r>
          </w:p>
        </w:tc>
        <w:tc>
          <w:tcPr>
            <w:tcW w:w="1333" w:type="dxa"/>
            <w:vAlign w:val="center"/>
          </w:tcPr>
          <w:p w14:paraId="6574001C" w14:textId="74F15819"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03EADF57" w14:textId="2C1F8B61"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23.1. Número de niñas, niños y adolescentes participando voluntariamente o por la fuerza en conflictos internos en el país.</w:t>
            </w:r>
          </w:p>
        </w:tc>
        <w:tc>
          <w:tcPr>
            <w:tcW w:w="1136" w:type="dxa"/>
            <w:vAlign w:val="center"/>
          </w:tcPr>
          <w:p w14:paraId="7A8E35B7" w14:textId="2254CA32"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DEFENSORÍA DEL PUEBLO / MININTER (Registros administrativos)</w:t>
            </w:r>
          </w:p>
        </w:tc>
        <w:tc>
          <w:tcPr>
            <w:tcW w:w="1034" w:type="dxa"/>
            <w:vAlign w:val="center"/>
          </w:tcPr>
          <w:p w14:paraId="211BCFC9" w14:textId="702F78D6"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Deficiente</w:t>
            </w:r>
          </w:p>
        </w:tc>
      </w:tr>
      <w:tr w:rsidR="009009F7" w:rsidRPr="005E515E" w14:paraId="73A1D2CB" w14:textId="20355295" w:rsidTr="00D654C4">
        <w:trPr>
          <w:trHeight w:val="172"/>
          <w:jc w:val="center"/>
        </w:trPr>
        <w:tc>
          <w:tcPr>
            <w:tcW w:w="903" w:type="dxa"/>
            <w:vMerge/>
            <w:shd w:val="clear" w:color="auto" w:fill="auto"/>
            <w:noWrap/>
            <w:vAlign w:val="center"/>
          </w:tcPr>
          <w:p w14:paraId="74FF9EF2"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0D81B057" w14:textId="46C4711B" w:rsidR="009009F7" w:rsidRPr="005E515E" w:rsidRDefault="009009F7" w:rsidP="009009F7">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24. Ninguna niña, niño o adolescente fallecerá de Tuberculosis en el Perú.</w:t>
            </w:r>
          </w:p>
        </w:tc>
        <w:tc>
          <w:tcPr>
            <w:tcW w:w="3864" w:type="dxa"/>
            <w:vAlign w:val="center"/>
          </w:tcPr>
          <w:p w14:paraId="4356A7FC" w14:textId="7933F8CA" w:rsidR="009009F7" w:rsidRPr="005E515E" w:rsidRDefault="009009F7" w:rsidP="009009F7">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Ninguna niña, niño o adolescente fallecerá de Tuberculosis en el Perú.</w:t>
            </w:r>
          </w:p>
        </w:tc>
        <w:tc>
          <w:tcPr>
            <w:tcW w:w="1333" w:type="dxa"/>
            <w:vAlign w:val="center"/>
          </w:tcPr>
          <w:p w14:paraId="6E775918" w14:textId="2D0A730C"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32CD71BE" w14:textId="3C06469E"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 xml:space="preserve">24.1. </w:t>
            </w:r>
            <w:r>
              <w:rPr>
                <w:rFonts w:ascii="Open Sans Light" w:eastAsia="Arial Narrow" w:hAnsi="Open Sans Light" w:cs="Open Sans Light"/>
                <w:sz w:val="14"/>
                <w:szCs w:val="14"/>
              </w:rPr>
              <w:t>Tasa de l</w:t>
            </w:r>
            <w:r w:rsidRPr="00C516FB">
              <w:rPr>
                <w:rFonts w:ascii="Open Sans Light" w:eastAsia="Arial Narrow" w:hAnsi="Open Sans Light" w:cs="Open Sans Light"/>
                <w:sz w:val="14"/>
                <w:szCs w:val="14"/>
              </w:rPr>
              <w:t>etalidad por tuberculosis</w:t>
            </w:r>
          </w:p>
        </w:tc>
        <w:tc>
          <w:tcPr>
            <w:tcW w:w="1136" w:type="dxa"/>
            <w:vAlign w:val="center"/>
          </w:tcPr>
          <w:p w14:paraId="5619CBD5" w14:textId="220E3BEA"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MINSA (Registros administrativos)</w:t>
            </w:r>
          </w:p>
        </w:tc>
        <w:tc>
          <w:tcPr>
            <w:tcW w:w="1034" w:type="dxa"/>
            <w:vAlign w:val="center"/>
          </w:tcPr>
          <w:p w14:paraId="38ADE430" w14:textId="43DDFF6E"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Regular</w:t>
            </w:r>
          </w:p>
        </w:tc>
      </w:tr>
      <w:tr w:rsidR="009009F7" w:rsidRPr="005E515E" w14:paraId="630913B7" w14:textId="76021DEA" w:rsidTr="00D654C4">
        <w:trPr>
          <w:trHeight w:val="172"/>
          <w:jc w:val="center"/>
        </w:trPr>
        <w:tc>
          <w:tcPr>
            <w:tcW w:w="903" w:type="dxa"/>
            <w:vMerge/>
            <w:shd w:val="clear" w:color="auto" w:fill="auto"/>
            <w:noWrap/>
            <w:vAlign w:val="center"/>
          </w:tcPr>
          <w:p w14:paraId="470E5918" w14:textId="77777777" w:rsidR="009009F7" w:rsidRPr="005E515E" w:rsidRDefault="009009F7" w:rsidP="00D654C4">
            <w:pPr>
              <w:spacing w:after="0" w:line="240" w:lineRule="auto"/>
              <w:jc w:val="center"/>
              <w:rPr>
                <w:rFonts w:ascii="Open Sans Light" w:eastAsia="Times New Roman" w:hAnsi="Open Sans Light" w:cs="Open Sans Light"/>
                <w:color w:val="000000"/>
                <w:sz w:val="14"/>
                <w:szCs w:val="14"/>
                <w:lang w:val="es-PE"/>
              </w:rPr>
            </w:pPr>
          </w:p>
        </w:tc>
        <w:tc>
          <w:tcPr>
            <w:tcW w:w="4120" w:type="dxa"/>
            <w:shd w:val="clear" w:color="auto" w:fill="auto"/>
            <w:noWrap/>
            <w:vAlign w:val="center"/>
          </w:tcPr>
          <w:p w14:paraId="0C7CC577" w14:textId="59DC515F" w:rsidR="009009F7" w:rsidRPr="005E515E" w:rsidRDefault="009009F7" w:rsidP="009009F7">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25. Todas las niñas, niños y adolescentes cuentan con un seguro de salud.</w:t>
            </w:r>
          </w:p>
        </w:tc>
        <w:tc>
          <w:tcPr>
            <w:tcW w:w="3864" w:type="dxa"/>
            <w:vAlign w:val="center"/>
          </w:tcPr>
          <w:p w14:paraId="29B00E3E" w14:textId="742A8A3E" w:rsidR="009009F7" w:rsidRPr="005E515E" w:rsidRDefault="009009F7" w:rsidP="009009F7">
            <w:pPr>
              <w:spacing w:after="0" w:line="240" w:lineRule="auto"/>
              <w:rPr>
                <w:rFonts w:ascii="Open Sans Light" w:eastAsia="Arial Narrow" w:hAnsi="Open Sans Light" w:cs="Open Sans Light"/>
                <w:sz w:val="14"/>
                <w:szCs w:val="14"/>
              </w:rPr>
            </w:pPr>
            <w:r w:rsidRPr="005E515E">
              <w:rPr>
                <w:rFonts w:ascii="Open Sans Light" w:eastAsia="Arial Narrow" w:hAnsi="Open Sans Light" w:cs="Open Sans Light"/>
                <w:sz w:val="14"/>
                <w:szCs w:val="14"/>
              </w:rPr>
              <w:t>100% de niñas, niños y adolescentes usuarios de programas sociales (en situación de pobreza y pobreza extrema) tienen acceso a los paquetes de atención integral de salud aprobado y financiado.</w:t>
            </w:r>
          </w:p>
        </w:tc>
        <w:tc>
          <w:tcPr>
            <w:tcW w:w="1333" w:type="dxa"/>
            <w:vAlign w:val="center"/>
          </w:tcPr>
          <w:p w14:paraId="621F3A36" w14:textId="04EC6735"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5E515E">
              <w:rPr>
                <w:rFonts w:ascii="Open Sans Light" w:eastAsia="Arial Narrow" w:hAnsi="Open Sans Light" w:cs="Open Sans Light"/>
                <w:sz w:val="14"/>
                <w:szCs w:val="14"/>
              </w:rPr>
              <w:t>Cuantificable</w:t>
            </w:r>
          </w:p>
        </w:tc>
        <w:tc>
          <w:tcPr>
            <w:tcW w:w="2682" w:type="dxa"/>
            <w:vAlign w:val="center"/>
          </w:tcPr>
          <w:p w14:paraId="086B4221" w14:textId="2343E28D" w:rsidR="009009F7" w:rsidRPr="005E515E" w:rsidRDefault="009009F7" w:rsidP="009009F7">
            <w:pPr>
              <w:spacing w:after="0" w:line="240" w:lineRule="auto"/>
              <w:rPr>
                <w:rFonts w:ascii="Open Sans Light" w:eastAsia="Times New Roman" w:hAnsi="Open Sans Light" w:cs="Open Sans Light"/>
                <w:color w:val="000000"/>
                <w:sz w:val="14"/>
                <w:szCs w:val="14"/>
                <w:lang w:val="es-PE"/>
              </w:rPr>
            </w:pPr>
            <w:r w:rsidRPr="00C516FB">
              <w:rPr>
                <w:rFonts w:ascii="Open Sans Light" w:eastAsia="Arial Narrow" w:hAnsi="Open Sans Light" w:cs="Open Sans Light"/>
                <w:sz w:val="14"/>
                <w:szCs w:val="14"/>
              </w:rPr>
              <w:t xml:space="preserve">25.1. Porcentaje de niñas, niños y adolescentes con un seguro de salud. </w:t>
            </w:r>
          </w:p>
        </w:tc>
        <w:tc>
          <w:tcPr>
            <w:tcW w:w="1136" w:type="dxa"/>
            <w:vAlign w:val="center"/>
          </w:tcPr>
          <w:p w14:paraId="27EF8974" w14:textId="6694561D"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 xml:space="preserve">ENAHO – INEI </w:t>
            </w:r>
          </w:p>
        </w:tc>
        <w:tc>
          <w:tcPr>
            <w:tcW w:w="1034" w:type="dxa"/>
            <w:vAlign w:val="center"/>
          </w:tcPr>
          <w:p w14:paraId="4A4285C1" w14:textId="13C0B273" w:rsidR="009009F7" w:rsidRPr="005E515E" w:rsidRDefault="009009F7" w:rsidP="009009F7">
            <w:pPr>
              <w:spacing w:after="0" w:line="240" w:lineRule="auto"/>
              <w:jc w:val="center"/>
              <w:rPr>
                <w:rFonts w:ascii="Open Sans Light" w:eastAsia="Times New Roman" w:hAnsi="Open Sans Light" w:cs="Open Sans Light"/>
                <w:color w:val="000000"/>
                <w:sz w:val="14"/>
                <w:szCs w:val="14"/>
                <w:lang w:val="es-PE"/>
              </w:rPr>
            </w:pPr>
            <w:r>
              <w:rPr>
                <w:rFonts w:ascii="Open Sans Light" w:eastAsia="Times New Roman" w:hAnsi="Open Sans Light" w:cs="Open Sans Light"/>
                <w:color w:val="000000"/>
                <w:sz w:val="14"/>
                <w:szCs w:val="14"/>
                <w:lang w:val="es-PE"/>
              </w:rPr>
              <w:t>Óptima</w:t>
            </w:r>
          </w:p>
        </w:tc>
      </w:tr>
    </w:tbl>
    <w:p w14:paraId="1BC762E9" w14:textId="77777777" w:rsidR="00D346B3" w:rsidRDefault="00D346B3">
      <w:pPr>
        <w:spacing w:after="0" w:line="240" w:lineRule="auto"/>
        <w:jc w:val="both"/>
        <w:rPr>
          <w:rFonts w:ascii="Open Sans Light" w:eastAsia="Open Sans Light" w:hAnsi="Open Sans Light" w:cs="Open Sans Light"/>
          <w:color w:val="000000"/>
          <w:sz w:val="24"/>
          <w:szCs w:val="24"/>
        </w:rPr>
        <w:sectPr w:rsidR="00D346B3" w:rsidSect="00D346B3">
          <w:pgSz w:w="16838" w:h="11906" w:orient="landscape"/>
          <w:pgMar w:top="1701" w:right="2126" w:bottom="1701" w:left="1418" w:header="426" w:footer="567" w:gutter="0"/>
          <w:cols w:space="720"/>
        </w:sectPr>
      </w:pPr>
    </w:p>
    <w:p w14:paraId="00000065" w14:textId="77777777" w:rsidR="00971081" w:rsidRDefault="009104B2">
      <w:pPr>
        <w:rPr>
          <w:rFonts w:ascii="Open Sans Light" w:eastAsia="Open Sans Light" w:hAnsi="Open Sans Light" w:cs="Open Sans Light"/>
          <w:b/>
          <w:i/>
          <w:color w:val="000000"/>
          <w:sz w:val="24"/>
          <w:szCs w:val="24"/>
        </w:rPr>
      </w:pPr>
      <w:r>
        <w:rPr>
          <w:rFonts w:ascii="Open Sans Light" w:eastAsia="Open Sans Light" w:hAnsi="Open Sans Light" w:cs="Open Sans Light"/>
          <w:b/>
          <w:i/>
          <w:color w:val="000000"/>
          <w:sz w:val="24"/>
          <w:szCs w:val="24"/>
        </w:rPr>
        <w:lastRenderedPageBreak/>
        <w:t>Cumplimiento de la meta programada al 2021</w:t>
      </w:r>
    </w:p>
    <w:p w14:paraId="7225B70D" w14:textId="57A3EA4D" w:rsidR="00B231EC" w:rsidRDefault="00347E77" w:rsidP="00347E77">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Al cierre del 2021, fecha en la que culmina la vigencia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se proyectaron un total de 21 indicadores; con calidad de información óptima y </w:t>
      </w:r>
      <w:r w:rsidRPr="00716166">
        <w:rPr>
          <w:rFonts w:ascii="Open Sans Light" w:eastAsia="Open Sans Light" w:hAnsi="Open Sans Light" w:cs="Open Sans Light"/>
          <w:color w:val="000000"/>
          <w:sz w:val="24"/>
          <w:szCs w:val="24"/>
        </w:rPr>
        <w:t xml:space="preserve">regular. </w:t>
      </w:r>
      <w:r w:rsidR="00290BFD" w:rsidRPr="00716166">
        <w:rPr>
          <w:rFonts w:ascii="Open Sans Light" w:eastAsia="Open Sans Light" w:hAnsi="Open Sans Light" w:cs="Open Sans Light"/>
          <w:color w:val="000000"/>
          <w:sz w:val="24"/>
          <w:szCs w:val="24"/>
        </w:rPr>
        <w:t>De ello</w:t>
      </w:r>
      <w:r w:rsidRPr="00716166">
        <w:rPr>
          <w:rFonts w:ascii="Open Sans Light" w:eastAsia="Open Sans Light" w:hAnsi="Open Sans Light" w:cs="Open Sans Light"/>
          <w:color w:val="000000"/>
          <w:sz w:val="24"/>
          <w:szCs w:val="24"/>
        </w:rPr>
        <w:t>s</w:t>
      </w:r>
      <w:r w:rsidR="00290BFD" w:rsidRPr="00716166">
        <w:rPr>
          <w:rFonts w:ascii="Open Sans Light" w:eastAsia="Open Sans Light" w:hAnsi="Open Sans Light" w:cs="Open Sans Light"/>
          <w:color w:val="000000"/>
          <w:sz w:val="24"/>
          <w:szCs w:val="24"/>
        </w:rPr>
        <w:t>, solo 5 cumplirían la meta 2021 esperada</w:t>
      </w:r>
      <w:r w:rsidR="009A235E" w:rsidRPr="00716166">
        <w:rPr>
          <w:rFonts w:ascii="Open Sans Light" w:eastAsia="Open Sans Light" w:hAnsi="Open Sans Light" w:cs="Open Sans Light"/>
          <w:color w:val="000000"/>
          <w:sz w:val="24"/>
          <w:szCs w:val="24"/>
        </w:rPr>
        <w:t xml:space="preserve">, mientras que 16 no lo lograrían. Esto indica que durante el periodo de implementación del </w:t>
      </w:r>
      <w:r w:rsidR="00D979D4" w:rsidRPr="00716166">
        <w:rPr>
          <w:rFonts w:ascii="Open Sans Light" w:eastAsia="Open Sans Light" w:hAnsi="Open Sans Light" w:cs="Open Sans Light"/>
          <w:color w:val="000000"/>
          <w:sz w:val="24"/>
          <w:szCs w:val="24"/>
        </w:rPr>
        <w:t xml:space="preserve">PNAIA 2012 – </w:t>
      </w:r>
      <w:r w:rsidR="00D979D4" w:rsidRPr="000E4478">
        <w:rPr>
          <w:rFonts w:ascii="Open Sans Light" w:eastAsia="Open Sans Light" w:hAnsi="Open Sans Light" w:cs="Open Sans Light"/>
          <w:color w:val="000000"/>
          <w:sz w:val="24"/>
          <w:szCs w:val="24"/>
        </w:rPr>
        <w:t>2021</w:t>
      </w:r>
      <w:r w:rsidR="009A235E" w:rsidRPr="000E4478">
        <w:rPr>
          <w:rFonts w:ascii="Open Sans Light" w:eastAsia="Open Sans Light" w:hAnsi="Open Sans Light" w:cs="Open Sans Light"/>
          <w:color w:val="000000"/>
          <w:sz w:val="24"/>
          <w:szCs w:val="24"/>
        </w:rPr>
        <w:t xml:space="preserve">, </w:t>
      </w:r>
      <w:r w:rsidR="00A706EF" w:rsidRPr="000E4478">
        <w:rPr>
          <w:rFonts w:ascii="Open Sans Light" w:eastAsia="Open Sans Light" w:hAnsi="Open Sans Light" w:cs="Open Sans Light"/>
          <w:color w:val="000000"/>
          <w:sz w:val="24"/>
          <w:szCs w:val="24"/>
        </w:rPr>
        <w:t xml:space="preserve">se han alcanzado </w:t>
      </w:r>
      <w:r w:rsidR="003513FF" w:rsidRPr="003513FF">
        <w:rPr>
          <w:rFonts w:ascii="Open Sans Light" w:eastAsia="Open Sans Light" w:hAnsi="Open Sans Light" w:cs="Open Sans Light"/>
          <w:color w:val="000000"/>
          <w:sz w:val="24"/>
          <w:szCs w:val="24"/>
        </w:rPr>
        <w:t>5 de los 30 indicadores abordados para la evaluación de eficacia</w:t>
      </w:r>
      <w:r w:rsidR="003513FF">
        <w:rPr>
          <w:rFonts w:ascii="Open Sans Light" w:eastAsia="Open Sans Light" w:hAnsi="Open Sans Light" w:cs="Open Sans Light"/>
          <w:color w:val="000000"/>
          <w:sz w:val="24"/>
          <w:szCs w:val="24"/>
        </w:rPr>
        <w:t xml:space="preserve">, los cuales corresponden a los siguientes resultados esperados: </w:t>
      </w:r>
      <w:r w:rsidR="00A706EF" w:rsidRPr="000E4478">
        <w:rPr>
          <w:rFonts w:ascii="Open Sans Light" w:eastAsia="Open Sans Light" w:hAnsi="Open Sans Light" w:cs="Open Sans Light"/>
          <w:color w:val="000000"/>
          <w:sz w:val="24"/>
          <w:szCs w:val="24"/>
        </w:rPr>
        <w:t>RE9, RE11, RE16</w:t>
      </w:r>
      <w:r w:rsidR="00FD4F3E">
        <w:rPr>
          <w:rFonts w:ascii="Open Sans Light" w:eastAsia="Open Sans Light" w:hAnsi="Open Sans Light" w:cs="Open Sans Light"/>
          <w:color w:val="000000"/>
          <w:sz w:val="24"/>
          <w:szCs w:val="24"/>
        </w:rPr>
        <w:t xml:space="preserve"> y </w:t>
      </w:r>
      <w:r w:rsidR="00A706EF" w:rsidRPr="000E4478">
        <w:rPr>
          <w:rFonts w:ascii="Open Sans Light" w:eastAsia="Open Sans Light" w:hAnsi="Open Sans Light" w:cs="Open Sans Light"/>
          <w:color w:val="000000"/>
          <w:sz w:val="24"/>
          <w:szCs w:val="24"/>
        </w:rPr>
        <w:t>RE17</w:t>
      </w:r>
      <w:r w:rsidR="00FD4F3E">
        <w:rPr>
          <w:rFonts w:ascii="Open Sans Light" w:eastAsia="Open Sans Light" w:hAnsi="Open Sans Light" w:cs="Open Sans Light"/>
          <w:color w:val="000000"/>
          <w:sz w:val="24"/>
          <w:szCs w:val="24"/>
        </w:rPr>
        <w:t xml:space="preserve">. El quinto indicador –cuya meta es alcanzada por la proyección realizada para el 2021– es el segundo indicador del </w:t>
      </w:r>
      <w:r w:rsidR="00A706EF" w:rsidRPr="000E4478">
        <w:rPr>
          <w:rFonts w:ascii="Open Sans Light" w:eastAsia="Open Sans Light" w:hAnsi="Open Sans Light" w:cs="Open Sans Light"/>
          <w:color w:val="000000"/>
          <w:sz w:val="24"/>
          <w:szCs w:val="24"/>
        </w:rPr>
        <w:t>RE18</w:t>
      </w:r>
      <w:r w:rsidR="003513FF">
        <w:rPr>
          <w:rFonts w:ascii="Open Sans Light" w:eastAsia="Open Sans Light" w:hAnsi="Open Sans Light" w:cs="Open Sans Light"/>
          <w:color w:val="000000"/>
          <w:sz w:val="24"/>
          <w:szCs w:val="24"/>
        </w:rPr>
        <w:t>.</w:t>
      </w:r>
    </w:p>
    <w:p w14:paraId="6FA29C8D" w14:textId="46D8A318" w:rsidR="0007134D" w:rsidRDefault="0007134D" w:rsidP="0007134D">
      <w:pPr>
        <w:pStyle w:val="ESTILOTABLA"/>
        <w:rPr>
          <w:b/>
          <w:i w:val="0"/>
          <w:iCs/>
        </w:rPr>
      </w:pPr>
      <w:r w:rsidRPr="006562CC">
        <w:t xml:space="preserve">Tabla </w:t>
      </w:r>
      <w:r w:rsidRPr="006562CC">
        <w:rPr>
          <w:noProof/>
        </w:rPr>
        <w:fldChar w:fldCharType="begin"/>
      </w:r>
      <w:r w:rsidRPr="006562CC">
        <w:rPr>
          <w:noProof/>
        </w:rPr>
        <w:instrText xml:space="preserve"> SEQ Tabla \* ARABIC </w:instrText>
      </w:r>
      <w:r w:rsidRPr="006562CC">
        <w:rPr>
          <w:noProof/>
        </w:rPr>
        <w:fldChar w:fldCharType="separate"/>
      </w:r>
      <w:r w:rsidR="00846FB2">
        <w:rPr>
          <w:noProof/>
        </w:rPr>
        <w:t>2</w:t>
      </w:r>
      <w:r w:rsidRPr="006562CC">
        <w:rPr>
          <w:noProof/>
        </w:rPr>
        <w:fldChar w:fldCharType="end"/>
      </w:r>
      <w:r w:rsidRPr="006562CC">
        <w:t xml:space="preserve">. </w:t>
      </w:r>
      <w:r w:rsidRPr="006562CC">
        <w:rPr>
          <w:b/>
          <w:i w:val="0"/>
          <w:iCs/>
        </w:rPr>
        <w:t>5</w:t>
      </w:r>
      <w:r w:rsidRPr="006562CC">
        <w:rPr>
          <w:b/>
        </w:rPr>
        <w:t xml:space="preserve"> </w:t>
      </w:r>
      <w:r w:rsidR="00091A7B" w:rsidRPr="006562CC">
        <w:rPr>
          <w:b/>
          <w:i w:val="0"/>
          <w:iCs/>
        </w:rPr>
        <w:t>indicadores de los r</w:t>
      </w:r>
      <w:r w:rsidRPr="006562CC">
        <w:rPr>
          <w:b/>
          <w:i w:val="0"/>
          <w:iCs/>
        </w:rPr>
        <w:t xml:space="preserve">esultados </w:t>
      </w:r>
      <w:r w:rsidR="00091A7B" w:rsidRPr="006562CC">
        <w:rPr>
          <w:b/>
          <w:i w:val="0"/>
          <w:iCs/>
        </w:rPr>
        <w:t>e</w:t>
      </w:r>
      <w:r w:rsidRPr="006562CC">
        <w:rPr>
          <w:b/>
          <w:i w:val="0"/>
          <w:iCs/>
        </w:rPr>
        <w:t>sperados que cumplieron la meta</w:t>
      </w:r>
    </w:p>
    <w:tbl>
      <w:tblPr>
        <w:tblW w:w="8687" w:type="dxa"/>
        <w:tblLayout w:type="fixed"/>
        <w:tblCellMar>
          <w:left w:w="70" w:type="dxa"/>
          <w:right w:w="70" w:type="dxa"/>
        </w:tblCellMar>
        <w:tblLook w:val="04A0" w:firstRow="1" w:lastRow="0" w:firstColumn="1" w:lastColumn="0" w:noHBand="0" w:noVBand="1"/>
      </w:tblPr>
      <w:tblGrid>
        <w:gridCol w:w="1124"/>
        <w:gridCol w:w="1949"/>
        <w:gridCol w:w="2410"/>
        <w:gridCol w:w="708"/>
        <w:gridCol w:w="1276"/>
        <w:gridCol w:w="1220"/>
      </w:tblGrid>
      <w:tr w:rsidR="000248F4" w:rsidRPr="000248F4" w14:paraId="0FF4E08A" w14:textId="77777777" w:rsidTr="00F04EDD">
        <w:trPr>
          <w:trHeight w:val="612"/>
        </w:trPr>
        <w:tc>
          <w:tcPr>
            <w:tcW w:w="1124" w:type="dxa"/>
            <w:tcBorders>
              <w:top w:val="single" w:sz="8" w:space="0" w:color="auto"/>
              <w:left w:val="single" w:sz="8" w:space="0" w:color="auto"/>
              <w:bottom w:val="single" w:sz="8" w:space="0" w:color="auto"/>
              <w:right w:val="single" w:sz="8" w:space="0" w:color="auto"/>
            </w:tcBorders>
            <w:shd w:val="clear" w:color="000000" w:fill="000000"/>
            <w:vAlign w:val="center"/>
            <w:hideMark/>
          </w:tcPr>
          <w:p w14:paraId="51A69DE2" w14:textId="77777777" w:rsidR="000248F4" w:rsidRPr="000248F4" w:rsidRDefault="000248F4" w:rsidP="000248F4">
            <w:pPr>
              <w:spacing w:after="0" w:line="240" w:lineRule="auto"/>
              <w:jc w:val="center"/>
              <w:rPr>
                <w:rFonts w:ascii="Open Sans Light" w:eastAsia="Times New Roman" w:hAnsi="Open Sans Light" w:cs="Open Sans Light"/>
                <w:b/>
                <w:bCs/>
                <w:color w:val="FFFFFF"/>
                <w:sz w:val="20"/>
                <w:szCs w:val="20"/>
                <w:lang w:val="es-PE"/>
              </w:rPr>
            </w:pPr>
            <w:r w:rsidRPr="000248F4">
              <w:rPr>
                <w:rFonts w:ascii="Open Sans Light" w:eastAsia="Times New Roman" w:hAnsi="Open Sans Light" w:cs="Open Sans Light"/>
                <w:b/>
                <w:bCs/>
                <w:color w:val="FFFFFF"/>
                <w:sz w:val="20"/>
                <w:szCs w:val="20"/>
                <w:lang w:val="es-PE"/>
              </w:rPr>
              <w:t>Resultado Esperado</w:t>
            </w:r>
          </w:p>
        </w:tc>
        <w:tc>
          <w:tcPr>
            <w:tcW w:w="1949" w:type="dxa"/>
            <w:tcBorders>
              <w:top w:val="single" w:sz="8" w:space="0" w:color="auto"/>
              <w:left w:val="nil"/>
              <w:bottom w:val="single" w:sz="8" w:space="0" w:color="auto"/>
              <w:right w:val="single" w:sz="8" w:space="0" w:color="auto"/>
            </w:tcBorders>
            <w:shd w:val="clear" w:color="000000" w:fill="000000"/>
            <w:vAlign w:val="center"/>
            <w:hideMark/>
          </w:tcPr>
          <w:p w14:paraId="0003BE53" w14:textId="77777777" w:rsidR="000248F4" w:rsidRPr="000248F4" w:rsidRDefault="000248F4" w:rsidP="000248F4">
            <w:pPr>
              <w:spacing w:after="0" w:line="240" w:lineRule="auto"/>
              <w:jc w:val="center"/>
              <w:rPr>
                <w:rFonts w:ascii="Open Sans Light" w:eastAsia="Times New Roman" w:hAnsi="Open Sans Light" w:cs="Open Sans Light"/>
                <w:b/>
                <w:bCs/>
                <w:color w:val="FFFFFF"/>
                <w:sz w:val="20"/>
                <w:szCs w:val="20"/>
                <w:lang w:val="es-PE"/>
              </w:rPr>
            </w:pPr>
            <w:r w:rsidRPr="000248F4">
              <w:rPr>
                <w:rFonts w:ascii="Open Sans Light" w:eastAsia="Times New Roman" w:hAnsi="Open Sans Light" w:cs="Open Sans Light"/>
                <w:b/>
                <w:bCs/>
                <w:color w:val="FFFFFF"/>
                <w:sz w:val="20"/>
                <w:szCs w:val="20"/>
                <w:lang w:val="es-PE"/>
              </w:rPr>
              <w:t>Detalle</w:t>
            </w:r>
          </w:p>
        </w:tc>
        <w:tc>
          <w:tcPr>
            <w:tcW w:w="2410" w:type="dxa"/>
            <w:tcBorders>
              <w:top w:val="single" w:sz="8" w:space="0" w:color="auto"/>
              <w:left w:val="nil"/>
              <w:bottom w:val="single" w:sz="8" w:space="0" w:color="auto"/>
              <w:right w:val="single" w:sz="8" w:space="0" w:color="auto"/>
            </w:tcBorders>
            <w:shd w:val="clear" w:color="000000" w:fill="000000"/>
            <w:vAlign w:val="center"/>
            <w:hideMark/>
          </w:tcPr>
          <w:p w14:paraId="2AA913C0" w14:textId="77777777" w:rsidR="000248F4" w:rsidRPr="000248F4" w:rsidRDefault="000248F4" w:rsidP="000248F4">
            <w:pPr>
              <w:spacing w:after="0" w:line="240" w:lineRule="auto"/>
              <w:jc w:val="center"/>
              <w:rPr>
                <w:rFonts w:ascii="Open Sans Light" w:eastAsia="Times New Roman" w:hAnsi="Open Sans Light" w:cs="Open Sans Light"/>
                <w:b/>
                <w:bCs/>
                <w:color w:val="FFFFFF"/>
                <w:sz w:val="20"/>
                <w:szCs w:val="20"/>
                <w:lang w:val="es-PE"/>
              </w:rPr>
            </w:pPr>
            <w:r w:rsidRPr="000248F4">
              <w:rPr>
                <w:rFonts w:ascii="Open Sans Light" w:eastAsia="Times New Roman" w:hAnsi="Open Sans Light" w:cs="Open Sans Light"/>
                <w:b/>
                <w:bCs/>
                <w:color w:val="FFFFFF"/>
                <w:sz w:val="20"/>
                <w:szCs w:val="20"/>
                <w:lang w:val="es-PE"/>
              </w:rPr>
              <w:t>Indicador</w:t>
            </w:r>
          </w:p>
        </w:tc>
        <w:tc>
          <w:tcPr>
            <w:tcW w:w="708" w:type="dxa"/>
            <w:tcBorders>
              <w:top w:val="single" w:sz="8" w:space="0" w:color="auto"/>
              <w:left w:val="nil"/>
              <w:bottom w:val="single" w:sz="8" w:space="0" w:color="auto"/>
              <w:right w:val="single" w:sz="8" w:space="0" w:color="auto"/>
            </w:tcBorders>
            <w:shd w:val="clear" w:color="000000" w:fill="000000"/>
            <w:vAlign w:val="center"/>
            <w:hideMark/>
          </w:tcPr>
          <w:p w14:paraId="33677CED" w14:textId="77777777" w:rsidR="000248F4" w:rsidRPr="000248F4" w:rsidRDefault="000248F4" w:rsidP="000248F4">
            <w:pPr>
              <w:spacing w:after="0" w:line="240" w:lineRule="auto"/>
              <w:jc w:val="center"/>
              <w:rPr>
                <w:rFonts w:ascii="Open Sans Light" w:eastAsia="Times New Roman" w:hAnsi="Open Sans Light" w:cs="Open Sans Light"/>
                <w:b/>
                <w:bCs/>
                <w:color w:val="FFFFFF"/>
                <w:sz w:val="20"/>
                <w:szCs w:val="20"/>
                <w:lang w:val="es-PE"/>
              </w:rPr>
            </w:pPr>
            <w:r w:rsidRPr="000248F4">
              <w:rPr>
                <w:rFonts w:ascii="Open Sans Light" w:eastAsia="Times New Roman" w:hAnsi="Open Sans Light" w:cs="Open Sans Light"/>
                <w:b/>
                <w:bCs/>
                <w:color w:val="FFFFFF"/>
                <w:sz w:val="20"/>
                <w:szCs w:val="20"/>
                <w:lang w:val="es-PE"/>
              </w:rPr>
              <w:t>Línea Base</w:t>
            </w:r>
          </w:p>
        </w:tc>
        <w:tc>
          <w:tcPr>
            <w:tcW w:w="1276" w:type="dxa"/>
            <w:tcBorders>
              <w:top w:val="single" w:sz="8" w:space="0" w:color="auto"/>
              <w:left w:val="nil"/>
              <w:bottom w:val="single" w:sz="8" w:space="0" w:color="auto"/>
              <w:right w:val="single" w:sz="8" w:space="0" w:color="auto"/>
            </w:tcBorders>
            <w:shd w:val="clear" w:color="000000" w:fill="000000"/>
            <w:vAlign w:val="center"/>
            <w:hideMark/>
          </w:tcPr>
          <w:p w14:paraId="24305F09" w14:textId="77777777" w:rsidR="000248F4" w:rsidRPr="000248F4" w:rsidRDefault="000248F4" w:rsidP="000248F4">
            <w:pPr>
              <w:spacing w:after="0" w:line="240" w:lineRule="auto"/>
              <w:jc w:val="center"/>
              <w:rPr>
                <w:rFonts w:ascii="Open Sans Light" w:eastAsia="Times New Roman" w:hAnsi="Open Sans Light" w:cs="Open Sans Light"/>
                <w:b/>
                <w:bCs/>
                <w:color w:val="FFFFFF"/>
                <w:sz w:val="20"/>
                <w:szCs w:val="20"/>
                <w:lang w:val="es-PE"/>
              </w:rPr>
            </w:pPr>
            <w:r w:rsidRPr="000248F4">
              <w:rPr>
                <w:rFonts w:ascii="Open Sans Light" w:eastAsia="Times New Roman" w:hAnsi="Open Sans Light" w:cs="Open Sans Light"/>
                <w:b/>
                <w:bCs/>
                <w:color w:val="FFFFFF"/>
                <w:sz w:val="20"/>
                <w:szCs w:val="20"/>
                <w:lang w:val="es-PE"/>
              </w:rPr>
              <w:t>Meta</w:t>
            </w:r>
          </w:p>
        </w:tc>
        <w:tc>
          <w:tcPr>
            <w:tcW w:w="1220" w:type="dxa"/>
            <w:tcBorders>
              <w:top w:val="single" w:sz="8" w:space="0" w:color="auto"/>
              <w:left w:val="nil"/>
              <w:bottom w:val="single" w:sz="8" w:space="0" w:color="auto"/>
              <w:right w:val="single" w:sz="8" w:space="0" w:color="auto"/>
            </w:tcBorders>
            <w:shd w:val="clear" w:color="000000" w:fill="000000"/>
            <w:vAlign w:val="center"/>
            <w:hideMark/>
          </w:tcPr>
          <w:p w14:paraId="6EBAB0AC" w14:textId="77777777" w:rsidR="000248F4" w:rsidRPr="000248F4" w:rsidRDefault="000248F4" w:rsidP="000248F4">
            <w:pPr>
              <w:spacing w:after="0" w:line="240" w:lineRule="auto"/>
              <w:jc w:val="center"/>
              <w:rPr>
                <w:rFonts w:ascii="Open Sans Light" w:eastAsia="Times New Roman" w:hAnsi="Open Sans Light" w:cs="Open Sans Light"/>
                <w:b/>
                <w:bCs/>
                <w:color w:val="FFFFFF"/>
                <w:sz w:val="20"/>
                <w:szCs w:val="20"/>
                <w:lang w:val="es-PE"/>
              </w:rPr>
            </w:pPr>
            <w:r w:rsidRPr="000248F4">
              <w:rPr>
                <w:rFonts w:ascii="Open Sans Light" w:eastAsia="Times New Roman" w:hAnsi="Open Sans Light" w:cs="Open Sans Light"/>
                <w:b/>
                <w:bCs/>
                <w:color w:val="FFFFFF"/>
                <w:sz w:val="20"/>
                <w:szCs w:val="20"/>
                <w:lang w:val="es-PE"/>
              </w:rPr>
              <w:t>Avance</w:t>
            </w:r>
          </w:p>
        </w:tc>
      </w:tr>
      <w:tr w:rsidR="000248F4" w:rsidRPr="000248F4" w14:paraId="02A30B8E" w14:textId="77777777" w:rsidTr="00F04EDD">
        <w:trPr>
          <w:trHeight w:val="1764"/>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ED337D2"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n-US"/>
              </w:rPr>
              <w:t>RE9</w:t>
            </w:r>
          </w:p>
        </w:tc>
        <w:tc>
          <w:tcPr>
            <w:tcW w:w="1949" w:type="dxa"/>
            <w:tcBorders>
              <w:top w:val="nil"/>
              <w:left w:val="nil"/>
              <w:bottom w:val="single" w:sz="8" w:space="0" w:color="auto"/>
              <w:right w:val="single" w:sz="8" w:space="0" w:color="auto"/>
            </w:tcBorders>
            <w:shd w:val="clear" w:color="auto" w:fill="auto"/>
            <w:vAlign w:val="center"/>
            <w:hideMark/>
          </w:tcPr>
          <w:p w14:paraId="18116362"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Las y los adolescentes postergan su maternidad y paternidad hasta alcanzar la edad adulta</w:t>
            </w:r>
          </w:p>
        </w:tc>
        <w:tc>
          <w:tcPr>
            <w:tcW w:w="2410" w:type="dxa"/>
            <w:tcBorders>
              <w:top w:val="nil"/>
              <w:left w:val="nil"/>
              <w:bottom w:val="single" w:sz="8" w:space="0" w:color="auto"/>
              <w:right w:val="single" w:sz="8" w:space="0" w:color="auto"/>
            </w:tcBorders>
            <w:shd w:val="clear" w:color="auto" w:fill="auto"/>
            <w:vAlign w:val="center"/>
            <w:hideMark/>
          </w:tcPr>
          <w:p w14:paraId="6E1E763F"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9.1. Porcentaje de mujeres (15- 19 años de edad) que ya son madres o están embarazadas por primera vez.</w:t>
            </w:r>
          </w:p>
        </w:tc>
        <w:tc>
          <w:tcPr>
            <w:tcW w:w="708" w:type="dxa"/>
            <w:tcBorders>
              <w:top w:val="nil"/>
              <w:left w:val="nil"/>
              <w:bottom w:val="single" w:sz="8" w:space="0" w:color="auto"/>
              <w:right w:val="single" w:sz="8" w:space="0" w:color="auto"/>
            </w:tcBorders>
            <w:shd w:val="clear" w:color="auto" w:fill="auto"/>
            <w:vAlign w:val="center"/>
            <w:hideMark/>
          </w:tcPr>
          <w:p w14:paraId="21AB5250"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13.20%</w:t>
            </w:r>
          </w:p>
        </w:tc>
        <w:tc>
          <w:tcPr>
            <w:tcW w:w="1276" w:type="dxa"/>
            <w:tcBorders>
              <w:top w:val="nil"/>
              <w:left w:val="nil"/>
              <w:bottom w:val="single" w:sz="8" w:space="0" w:color="auto"/>
              <w:right w:val="single" w:sz="8" w:space="0" w:color="auto"/>
            </w:tcBorders>
            <w:shd w:val="clear" w:color="auto" w:fill="auto"/>
            <w:vAlign w:val="center"/>
            <w:hideMark/>
          </w:tcPr>
          <w:p w14:paraId="4481919E"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 xml:space="preserve"> -20% &lt; &gt; 10.56%</w:t>
            </w:r>
          </w:p>
        </w:tc>
        <w:tc>
          <w:tcPr>
            <w:tcW w:w="1220" w:type="dxa"/>
            <w:tcBorders>
              <w:top w:val="nil"/>
              <w:left w:val="nil"/>
              <w:bottom w:val="single" w:sz="8" w:space="0" w:color="auto"/>
              <w:right w:val="single" w:sz="8" w:space="0" w:color="auto"/>
            </w:tcBorders>
            <w:shd w:val="clear" w:color="auto" w:fill="auto"/>
            <w:vAlign w:val="center"/>
            <w:hideMark/>
          </w:tcPr>
          <w:p w14:paraId="39BC29F9"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7.73% (según proyección)</w:t>
            </w:r>
          </w:p>
        </w:tc>
      </w:tr>
      <w:tr w:rsidR="000248F4" w:rsidRPr="000248F4" w14:paraId="7EDB62C3" w14:textId="77777777" w:rsidTr="00F04EDD">
        <w:trPr>
          <w:trHeight w:val="1764"/>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3FEEEBF"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n-US"/>
              </w:rPr>
              <w:t>RE11</w:t>
            </w:r>
          </w:p>
        </w:tc>
        <w:tc>
          <w:tcPr>
            <w:tcW w:w="1949" w:type="dxa"/>
            <w:tcBorders>
              <w:top w:val="nil"/>
              <w:left w:val="nil"/>
              <w:bottom w:val="single" w:sz="8" w:space="0" w:color="auto"/>
              <w:right w:val="single" w:sz="8" w:space="0" w:color="auto"/>
            </w:tcBorders>
            <w:shd w:val="clear" w:color="auto" w:fill="auto"/>
            <w:vAlign w:val="center"/>
            <w:hideMark/>
          </w:tcPr>
          <w:p w14:paraId="2619FD04"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Las y los adolescentes involucrados en conflictos con la ley penal disminuyen</w:t>
            </w:r>
          </w:p>
        </w:tc>
        <w:tc>
          <w:tcPr>
            <w:tcW w:w="2410" w:type="dxa"/>
            <w:tcBorders>
              <w:top w:val="nil"/>
              <w:left w:val="nil"/>
              <w:bottom w:val="single" w:sz="8" w:space="0" w:color="auto"/>
              <w:right w:val="single" w:sz="8" w:space="0" w:color="auto"/>
            </w:tcBorders>
            <w:shd w:val="clear" w:color="auto" w:fill="auto"/>
            <w:vAlign w:val="center"/>
            <w:hideMark/>
          </w:tcPr>
          <w:p w14:paraId="4E0C54F3" w14:textId="7AE4BC61"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11.1. Tasa de expedientes ingresados a las fiscalías de familia y/o mixtas por infracción de la Ley Penal por cada 100 mil habitantes entre 14 y 17 años.</w:t>
            </w:r>
          </w:p>
        </w:tc>
        <w:tc>
          <w:tcPr>
            <w:tcW w:w="708" w:type="dxa"/>
            <w:tcBorders>
              <w:top w:val="nil"/>
              <w:left w:val="nil"/>
              <w:bottom w:val="single" w:sz="8" w:space="0" w:color="auto"/>
              <w:right w:val="single" w:sz="8" w:space="0" w:color="auto"/>
            </w:tcBorders>
            <w:shd w:val="clear" w:color="auto" w:fill="auto"/>
            <w:vAlign w:val="center"/>
            <w:hideMark/>
          </w:tcPr>
          <w:p w14:paraId="4A23C797"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340.2/100 mil hab.</w:t>
            </w:r>
          </w:p>
        </w:tc>
        <w:tc>
          <w:tcPr>
            <w:tcW w:w="1276" w:type="dxa"/>
            <w:tcBorders>
              <w:top w:val="nil"/>
              <w:left w:val="nil"/>
              <w:bottom w:val="single" w:sz="8" w:space="0" w:color="auto"/>
              <w:right w:val="single" w:sz="8" w:space="0" w:color="auto"/>
            </w:tcBorders>
            <w:shd w:val="clear" w:color="auto" w:fill="auto"/>
            <w:vAlign w:val="center"/>
            <w:hideMark/>
          </w:tcPr>
          <w:p w14:paraId="59ACD979"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no cuantificable</w:t>
            </w:r>
          </w:p>
        </w:tc>
        <w:tc>
          <w:tcPr>
            <w:tcW w:w="1220" w:type="dxa"/>
            <w:tcBorders>
              <w:top w:val="nil"/>
              <w:left w:val="nil"/>
              <w:bottom w:val="single" w:sz="8" w:space="0" w:color="auto"/>
              <w:right w:val="single" w:sz="8" w:space="0" w:color="auto"/>
            </w:tcBorders>
            <w:shd w:val="clear" w:color="auto" w:fill="auto"/>
            <w:vAlign w:val="center"/>
            <w:hideMark/>
          </w:tcPr>
          <w:p w14:paraId="571FED31"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219.5 (según proyección)</w:t>
            </w:r>
          </w:p>
        </w:tc>
      </w:tr>
      <w:tr w:rsidR="000248F4" w:rsidRPr="000248F4" w14:paraId="628C7465" w14:textId="77777777" w:rsidTr="00F04EDD">
        <w:trPr>
          <w:trHeight w:val="1764"/>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168DD9B"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n-US"/>
              </w:rPr>
              <w:t>RE16</w:t>
            </w:r>
          </w:p>
        </w:tc>
        <w:tc>
          <w:tcPr>
            <w:tcW w:w="1949" w:type="dxa"/>
            <w:tcBorders>
              <w:top w:val="nil"/>
              <w:left w:val="nil"/>
              <w:bottom w:val="single" w:sz="8" w:space="0" w:color="auto"/>
              <w:right w:val="single" w:sz="8" w:space="0" w:color="auto"/>
            </w:tcBorders>
            <w:shd w:val="clear" w:color="auto" w:fill="auto"/>
            <w:vAlign w:val="center"/>
            <w:hideMark/>
          </w:tcPr>
          <w:p w14:paraId="6F0A6C6E"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Niñas, niños y adolescentes con discapacidad acceden a servicios especializados de educación y salud</w:t>
            </w:r>
          </w:p>
        </w:tc>
        <w:tc>
          <w:tcPr>
            <w:tcW w:w="2410" w:type="dxa"/>
            <w:tcBorders>
              <w:top w:val="nil"/>
              <w:left w:val="nil"/>
              <w:bottom w:val="single" w:sz="8" w:space="0" w:color="auto"/>
              <w:right w:val="single" w:sz="8" w:space="0" w:color="auto"/>
            </w:tcBorders>
            <w:shd w:val="clear" w:color="auto" w:fill="auto"/>
            <w:vAlign w:val="center"/>
            <w:hideMark/>
          </w:tcPr>
          <w:p w14:paraId="7DEEB217" w14:textId="663E6E39"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16.2. Porcentaje de niñas y niños con discapacidad detectados oportunamente en los Establecimientos de Salud antes de los tres años.</w:t>
            </w:r>
          </w:p>
        </w:tc>
        <w:tc>
          <w:tcPr>
            <w:tcW w:w="708" w:type="dxa"/>
            <w:tcBorders>
              <w:top w:val="nil"/>
              <w:left w:val="nil"/>
              <w:bottom w:val="single" w:sz="8" w:space="0" w:color="auto"/>
              <w:right w:val="single" w:sz="8" w:space="0" w:color="auto"/>
            </w:tcBorders>
            <w:shd w:val="clear" w:color="auto" w:fill="auto"/>
            <w:vAlign w:val="center"/>
            <w:hideMark/>
          </w:tcPr>
          <w:p w14:paraId="49331F8E"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1.10%</w:t>
            </w:r>
          </w:p>
        </w:tc>
        <w:tc>
          <w:tcPr>
            <w:tcW w:w="1276" w:type="dxa"/>
            <w:tcBorders>
              <w:top w:val="nil"/>
              <w:left w:val="nil"/>
              <w:bottom w:val="single" w:sz="8" w:space="0" w:color="auto"/>
              <w:right w:val="single" w:sz="8" w:space="0" w:color="auto"/>
            </w:tcBorders>
            <w:shd w:val="clear" w:color="auto" w:fill="auto"/>
            <w:vAlign w:val="center"/>
            <w:hideMark/>
          </w:tcPr>
          <w:p w14:paraId="494E6686"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no cuantificable</w:t>
            </w:r>
          </w:p>
        </w:tc>
        <w:tc>
          <w:tcPr>
            <w:tcW w:w="1220" w:type="dxa"/>
            <w:tcBorders>
              <w:top w:val="nil"/>
              <w:left w:val="nil"/>
              <w:bottom w:val="single" w:sz="8" w:space="0" w:color="auto"/>
              <w:right w:val="single" w:sz="8" w:space="0" w:color="auto"/>
            </w:tcBorders>
            <w:shd w:val="clear" w:color="auto" w:fill="auto"/>
            <w:vAlign w:val="center"/>
            <w:hideMark/>
          </w:tcPr>
          <w:p w14:paraId="5FBFF7A6"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14.6% (según proyección)</w:t>
            </w:r>
          </w:p>
        </w:tc>
      </w:tr>
      <w:tr w:rsidR="000248F4" w:rsidRPr="000248F4" w14:paraId="587F7349" w14:textId="77777777" w:rsidTr="00F04EDD">
        <w:trPr>
          <w:trHeight w:val="1764"/>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15A1F68"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RE17</w:t>
            </w:r>
          </w:p>
        </w:tc>
        <w:tc>
          <w:tcPr>
            <w:tcW w:w="1949" w:type="dxa"/>
            <w:tcBorders>
              <w:top w:val="nil"/>
              <w:left w:val="nil"/>
              <w:bottom w:val="single" w:sz="8" w:space="0" w:color="auto"/>
              <w:right w:val="single" w:sz="8" w:space="0" w:color="auto"/>
            </w:tcBorders>
            <w:shd w:val="clear" w:color="auto" w:fill="auto"/>
            <w:vAlign w:val="center"/>
            <w:hideMark/>
          </w:tcPr>
          <w:p w14:paraId="3973B505"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Niñas, niños y adolescentes están protegidos integralmente ante situaciones de trata (sexual, laboral, mendicidad)</w:t>
            </w:r>
          </w:p>
        </w:tc>
        <w:tc>
          <w:tcPr>
            <w:tcW w:w="2410" w:type="dxa"/>
            <w:tcBorders>
              <w:top w:val="nil"/>
              <w:left w:val="nil"/>
              <w:bottom w:val="single" w:sz="8" w:space="0" w:color="auto"/>
              <w:right w:val="single" w:sz="8" w:space="0" w:color="auto"/>
            </w:tcBorders>
            <w:shd w:val="clear" w:color="auto" w:fill="auto"/>
            <w:vAlign w:val="center"/>
            <w:hideMark/>
          </w:tcPr>
          <w:p w14:paraId="26F44B4C"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17.1. Número de niñas, niños y adolescentes que son víctimas de trata de personas.</w:t>
            </w:r>
          </w:p>
        </w:tc>
        <w:tc>
          <w:tcPr>
            <w:tcW w:w="708" w:type="dxa"/>
            <w:tcBorders>
              <w:top w:val="nil"/>
              <w:left w:val="nil"/>
              <w:bottom w:val="single" w:sz="8" w:space="0" w:color="auto"/>
              <w:right w:val="single" w:sz="8" w:space="0" w:color="auto"/>
            </w:tcBorders>
            <w:shd w:val="clear" w:color="auto" w:fill="auto"/>
            <w:vAlign w:val="center"/>
            <w:hideMark/>
          </w:tcPr>
          <w:p w14:paraId="04F96B38"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136</w:t>
            </w:r>
          </w:p>
        </w:tc>
        <w:tc>
          <w:tcPr>
            <w:tcW w:w="1276" w:type="dxa"/>
            <w:tcBorders>
              <w:top w:val="nil"/>
              <w:left w:val="nil"/>
              <w:bottom w:val="single" w:sz="8" w:space="0" w:color="auto"/>
              <w:right w:val="single" w:sz="8" w:space="0" w:color="auto"/>
            </w:tcBorders>
            <w:shd w:val="clear" w:color="auto" w:fill="auto"/>
            <w:vAlign w:val="center"/>
            <w:hideMark/>
          </w:tcPr>
          <w:p w14:paraId="6F92F731"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no cuantificable</w:t>
            </w:r>
          </w:p>
        </w:tc>
        <w:tc>
          <w:tcPr>
            <w:tcW w:w="1220" w:type="dxa"/>
            <w:tcBorders>
              <w:top w:val="nil"/>
              <w:left w:val="nil"/>
              <w:bottom w:val="single" w:sz="8" w:space="0" w:color="auto"/>
              <w:right w:val="single" w:sz="8" w:space="0" w:color="auto"/>
            </w:tcBorders>
            <w:shd w:val="clear" w:color="auto" w:fill="auto"/>
            <w:vAlign w:val="center"/>
            <w:hideMark/>
          </w:tcPr>
          <w:p w14:paraId="74220750"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129.7 (según proyección)</w:t>
            </w:r>
          </w:p>
        </w:tc>
      </w:tr>
      <w:tr w:rsidR="000248F4" w:rsidRPr="000248F4" w14:paraId="5F65D48A" w14:textId="77777777" w:rsidTr="00F04EDD">
        <w:trPr>
          <w:trHeight w:val="1764"/>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2C768EAA"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lastRenderedPageBreak/>
              <w:t>RE18</w:t>
            </w:r>
          </w:p>
        </w:tc>
        <w:tc>
          <w:tcPr>
            <w:tcW w:w="1949" w:type="dxa"/>
            <w:tcBorders>
              <w:top w:val="nil"/>
              <w:left w:val="nil"/>
              <w:bottom w:val="single" w:sz="8" w:space="0" w:color="auto"/>
              <w:right w:val="single" w:sz="8" w:space="0" w:color="auto"/>
            </w:tcBorders>
            <w:shd w:val="clear" w:color="auto" w:fill="auto"/>
            <w:vAlign w:val="center"/>
            <w:hideMark/>
          </w:tcPr>
          <w:p w14:paraId="5B4BCCC0"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Niñas, niños y adolescentes participan en el ciclo de políticas públicas que les involucran o interesan</w:t>
            </w:r>
          </w:p>
        </w:tc>
        <w:tc>
          <w:tcPr>
            <w:tcW w:w="2410" w:type="dxa"/>
            <w:tcBorders>
              <w:top w:val="nil"/>
              <w:left w:val="nil"/>
              <w:bottom w:val="single" w:sz="8" w:space="0" w:color="auto"/>
              <w:right w:val="single" w:sz="8" w:space="0" w:color="auto"/>
            </w:tcBorders>
            <w:shd w:val="clear" w:color="auto" w:fill="auto"/>
            <w:vAlign w:val="center"/>
            <w:hideMark/>
          </w:tcPr>
          <w:p w14:paraId="05FAB60C"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18.2. Porcentaje de gobiernos regionales donde participan niñas, niños y adolescentes en el ciclo de políticas públicas en temas que les involucran o interesan.</w:t>
            </w:r>
          </w:p>
        </w:tc>
        <w:tc>
          <w:tcPr>
            <w:tcW w:w="708" w:type="dxa"/>
            <w:tcBorders>
              <w:top w:val="nil"/>
              <w:left w:val="nil"/>
              <w:bottom w:val="single" w:sz="8" w:space="0" w:color="auto"/>
              <w:right w:val="single" w:sz="8" w:space="0" w:color="auto"/>
            </w:tcBorders>
            <w:shd w:val="clear" w:color="auto" w:fill="auto"/>
            <w:vAlign w:val="center"/>
            <w:hideMark/>
          </w:tcPr>
          <w:p w14:paraId="7E26AB18"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2.13%</w:t>
            </w:r>
          </w:p>
        </w:tc>
        <w:tc>
          <w:tcPr>
            <w:tcW w:w="1276" w:type="dxa"/>
            <w:tcBorders>
              <w:top w:val="nil"/>
              <w:left w:val="nil"/>
              <w:bottom w:val="single" w:sz="8" w:space="0" w:color="auto"/>
              <w:right w:val="single" w:sz="8" w:space="0" w:color="auto"/>
            </w:tcBorders>
            <w:shd w:val="clear" w:color="auto" w:fill="auto"/>
            <w:vAlign w:val="center"/>
            <w:hideMark/>
          </w:tcPr>
          <w:p w14:paraId="2C7EB586"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75%</w:t>
            </w:r>
          </w:p>
        </w:tc>
        <w:tc>
          <w:tcPr>
            <w:tcW w:w="1220" w:type="dxa"/>
            <w:tcBorders>
              <w:top w:val="nil"/>
              <w:left w:val="nil"/>
              <w:bottom w:val="single" w:sz="8" w:space="0" w:color="auto"/>
              <w:right w:val="single" w:sz="8" w:space="0" w:color="auto"/>
            </w:tcBorders>
            <w:shd w:val="clear" w:color="auto" w:fill="auto"/>
            <w:vAlign w:val="center"/>
            <w:hideMark/>
          </w:tcPr>
          <w:p w14:paraId="1406AE9F" w14:textId="77777777" w:rsidR="000248F4" w:rsidRPr="000248F4" w:rsidRDefault="000248F4" w:rsidP="000248F4">
            <w:pPr>
              <w:spacing w:after="0" w:line="240" w:lineRule="auto"/>
              <w:jc w:val="center"/>
              <w:rPr>
                <w:rFonts w:ascii="Open Sans Light" w:eastAsia="Times New Roman" w:hAnsi="Open Sans Light" w:cs="Open Sans Light"/>
                <w:color w:val="000000"/>
                <w:sz w:val="20"/>
                <w:szCs w:val="20"/>
                <w:lang w:val="es-PE"/>
              </w:rPr>
            </w:pPr>
            <w:r w:rsidRPr="000248F4">
              <w:rPr>
                <w:rFonts w:ascii="Open Sans Light" w:eastAsia="Times New Roman" w:hAnsi="Open Sans Light" w:cs="Open Sans Light"/>
                <w:color w:val="000000"/>
                <w:sz w:val="20"/>
                <w:szCs w:val="20"/>
                <w:lang w:val="es-PE"/>
              </w:rPr>
              <w:t>31.67 (según proyección)</w:t>
            </w:r>
          </w:p>
        </w:tc>
      </w:tr>
    </w:tbl>
    <w:p w14:paraId="79048561" w14:textId="77777777" w:rsidR="000248F4" w:rsidRPr="006562CC" w:rsidRDefault="000248F4" w:rsidP="0007134D">
      <w:pPr>
        <w:pStyle w:val="ESTILOTABLA"/>
      </w:pPr>
    </w:p>
    <w:p w14:paraId="76BC263E" w14:textId="2B4AEF72" w:rsidR="00A47425" w:rsidRDefault="00A47425" w:rsidP="004D0E60">
      <w:pPr>
        <w:spacing w:before="240"/>
        <w:jc w:val="both"/>
        <w:rPr>
          <w:rFonts w:ascii="Open Sans Light" w:eastAsia="Open Sans Light" w:hAnsi="Open Sans Light" w:cs="Open Sans Light"/>
          <w:color w:val="000000"/>
          <w:sz w:val="24"/>
          <w:szCs w:val="24"/>
        </w:rPr>
      </w:pPr>
      <w:r w:rsidRPr="00716166">
        <w:rPr>
          <w:rFonts w:ascii="Open Sans Light" w:eastAsia="Open Sans Light" w:hAnsi="Open Sans Light" w:cs="Open Sans Light"/>
          <w:color w:val="000000"/>
          <w:sz w:val="24"/>
          <w:szCs w:val="24"/>
        </w:rPr>
        <w:t xml:space="preserve">Para </w:t>
      </w:r>
      <w:r w:rsidR="00926C55" w:rsidRPr="00716166">
        <w:rPr>
          <w:rFonts w:ascii="Open Sans Light" w:eastAsia="Open Sans Light" w:hAnsi="Open Sans Light" w:cs="Open Sans Light"/>
          <w:color w:val="000000"/>
          <w:sz w:val="24"/>
          <w:szCs w:val="24"/>
        </w:rPr>
        <w:t>el resto de</w:t>
      </w:r>
      <w:r w:rsidRPr="00716166">
        <w:rPr>
          <w:rFonts w:ascii="Open Sans Light" w:eastAsia="Open Sans Light" w:hAnsi="Open Sans Light" w:cs="Open Sans Light"/>
          <w:color w:val="000000"/>
          <w:sz w:val="24"/>
          <w:szCs w:val="24"/>
        </w:rPr>
        <w:t xml:space="preserve"> </w:t>
      </w:r>
      <w:r w:rsidR="008A4A8A" w:rsidRPr="00716166">
        <w:rPr>
          <w:rFonts w:ascii="Open Sans Light" w:eastAsia="Open Sans Light" w:hAnsi="Open Sans Light" w:cs="Open Sans Light"/>
          <w:color w:val="000000"/>
          <w:sz w:val="24"/>
          <w:szCs w:val="24"/>
        </w:rPr>
        <w:t>los indicadores</w:t>
      </w:r>
      <w:r w:rsidRPr="00716166">
        <w:rPr>
          <w:rFonts w:ascii="Open Sans Light" w:eastAsia="Open Sans Light" w:hAnsi="Open Sans Light" w:cs="Open Sans Light"/>
          <w:color w:val="000000"/>
          <w:sz w:val="24"/>
          <w:szCs w:val="24"/>
        </w:rPr>
        <w:t xml:space="preserve"> que no cumplirían la meta </w:t>
      </w:r>
      <w:r w:rsidR="00D979D4" w:rsidRPr="00716166">
        <w:rPr>
          <w:rFonts w:ascii="Open Sans Light" w:eastAsia="Open Sans Light" w:hAnsi="Open Sans Light" w:cs="Open Sans Light"/>
          <w:color w:val="000000"/>
          <w:sz w:val="24"/>
          <w:szCs w:val="24"/>
        </w:rPr>
        <w:t xml:space="preserve">PNAIA 2012 – </w:t>
      </w:r>
      <w:r w:rsidR="0047192D" w:rsidRPr="00716166">
        <w:rPr>
          <w:rFonts w:ascii="Open Sans Light" w:eastAsia="Open Sans Light" w:hAnsi="Open Sans Light" w:cs="Open Sans Light"/>
          <w:color w:val="000000"/>
          <w:sz w:val="24"/>
          <w:szCs w:val="24"/>
        </w:rPr>
        <w:t>2021 se</w:t>
      </w:r>
      <w:r w:rsidRPr="00716166">
        <w:rPr>
          <w:rFonts w:ascii="Open Sans Light" w:eastAsia="Open Sans Light" w:hAnsi="Open Sans Light" w:cs="Open Sans Light"/>
          <w:color w:val="000000"/>
          <w:sz w:val="24"/>
          <w:szCs w:val="24"/>
        </w:rPr>
        <w:t xml:space="preserve"> calculó el nivel de</w:t>
      </w:r>
      <w:r>
        <w:rPr>
          <w:rFonts w:ascii="Open Sans Light" w:eastAsia="Open Sans Light" w:hAnsi="Open Sans Light" w:cs="Open Sans Light"/>
          <w:color w:val="000000"/>
          <w:sz w:val="24"/>
          <w:szCs w:val="24"/>
        </w:rPr>
        <w:t xml:space="preserve"> avance </w:t>
      </w:r>
      <w:r w:rsidR="00CD63A7">
        <w:rPr>
          <w:rFonts w:ascii="Open Sans Light" w:eastAsia="Open Sans Light" w:hAnsi="Open Sans Light" w:cs="Open Sans Light"/>
          <w:color w:val="000000"/>
          <w:sz w:val="24"/>
          <w:szCs w:val="24"/>
        </w:rPr>
        <w:t>en sus</w:t>
      </w:r>
      <w:r>
        <w:rPr>
          <w:rFonts w:ascii="Open Sans Light" w:eastAsia="Open Sans Light" w:hAnsi="Open Sans Light" w:cs="Open Sans Light"/>
          <w:color w:val="000000"/>
          <w:sz w:val="24"/>
          <w:szCs w:val="24"/>
        </w:rPr>
        <w:t xml:space="preserve"> desempeño</w:t>
      </w:r>
      <w:r w:rsidR="00CD63A7">
        <w:rPr>
          <w:rFonts w:ascii="Open Sans Light" w:eastAsia="Open Sans Light" w:hAnsi="Open Sans Light" w:cs="Open Sans Light"/>
          <w:color w:val="000000"/>
          <w:sz w:val="24"/>
          <w:szCs w:val="24"/>
        </w:rPr>
        <w:t>s</w:t>
      </w:r>
      <w:r>
        <w:rPr>
          <w:rFonts w:ascii="Open Sans Light" w:eastAsia="Open Sans Light" w:hAnsi="Open Sans Light" w:cs="Open Sans Light"/>
          <w:color w:val="000000"/>
          <w:sz w:val="24"/>
          <w:szCs w:val="24"/>
        </w:rPr>
        <w:t xml:space="preserve">. </w:t>
      </w:r>
      <w:r w:rsidR="00401E1C">
        <w:rPr>
          <w:rFonts w:ascii="Open Sans Light" w:eastAsia="Open Sans Light" w:hAnsi="Open Sans Light" w:cs="Open Sans Light"/>
          <w:color w:val="000000"/>
          <w:sz w:val="24"/>
          <w:szCs w:val="24"/>
        </w:rPr>
        <w:t>Al respecto</w:t>
      </w:r>
      <w:r w:rsidR="00907007">
        <w:rPr>
          <w:rFonts w:ascii="Open Sans Light" w:eastAsia="Open Sans Light" w:hAnsi="Open Sans Light" w:cs="Open Sans Light"/>
          <w:color w:val="000000"/>
          <w:sz w:val="24"/>
          <w:szCs w:val="24"/>
        </w:rPr>
        <w:t xml:space="preserve">, un 56% tuvo un avance inverso, nulo o bajo (menor a 20%). Un 40% tuvo un avance entre regular y bueno (de entre 21% y 80%). Finalmente, solo 1 indicador tuvo un avance óptimo (superior al 80%). </w:t>
      </w:r>
    </w:p>
    <w:p w14:paraId="12F7EC38" w14:textId="30E69B65" w:rsidR="00A74131" w:rsidRPr="00A74131" w:rsidRDefault="00577C55" w:rsidP="00E1300E">
      <w:pPr>
        <w:pStyle w:val="ESTILOTABLA"/>
      </w:pPr>
      <w:r w:rsidRPr="00577C55">
        <w:t xml:space="preserve">Tabla </w:t>
      </w:r>
      <w:r w:rsidRPr="00577C55">
        <w:rPr>
          <w:noProof/>
        </w:rPr>
        <w:fldChar w:fldCharType="begin"/>
      </w:r>
      <w:r w:rsidRPr="00577C55">
        <w:rPr>
          <w:noProof/>
        </w:rPr>
        <w:instrText xml:space="preserve"> SEQ Tabla \* ARABIC </w:instrText>
      </w:r>
      <w:r w:rsidRPr="00577C55">
        <w:rPr>
          <w:noProof/>
        </w:rPr>
        <w:fldChar w:fldCharType="separate"/>
      </w:r>
      <w:r w:rsidR="00846FB2">
        <w:rPr>
          <w:noProof/>
        </w:rPr>
        <w:t>3</w:t>
      </w:r>
      <w:r w:rsidRPr="00577C55">
        <w:rPr>
          <w:noProof/>
        </w:rPr>
        <w:fldChar w:fldCharType="end"/>
      </w:r>
      <w:r w:rsidRPr="00577C55">
        <w:t xml:space="preserve">. </w:t>
      </w:r>
      <w:r w:rsidR="007B4716" w:rsidRPr="00577C55">
        <w:rPr>
          <w:b/>
          <w:i w:val="0"/>
          <w:iCs/>
        </w:rPr>
        <w:t xml:space="preserve">Nivel de avance del indicador </w:t>
      </w:r>
      <w:r w:rsidR="00E66683" w:rsidRPr="00577C55">
        <w:rPr>
          <w:b/>
          <w:i w:val="0"/>
          <w:iCs/>
        </w:rPr>
        <w:t>y su</w:t>
      </w:r>
      <w:r w:rsidR="007B4716" w:rsidRPr="00577C55">
        <w:rPr>
          <w:b/>
          <w:i w:val="0"/>
          <w:iCs/>
        </w:rPr>
        <w:t xml:space="preserve"> desempeño</w:t>
      </w:r>
    </w:p>
    <w:tbl>
      <w:tblPr>
        <w:tblW w:w="8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12"/>
        <w:gridCol w:w="3353"/>
        <w:gridCol w:w="1601"/>
      </w:tblGrid>
      <w:tr w:rsidR="004B0537" w:rsidRPr="00732FA2" w14:paraId="62568F5A" w14:textId="77777777" w:rsidTr="00D654C4">
        <w:trPr>
          <w:trHeight w:val="226"/>
          <w:tblHeader/>
          <w:jc w:val="center"/>
        </w:trPr>
        <w:tc>
          <w:tcPr>
            <w:tcW w:w="3612" w:type="dxa"/>
            <w:shd w:val="clear" w:color="auto" w:fill="000000" w:themeFill="text1"/>
            <w:noWrap/>
            <w:vAlign w:val="center"/>
            <w:hideMark/>
          </w:tcPr>
          <w:p w14:paraId="6E360C4C" w14:textId="29FDB045" w:rsidR="004B0537" w:rsidRPr="00732FA2" w:rsidRDefault="004B0537" w:rsidP="00D654C4">
            <w:pPr>
              <w:spacing w:after="0" w:line="240" w:lineRule="auto"/>
              <w:jc w:val="center"/>
              <w:rPr>
                <w:rFonts w:ascii="Open Sans Light" w:eastAsia="Times New Roman" w:hAnsi="Open Sans Light" w:cs="Open Sans Light"/>
                <w:b/>
                <w:bCs/>
                <w:color w:val="FFFFFF" w:themeColor="background1"/>
                <w:lang w:val="es-PE"/>
              </w:rPr>
            </w:pPr>
            <w:r>
              <w:rPr>
                <w:rFonts w:ascii="Open Sans Light" w:eastAsia="Times New Roman" w:hAnsi="Open Sans Light" w:cs="Open Sans Light"/>
                <w:b/>
                <w:bCs/>
                <w:color w:val="FFFFFF" w:themeColor="background1"/>
                <w:lang w:val="es-PE"/>
              </w:rPr>
              <w:t>Nivel de avance en el desempeño</w:t>
            </w:r>
          </w:p>
        </w:tc>
        <w:tc>
          <w:tcPr>
            <w:tcW w:w="3353" w:type="dxa"/>
            <w:shd w:val="clear" w:color="auto" w:fill="000000" w:themeFill="text1"/>
            <w:noWrap/>
            <w:vAlign w:val="center"/>
          </w:tcPr>
          <w:p w14:paraId="2A82C3A2" w14:textId="77777777" w:rsidR="004B0537" w:rsidRPr="00732FA2" w:rsidRDefault="004B0537" w:rsidP="00D654C4">
            <w:pPr>
              <w:spacing w:after="0" w:line="240" w:lineRule="auto"/>
              <w:jc w:val="center"/>
              <w:rPr>
                <w:rFonts w:ascii="Open Sans Light" w:eastAsia="Times New Roman" w:hAnsi="Open Sans Light" w:cs="Open Sans Light"/>
                <w:b/>
                <w:bCs/>
                <w:color w:val="FFFFFF" w:themeColor="background1"/>
                <w:lang w:val="es-PE"/>
              </w:rPr>
            </w:pPr>
            <w:r>
              <w:rPr>
                <w:rFonts w:ascii="Open Sans Light" w:eastAsia="Times New Roman" w:hAnsi="Open Sans Light" w:cs="Open Sans Light"/>
                <w:b/>
                <w:bCs/>
                <w:color w:val="FFFFFF" w:themeColor="background1"/>
                <w:lang w:val="es-PE"/>
              </w:rPr>
              <w:t>Resultado Esperado</w:t>
            </w:r>
          </w:p>
        </w:tc>
        <w:tc>
          <w:tcPr>
            <w:tcW w:w="1601" w:type="dxa"/>
            <w:shd w:val="clear" w:color="auto" w:fill="000000" w:themeFill="text1"/>
            <w:vAlign w:val="center"/>
          </w:tcPr>
          <w:p w14:paraId="7597F9C9" w14:textId="77777777" w:rsidR="004B0537" w:rsidRDefault="004B0537" w:rsidP="00D654C4">
            <w:pPr>
              <w:spacing w:after="0" w:line="240" w:lineRule="auto"/>
              <w:jc w:val="center"/>
              <w:rPr>
                <w:rFonts w:ascii="Open Sans Light" w:eastAsia="Times New Roman" w:hAnsi="Open Sans Light" w:cs="Open Sans Light"/>
                <w:b/>
                <w:bCs/>
                <w:color w:val="FFFFFF" w:themeColor="background1"/>
                <w:lang w:val="es-PE"/>
              </w:rPr>
            </w:pPr>
            <w:r>
              <w:rPr>
                <w:rFonts w:ascii="Open Sans Light" w:eastAsia="Times New Roman" w:hAnsi="Open Sans Light" w:cs="Open Sans Light"/>
                <w:b/>
                <w:bCs/>
                <w:color w:val="FFFFFF" w:themeColor="background1"/>
                <w:lang w:val="es-PE"/>
              </w:rPr>
              <w:t>Indicadores</w:t>
            </w:r>
          </w:p>
        </w:tc>
      </w:tr>
      <w:tr w:rsidR="004B0537" w:rsidRPr="00732FA2" w14:paraId="120831A8" w14:textId="77777777" w:rsidTr="00D654C4">
        <w:trPr>
          <w:trHeight w:val="226"/>
          <w:jc w:val="center"/>
        </w:trPr>
        <w:tc>
          <w:tcPr>
            <w:tcW w:w="3612" w:type="dxa"/>
            <w:shd w:val="clear" w:color="auto" w:fill="auto"/>
            <w:noWrap/>
            <w:vAlign w:val="center"/>
          </w:tcPr>
          <w:p w14:paraId="2DC648F0"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Nulo o inverso</w:t>
            </w:r>
          </w:p>
        </w:tc>
        <w:tc>
          <w:tcPr>
            <w:tcW w:w="3353" w:type="dxa"/>
            <w:shd w:val="clear" w:color="auto" w:fill="auto"/>
            <w:noWrap/>
            <w:vAlign w:val="center"/>
          </w:tcPr>
          <w:p w14:paraId="2AE8DF7A" w14:textId="0460057C" w:rsidR="004B0537" w:rsidRPr="00735CC2" w:rsidRDefault="004B0537" w:rsidP="00D654C4">
            <w:pPr>
              <w:spacing w:after="0" w:line="240" w:lineRule="auto"/>
              <w:jc w:val="center"/>
              <w:rPr>
                <w:rFonts w:ascii="Open Sans Light" w:eastAsia="Times New Roman" w:hAnsi="Open Sans Light" w:cs="Open Sans Light"/>
                <w:color w:val="000000"/>
                <w:lang w:val="en-US"/>
              </w:rPr>
            </w:pPr>
            <w:r w:rsidRPr="00735CC2">
              <w:rPr>
                <w:rFonts w:ascii="Open Sans Light" w:eastAsia="Times New Roman" w:hAnsi="Open Sans Light" w:cs="Open Sans Light"/>
                <w:color w:val="000000"/>
                <w:lang w:val="en-US"/>
              </w:rPr>
              <w:t>RE3, RE10, RE13, RE14, RE19, RE22, RE24</w:t>
            </w:r>
          </w:p>
        </w:tc>
        <w:tc>
          <w:tcPr>
            <w:tcW w:w="1601" w:type="dxa"/>
            <w:vAlign w:val="center"/>
          </w:tcPr>
          <w:p w14:paraId="42D21F51"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7</w:t>
            </w:r>
          </w:p>
        </w:tc>
      </w:tr>
      <w:tr w:rsidR="004B0537" w:rsidRPr="00732FA2" w14:paraId="28E81543" w14:textId="77777777" w:rsidTr="00D654C4">
        <w:trPr>
          <w:trHeight w:val="226"/>
          <w:jc w:val="center"/>
        </w:trPr>
        <w:tc>
          <w:tcPr>
            <w:tcW w:w="3612" w:type="dxa"/>
            <w:shd w:val="clear" w:color="auto" w:fill="auto"/>
            <w:noWrap/>
            <w:vAlign w:val="center"/>
          </w:tcPr>
          <w:p w14:paraId="5F65BB98"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Bajo (menor o igual al 20%)</w:t>
            </w:r>
          </w:p>
        </w:tc>
        <w:tc>
          <w:tcPr>
            <w:tcW w:w="3353" w:type="dxa"/>
            <w:shd w:val="clear" w:color="auto" w:fill="auto"/>
            <w:noWrap/>
            <w:vAlign w:val="center"/>
          </w:tcPr>
          <w:p w14:paraId="5CDA8D95" w14:textId="77777777" w:rsidR="004B0537" w:rsidRPr="00735CC2" w:rsidRDefault="004B0537" w:rsidP="00D654C4">
            <w:pPr>
              <w:spacing w:after="0" w:line="240" w:lineRule="auto"/>
              <w:jc w:val="center"/>
              <w:rPr>
                <w:rFonts w:ascii="Open Sans Light" w:eastAsia="Times New Roman" w:hAnsi="Open Sans Light" w:cs="Open Sans Light"/>
                <w:color w:val="000000"/>
                <w:lang w:val="en-US"/>
              </w:rPr>
            </w:pPr>
            <w:r w:rsidRPr="00735CC2">
              <w:rPr>
                <w:rFonts w:ascii="Open Sans Light" w:eastAsia="Times New Roman" w:hAnsi="Open Sans Light" w:cs="Open Sans Light"/>
                <w:color w:val="000000"/>
                <w:lang w:val="en-US"/>
              </w:rPr>
              <w:t>RE4, RE5, RE6, RE7, RE16, RE20</w:t>
            </w:r>
          </w:p>
        </w:tc>
        <w:tc>
          <w:tcPr>
            <w:tcW w:w="1601" w:type="dxa"/>
            <w:vAlign w:val="center"/>
          </w:tcPr>
          <w:p w14:paraId="47768564" w14:textId="53B826FC" w:rsidR="004B0537" w:rsidRPr="00732FA2" w:rsidRDefault="00B624B6"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7</w:t>
            </w:r>
          </w:p>
        </w:tc>
      </w:tr>
      <w:tr w:rsidR="004B0537" w:rsidRPr="00732FA2" w14:paraId="405584B0" w14:textId="77777777" w:rsidTr="00D654C4">
        <w:trPr>
          <w:trHeight w:val="226"/>
          <w:jc w:val="center"/>
        </w:trPr>
        <w:tc>
          <w:tcPr>
            <w:tcW w:w="3612" w:type="dxa"/>
            <w:shd w:val="clear" w:color="auto" w:fill="auto"/>
            <w:noWrap/>
            <w:vAlign w:val="center"/>
          </w:tcPr>
          <w:p w14:paraId="6A846D33"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Regular (del 21% al 50%)</w:t>
            </w:r>
          </w:p>
        </w:tc>
        <w:tc>
          <w:tcPr>
            <w:tcW w:w="3353" w:type="dxa"/>
            <w:shd w:val="clear" w:color="auto" w:fill="auto"/>
            <w:noWrap/>
            <w:vAlign w:val="center"/>
          </w:tcPr>
          <w:p w14:paraId="755E30C4" w14:textId="77777777" w:rsidR="004B0537" w:rsidRPr="00735CC2" w:rsidRDefault="004B0537" w:rsidP="00D654C4">
            <w:pPr>
              <w:spacing w:after="0" w:line="240" w:lineRule="auto"/>
              <w:jc w:val="center"/>
              <w:rPr>
                <w:rFonts w:ascii="Open Sans Light" w:eastAsia="Times New Roman" w:hAnsi="Open Sans Light" w:cs="Open Sans Light"/>
                <w:color w:val="000000"/>
                <w:lang w:val="en-US"/>
              </w:rPr>
            </w:pPr>
            <w:r w:rsidRPr="00735CC2">
              <w:rPr>
                <w:rFonts w:ascii="Open Sans Light" w:eastAsia="Times New Roman" w:hAnsi="Open Sans Light" w:cs="Open Sans Light"/>
                <w:color w:val="000000"/>
                <w:lang w:val="en-US"/>
              </w:rPr>
              <w:t>RE2, RE8, RE18, RE21, RE25</w:t>
            </w:r>
          </w:p>
        </w:tc>
        <w:tc>
          <w:tcPr>
            <w:tcW w:w="1601" w:type="dxa"/>
            <w:vAlign w:val="center"/>
          </w:tcPr>
          <w:p w14:paraId="3981B6FB" w14:textId="37B3D19B" w:rsidR="004B0537" w:rsidRPr="00732FA2" w:rsidRDefault="00B624B6"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5</w:t>
            </w:r>
          </w:p>
        </w:tc>
      </w:tr>
      <w:tr w:rsidR="004B0537" w:rsidRPr="00732FA2" w14:paraId="23F0FC4F" w14:textId="77777777" w:rsidTr="00D654C4">
        <w:trPr>
          <w:trHeight w:val="226"/>
          <w:jc w:val="center"/>
        </w:trPr>
        <w:tc>
          <w:tcPr>
            <w:tcW w:w="3612" w:type="dxa"/>
            <w:shd w:val="clear" w:color="auto" w:fill="auto"/>
            <w:noWrap/>
            <w:vAlign w:val="center"/>
          </w:tcPr>
          <w:p w14:paraId="2BD0350C"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Bueno (del 51% al 80%)</w:t>
            </w:r>
          </w:p>
        </w:tc>
        <w:tc>
          <w:tcPr>
            <w:tcW w:w="3353" w:type="dxa"/>
            <w:shd w:val="clear" w:color="auto" w:fill="auto"/>
            <w:noWrap/>
            <w:vAlign w:val="center"/>
          </w:tcPr>
          <w:p w14:paraId="6D8FD06B"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RE1, RE12, RE15, RE23</w:t>
            </w:r>
          </w:p>
        </w:tc>
        <w:tc>
          <w:tcPr>
            <w:tcW w:w="1601" w:type="dxa"/>
            <w:vAlign w:val="center"/>
          </w:tcPr>
          <w:p w14:paraId="413B8884"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5</w:t>
            </w:r>
          </w:p>
        </w:tc>
      </w:tr>
      <w:tr w:rsidR="004B0537" w:rsidRPr="00732FA2" w14:paraId="70D96BE1" w14:textId="77777777" w:rsidTr="00D654C4">
        <w:trPr>
          <w:trHeight w:val="226"/>
          <w:jc w:val="center"/>
        </w:trPr>
        <w:tc>
          <w:tcPr>
            <w:tcW w:w="3612" w:type="dxa"/>
            <w:shd w:val="clear" w:color="auto" w:fill="auto"/>
            <w:noWrap/>
            <w:vAlign w:val="center"/>
          </w:tcPr>
          <w:p w14:paraId="6F0C19B2"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Óptimo (superior al 80%)</w:t>
            </w:r>
          </w:p>
        </w:tc>
        <w:tc>
          <w:tcPr>
            <w:tcW w:w="3353" w:type="dxa"/>
            <w:shd w:val="clear" w:color="auto" w:fill="auto"/>
            <w:noWrap/>
            <w:vAlign w:val="center"/>
          </w:tcPr>
          <w:p w14:paraId="3E42A7F1"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RE10</w:t>
            </w:r>
          </w:p>
        </w:tc>
        <w:tc>
          <w:tcPr>
            <w:tcW w:w="1601" w:type="dxa"/>
            <w:vAlign w:val="center"/>
          </w:tcPr>
          <w:p w14:paraId="1E31A025" w14:textId="77777777" w:rsidR="004B0537" w:rsidRPr="00732FA2" w:rsidRDefault="004B0537"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1</w:t>
            </w:r>
          </w:p>
        </w:tc>
      </w:tr>
      <w:tr w:rsidR="00926C55" w:rsidRPr="00732FA2" w14:paraId="666A7A2B" w14:textId="77777777" w:rsidTr="00D654C4">
        <w:trPr>
          <w:trHeight w:val="226"/>
          <w:jc w:val="center"/>
        </w:trPr>
        <w:tc>
          <w:tcPr>
            <w:tcW w:w="6965" w:type="dxa"/>
            <w:gridSpan w:val="2"/>
            <w:shd w:val="clear" w:color="auto" w:fill="F2F2F2" w:themeFill="background1" w:themeFillShade="F2"/>
            <w:noWrap/>
            <w:vAlign w:val="center"/>
          </w:tcPr>
          <w:p w14:paraId="172C677B" w14:textId="7797978E" w:rsidR="00926C55" w:rsidRPr="00926C55" w:rsidRDefault="00926C55" w:rsidP="00D654C4">
            <w:pPr>
              <w:spacing w:after="0" w:line="240" w:lineRule="auto"/>
              <w:jc w:val="center"/>
              <w:rPr>
                <w:rFonts w:ascii="Open Sans Light" w:eastAsia="Times New Roman" w:hAnsi="Open Sans Light" w:cs="Open Sans Light"/>
                <w:b/>
                <w:bCs/>
                <w:color w:val="000000"/>
                <w:lang w:val="es-PE"/>
              </w:rPr>
            </w:pPr>
            <w:r w:rsidRPr="00926C55">
              <w:rPr>
                <w:rFonts w:ascii="Open Sans Light" w:eastAsia="Times New Roman" w:hAnsi="Open Sans Light" w:cs="Open Sans Light"/>
                <w:b/>
                <w:bCs/>
                <w:color w:val="000000"/>
                <w:lang w:val="es-PE"/>
              </w:rPr>
              <w:t>Total de indicadores que no cumplirían la meta</w:t>
            </w:r>
          </w:p>
        </w:tc>
        <w:tc>
          <w:tcPr>
            <w:tcW w:w="1601" w:type="dxa"/>
            <w:shd w:val="clear" w:color="auto" w:fill="F2F2F2" w:themeFill="background1" w:themeFillShade="F2"/>
            <w:vAlign w:val="center"/>
          </w:tcPr>
          <w:p w14:paraId="1D8A8705" w14:textId="5E8354C6" w:rsidR="00926C55" w:rsidRPr="00926C55" w:rsidRDefault="00926C55" w:rsidP="00D654C4">
            <w:pPr>
              <w:spacing w:after="0" w:line="240" w:lineRule="auto"/>
              <w:jc w:val="center"/>
              <w:rPr>
                <w:rFonts w:ascii="Open Sans Light" w:eastAsia="Times New Roman" w:hAnsi="Open Sans Light" w:cs="Open Sans Light"/>
                <w:b/>
                <w:bCs/>
                <w:color w:val="000000"/>
                <w:lang w:val="es-PE"/>
              </w:rPr>
            </w:pPr>
            <w:r w:rsidRPr="00926C55">
              <w:rPr>
                <w:rFonts w:ascii="Open Sans Light" w:eastAsia="Times New Roman" w:hAnsi="Open Sans Light" w:cs="Open Sans Light"/>
                <w:b/>
                <w:bCs/>
                <w:color w:val="000000"/>
                <w:lang w:val="es-PE"/>
              </w:rPr>
              <w:t>25</w:t>
            </w:r>
          </w:p>
        </w:tc>
      </w:tr>
      <w:tr w:rsidR="00926C55" w:rsidRPr="00732FA2" w14:paraId="5BEBA239" w14:textId="77777777" w:rsidTr="00D654C4">
        <w:trPr>
          <w:trHeight w:val="226"/>
          <w:jc w:val="center"/>
        </w:trPr>
        <w:tc>
          <w:tcPr>
            <w:tcW w:w="6965" w:type="dxa"/>
            <w:gridSpan w:val="2"/>
            <w:shd w:val="clear" w:color="auto" w:fill="auto"/>
            <w:noWrap/>
            <w:vAlign w:val="center"/>
          </w:tcPr>
          <w:p w14:paraId="4911A4BE" w14:textId="631494DD" w:rsidR="00926C55" w:rsidRDefault="00926C55"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Indicadores que cumplirían la meta 2021</w:t>
            </w:r>
          </w:p>
        </w:tc>
        <w:tc>
          <w:tcPr>
            <w:tcW w:w="1601" w:type="dxa"/>
            <w:vAlign w:val="center"/>
          </w:tcPr>
          <w:p w14:paraId="44E9E464" w14:textId="279FD321" w:rsidR="00926C55" w:rsidRDefault="00926C55" w:rsidP="00D654C4">
            <w:pPr>
              <w:spacing w:after="0" w:line="240" w:lineRule="auto"/>
              <w:jc w:val="center"/>
              <w:rPr>
                <w:rFonts w:ascii="Open Sans Light" w:eastAsia="Times New Roman" w:hAnsi="Open Sans Light" w:cs="Open Sans Light"/>
                <w:color w:val="000000"/>
                <w:lang w:val="es-PE"/>
              </w:rPr>
            </w:pPr>
            <w:r>
              <w:rPr>
                <w:rFonts w:ascii="Open Sans Light" w:eastAsia="Times New Roman" w:hAnsi="Open Sans Light" w:cs="Open Sans Light"/>
                <w:color w:val="000000"/>
                <w:lang w:val="es-PE"/>
              </w:rPr>
              <w:t>5</w:t>
            </w:r>
          </w:p>
        </w:tc>
      </w:tr>
      <w:tr w:rsidR="00926C55" w:rsidRPr="00732FA2" w14:paraId="0FA8C8A0" w14:textId="77777777" w:rsidTr="00D654C4">
        <w:trPr>
          <w:trHeight w:val="226"/>
          <w:jc w:val="center"/>
        </w:trPr>
        <w:tc>
          <w:tcPr>
            <w:tcW w:w="6965" w:type="dxa"/>
            <w:gridSpan w:val="2"/>
            <w:shd w:val="clear" w:color="auto" w:fill="BFBFBF" w:themeFill="background1" w:themeFillShade="BF"/>
            <w:noWrap/>
            <w:vAlign w:val="center"/>
          </w:tcPr>
          <w:p w14:paraId="2690F106" w14:textId="78FDB1A7" w:rsidR="00926C55" w:rsidRPr="003B4845" w:rsidRDefault="00926C55" w:rsidP="00D654C4">
            <w:pPr>
              <w:spacing w:after="0" w:line="240" w:lineRule="auto"/>
              <w:jc w:val="center"/>
              <w:rPr>
                <w:rFonts w:ascii="Open Sans Light" w:eastAsia="Times New Roman" w:hAnsi="Open Sans Light" w:cs="Open Sans Light"/>
                <w:b/>
                <w:bCs/>
                <w:lang w:val="es-PE"/>
              </w:rPr>
            </w:pPr>
            <w:r w:rsidRPr="003B4845">
              <w:rPr>
                <w:rFonts w:ascii="Open Sans Light" w:eastAsia="Times New Roman" w:hAnsi="Open Sans Light" w:cs="Open Sans Light"/>
                <w:b/>
                <w:bCs/>
                <w:lang w:val="es-PE"/>
              </w:rPr>
              <w:t>Total de indicadores</w:t>
            </w:r>
          </w:p>
        </w:tc>
        <w:tc>
          <w:tcPr>
            <w:tcW w:w="1601" w:type="dxa"/>
            <w:shd w:val="clear" w:color="auto" w:fill="BFBFBF" w:themeFill="background1" w:themeFillShade="BF"/>
            <w:vAlign w:val="center"/>
          </w:tcPr>
          <w:p w14:paraId="217B3B90" w14:textId="1A73DE6F" w:rsidR="00926C55" w:rsidRPr="003B4845" w:rsidRDefault="00926C55" w:rsidP="00D654C4">
            <w:pPr>
              <w:spacing w:after="0" w:line="240" w:lineRule="auto"/>
              <w:jc w:val="center"/>
              <w:rPr>
                <w:rFonts w:ascii="Open Sans Light" w:eastAsia="Times New Roman" w:hAnsi="Open Sans Light" w:cs="Open Sans Light"/>
                <w:b/>
                <w:bCs/>
                <w:lang w:val="es-PE"/>
              </w:rPr>
            </w:pPr>
            <w:r w:rsidRPr="003B4845">
              <w:rPr>
                <w:rFonts w:ascii="Open Sans Light" w:eastAsia="Times New Roman" w:hAnsi="Open Sans Light" w:cs="Open Sans Light"/>
                <w:b/>
                <w:bCs/>
                <w:lang w:val="es-PE"/>
              </w:rPr>
              <w:t>30</w:t>
            </w:r>
          </w:p>
        </w:tc>
      </w:tr>
    </w:tbl>
    <w:p w14:paraId="00000068" w14:textId="051BE430" w:rsidR="001B34FD" w:rsidRPr="001B34FD" w:rsidRDefault="00CC7A0A" w:rsidP="004D0E60">
      <w:pPr>
        <w:spacing w:before="240"/>
        <w:jc w:val="both"/>
        <w:rPr>
          <w:rFonts w:ascii="Open Sans Light" w:eastAsia="Open Sans Light" w:hAnsi="Open Sans Light" w:cs="Open Sans Light"/>
          <w:color w:val="000000"/>
          <w:sz w:val="24"/>
          <w:szCs w:val="24"/>
        </w:rPr>
        <w:sectPr w:rsidR="001B34FD" w:rsidRPr="001B34FD" w:rsidSect="00D346B3">
          <w:pgSz w:w="11906" w:h="16838"/>
          <w:pgMar w:top="2126" w:right="1701" w:bottom="1418" w:left="1701" w:header="426" w:footer="567" w:gutter="0"/>
          <w:cols w:space="720"/>
        </w:sectPr>
      </w:pPr>
      <w:r>
        <w:rPr>
          <w:rFonts w:ascii="Open Sans Light" w:eastAsia="Open Sans Light" w:hAnsi="Open Sans Light" w:cs="Open Sans Light"/>
          <w:color w:val="000000"/>
          <w:sz w:val="24"/>
          <w:szCs w:val="24"/>
        </w:rPr>
        <w:t>Finalmente</w:t>
      </w:r>
      <w:r w:rsidR="00C136DC">
        <w:rPr>
          <w:rFonts w:ascii="Open Sans Light" w:eastAsia="Open Sans Light" w:hAnsi="Open Sans Light" w:cs="Open Sans Light"/>
          <w:color w:val="000000"/>
          <w:sz w:val="24"/>
          <w:szCs w:val="24"/>
        </w:rPr>
        <w:t xml:space="preserve">, </w:t>
      </w:r>
      <w:r w:rsidR="00A04101">
        <w:rPr>
          <w:rFonts w:ascii="Open Sans Light" w:eastAsia="Open Sans Light" w:hAnsi="Open Sans Light" w:cs="Open Sans Light"/>
          <w:color w:val="000000"/>
          <w:sz w:val="24"/>
          <w:szCs w:val="24"/>
        </w:rPr>
        <w:t xml:space="preserve">con el </w:t>
      </w:r>
      <w:r w:rsidR="00451EF8">
        <w:rPr>
          <w:rFonts w:ascii="Open Sans Light" w:eastAsia="Open Sans Light" w:hAnsi="Open Sans Light" w:cs="Open Sans Light"/>
          <w:color w:val="000000"/>
          <w:sz w:val="24"/>
          <w:szCs w:val="24"/>
        </w:rPr>
        <w:t>objetivo</w:t>
      </w:r>
      <w:r w:rsidR="00A04101">
        <w:rPr>
          <w:rFonts w:ascii="Open Sans Light" w:eastAsia="Open Sans Light" w:hAnsi="Open Sans Light" w:cs="Open Sans Light"/>
          <w:color w:val="000000"/>
          <w:sz w:val="24"/>
          <w:szCs w:val="24"/>
        </w:rPr>
        <w:t xml:space="preserve"> de</w:t>
      </w:r>
      <w:r w:rsidR="005A1EEB">
        <w:rPr>
          <w:rFonts w:ascii="Open Sans Light" w:eastAsia="Open Sans Light" w:hAnsi="Open Sans Light" w:cs="Open Sans Light"/>
          <w:color w:val="000000"/>
          <w:sz w:val="24"/>
          <w:szCs w:val="24"/>
        </w:rPr>
        <w:t xml:space="preserve"> determinar en qué periodo se </w:t>
      </w:r>
      <w:r w:rsidR="00440553">
        <w:rPr>
          <w:rFonts w:ascii="Open Sans Light" w:eastAsia="Open Sans Light" w:hAnsi="Open Sans Light" w:cs="Open Sans Light"/>
          <w:color w:val="000000"/>
          <w:sz w:val="24"/>
          <w:szCs w:val="24"/>
        </w:rPr>
        <w:t>alcanzaría</w:t>
      </w:r>
      <w:r w:rsidR="005A1EEB">
        <w:rPr>
          <w:rFonts w:ascii="Open Sans Light" w:eastAsia="Open Sans Light" w:hAnsi="Open Sans Light" w:cs="Open Sans Light"/>
          <w:color w:val="000000"/>
          <w:sz w:val="24"/>
          <w:szCs w:val="24"/>
        </w:rPr>
        <w:t xml:space="preserve"> la meta</w:t>
      </w:r>
      <w:r w:rsidR="00440553">
        <w:rPr>
          <w:rFonts w:ascii="Open Sans Light" w:eastAsia="Open Sans Light" w:hAnsi="Open Sans Light" w:cs="Open Sans Light"/>
          <w:color w:val="000000"/>
          <w:sz w:val="24"/>
          <w:szCs w:val="24"/>
        </w:rPr>
        <w:t xml:space="preserve"> programada </w:t>
      </w:r>
      <w:r w:rsidR="00A04101">
        <w:rPr>
          <w:rFonts w:ascii="Open Sans Light" w:eastAsia="Open Sans Light" w:hAnsi="Open Sans Light" w:cs="Open Sans Light"/>
          <w:color w:val="000000"/>
          <w:sz w:val="24"/>
          <w:szCs w:val="24"/>
        </w:rPr>
        <w:t>para</w:t>
      </w:r>
      <w:r w:rsidR="005A1EEB">
        <w:rPr>
          <w:rFonts w:ascii="Open Sans Light" w:eastAsia="Open Sans Light" w:hAnsi="Open Sans Light" w:cs="Open Sans Light"/>
          <w:color w:val="000000"/>
          <w:sz w:val="24"/>
          <w:szCs w:val="24"/>
        </w:rPr>
        <w:t xml:space="preserve"> aquellos indicadores</w:t>
      </w:r>
      <w:r w:rsidR="00440553">
        <w:rPr>
          <w:rFonts w:ascii="Open Sans Light" w:eastAsia="Open Sans Light" w:hAnsi="Open Sans Light" w:cs="Open Sans Light"/>
          <w:color w:val="000000"/>
          <w:sz w:val="24"/>
          <w:szCs w:val="24"/>
        </w:rPr>
        <w:t xml:space="preserve"> que no</w:t>
      </w:r>
      <w:r w:rsidR="009365CE">
        <w:rPr>
          <w:rFonts w:ascii="Open Sans Light" w:eastAsia="Open Sans Light" w:hAnsi="Open Sans Light" w:cs="Open Sans Light"/>
          <w:color w:val="000000"/>
          <w:sz w:val="24"/>
          <w:szCs w:val="24"/>
        </w:rPr>
        <w:t xml:space="preserve"> lograron</w:t>
      </w:r>
      <w:r w:rsidR="00440553">
        <w:rPr>
          <w:rFonts w:ascii="Open Sans Light" w:eastAsia="Open Sans Light" w:hAnsi="Open Sans Light" w:cs="Open Sans Light"/>
          <w:color w:val="000000"/>
          <w:sz w:val="24"/>
          <w:szCs w:val="24"/>
        </w:rPr>
        <w:t xml:space="preserve"> cumpli</w:t>
      </w:r>
      <w:r w:rsidR="009365CE">
        <w:rPr>
          <w:rFonts w:ascii="Open Sans Light" w:eastAsia="Open Sans Light" w:hAnsi="Open Sans Light" w:cs="Open Sans Light"/>
          <w:color w:val="000000"/>
          <w:sz w:val="24"/>
          <w:szCs w:val="24"/>
        </w:rPr>
        <w:t>miento</w:t>
      </w:r>
      <w:r w:rsidR="00440553">
        <w:rPr>
          <w:rFonts w:ascii="Open Sans Light" w:eastAsia="Open Sans Light" w:hAnsi="Open Sans Light" w:cs="Open Sans Light"/>
          <w:color w:val="000000"/>
          <w:sz w:val="24"/>
          <w:szCs w:val="24"/>
        </w:rPr>
        <w:t xml:space="preserve">, se </w:t>
      </w:r>
      <w:r w:rsidR="00DA2C9A">
        <w:rPr>
          <w:rFonts w:ascii="Open Sans Light" w:eastAsia="Open Sans Light" w:hAnsi="Open Sans Light" w:cs="Open Sans Light"/>
          <w:color w:val="000000"/>
          <w:sz w:val="24"/>
          <w:szCs w:val="24"/>
        </w:rPr>
        <w:t>encontró que,</w:t>
      </w:r>
      <w:r w:rsidR="005A1EEB">
        <w:rPr>
          <w:rFonts w:ascii="Open Sans Light" w:eastAsia="Open Sans Light" w:hAnsi="Open Sans Light" w:cs="Open Sans Light"/>
          <w:color w:val="000000"/>
          <w:sz w:val="24"/>
          <w:szCs w:val="24"/>
        </w:rPr>
        <w:t xml:space="preserve"> </w:t>
      </w:r>
      <w:r w:rsidR="00C136DC">
        <w:rPr>
          <w:rFonts w:ascii="Open Sans Light" w:eastAsia="Open Sans Light" w:hAnsi="Open Sans Light" w:cs="Open Sans Light"/>
          <w:color w:val="000000"/>
          <w:sz w:val="24"/>
          <w:szCs w:val="24"/>
        </w:rPr>
        <w:t xml:space="preserve">al 2030, </w:t>
      </w:r>
      <w:r w:rsidR="00C55BC9">
        <w:rPr>
          <w:rFonts w:ascii="Open Sans Light" w:eastAsia="Open Sans Light" w:hAnsi="Open Sans Light" w:cs="Open Sans Light"/>
          <w:color w:val="000000"/>
          <w:sz w:val="24"/>
          <w:szCs w:val="24"/>
        </w:rPr>
        <w:t>solo 3 indicadores estarían</w:t>
      </w:r>
      <w:r w:rsidR="001A0496">
        <w:rPr>
          <w:rFonts w:ascii="Open Sans Light" w:eastAsia="Open Sans Light" w:hAnsi="Open Sans Light" w:cs="Open Sans Light"/>
          <w:color w:val="000000"/>
          <w:sz w:val="24"/>
          <w:szCs w:val="24"/>
        </w:rPr>
        <w:t xml:space="preserve"> lográndolo</w:t>
      </w:r>
      <w:r w:rsidR="001B34FD">
        <w:rPr>
          <w:rFonts w:ascii="Open Sans Light" w:eastAsia="Open Sans Light" w:hAnsi="Open Sans Light" w:cs="Open Sans Light"/>
          <w:color w:val="000000"/>
          <w:sz w:val="24"/>
          <w:szCs w:val="24"/>
        </w:rPr>
        <w:t>: (i)</w:t>
      </w:r>
      <w:r w:rsidR="00164133">
        <w:rPr>
          <w:rFonts w:ascii="Open Sans Light" w:eastAsia="Open Sans Light" w:hAnsi="Open Sans Light" w:cs="Open Sans Light"/>
          <w:color w:val="000000"/>
          <w:sz w:val="24"/>
          <w:szCs w:val="24"/>
        </w:rPr>
        <w:t xml:space="preserve"> para el 2022, los indicadores del RE1 y </w:t>
      </w:r>
      <w:r w:rsidR="002255D3">
        <w:rPr>
          <w:rFonts w:ascii="Open Sans Light" w:eastAsia="Open Sans Light" w:hAnsi="Open Sans Light" w:cs="Open Sans Light"/>
          <w:color w:val="000000"/>
          <w:sz w:val="24"/>
          <w:szCs w:val="24"/>
        </w:rPr>
        <w:t>RE12, y (ii)</w:t>
      </w:r>
      <w:r w:rsidR="0091022C">
        <w:rPr>
          <w:rFonts w:ascii="Open Sans Light" w:eastAsia="Open Sans Light" w:hAnsi="Open Sans Light" w:cs="Open Sans Light"/>
          <w:color w:val="000000"/>
          <w:sz w:val="24"/>
          <w:szCs w:val="24"/>
        </w:rPr>
        <w:t xml:space="preserve"> para el 2029 el indicador de RE15.</w:t>
      </w:r>
    </w:p>
    <w:p w14:paraId="0000006B" w14:textId="77777777" w:rsidR="00971081" w:rsidRDefault="00971081">
      <w:pPr>
        <w:spacing w:after="0" w:line="240" w:lineRule="auto"/>
        <w:jc w:val="center"/>
        <w:rPr>
          <w:rFonts w:ascii="Open Sans Light" w:eastAsia="Open Sans Light" w:hAnsi="Open Sans Light" w:cs="Open Sans Light"/>
          <w:b/>
          <w:color w:val="000000"/>
          <w:sz w:val="24"/>
          <w:szCs w:val="24"/>
        </w:rPr>
      </w:pPr>
    </w:p>
    <w:p w14:paraId="22E29017" w14:textId="6FB65805" w:rsidR="009B1474" w:rsidRDefault="00577C55" w:rsidP="007D1278">
      <w:pPr>
        <w:spacing w:after="0" w:line="240" w:lineRule="auto"/>
        <w:jc w:val="center"/>
        <w:rPr>
          <w:rFonts w:ascii="Open Sans Light" w:eastAsia="Open Sans Light" w:hAnsi="Open Sans Light" w:cs="Open Sans Light"/>
          <w:b/>
          <w:color w:val="000000"/>
          <w:sz w:val="24"/>
          <w:szCs w:val="24"/>
        </w:rPr>
      </w:pPr>
      <w:r w:rsidRPr="00577C55">
        <w:rPr>
          <w:rStyle w:val="ESTILOTABLACar"/>
        </w:rPr>
        <w:t xml:space="preserve">Tabla </w:t>
      </w:r>
      <w:r w:rsidRPr="00577C55">
        <w:rPr>
          <w:rStyle w:val="ESTILOTABLACar"/>
        </w:rPr>
        <w:fldChar w:fldCharType="begin"/>
      </w:r>
      <w:r w:rsidRPr="00577C55">
        <w:rPr>
          <w:rStyle w:val="ESTILOTABLACar"/>
        </w:rPr>
        <w:instrText xml:space="preserve"> SEQ Tabla \* ARABIC </w:instrText>
      </w:r>
      <w:r w:rsidRPr="00577C55">
        <w:rPr>
          <w:rStyle w:val="ESTILOTABLACar"/>
        </w:rPr>
        <w:fldChar w:fldCharType="separate"/>
      </w:r>
      <w:r w:rsidR="00846FB2">
        <w:rPr>
          <w:rStyle w:val="ESTILOTABLACar"/>
          <w:noProof/>
        </w:rPr>
        <w:t>4</w:t>
      </w:r>
      <w:r w:rsidRPr="00577C55">
        <w:rPr>
          <w:rStyle w:val="ESTILOTABLACar"/>
        </w:rPr>
        <w:fldChar w:fldCharType="end"/>
      </w:r>
      <w:r w:rsidRPr="00577C55">
        <w:rPr>
          <w:rStyle w:val="ESTILOTABLACar"/>
        </w:rPr>
        <w:t>.</w:t>
      </w:r>
      <w:r w:rsidRPr="00577C55">
        <w:t xml:space="preserve"> </w:t>
      </w:r>
      <w:r w:rsidR="009B1474" w:rsidRPr="004D0E60">
        <w:rPr>
          <w:rFonts w:ascii="Open Sans Light" w:eastAsia="Open Sans Light" w:hAnsi="Open Sans Light" w:cs="Open Sans Light"/>
          <w:b/>
          <w:color w:val="000000"/>
          <w:sz w:val="24"/>
          <w:szCs w:val="24"/>
        </w:rPr>
        <w:t xml:space="preserve">Cumplimiento y avance de la meta </w:t>
      </w:r>
      <w:r w:rsidR="00D979D4" w:rsidRPr="004D0E60">
        <w:rPr>
          <w:rFonts w:ascii="Open Sans Light" w:eastAsia="Open Sans Light" w:hAnsi="Open Sans Light" w:cs="Open Sans Light"/>
          <w:b/>
          <w:color w:val="000000"/>
          <w:sz w:val="24"/>
          <w:szCs w:val="24"/>
        </w:rPr>
        <w:t>PNAIA 2012 – 2021</w:t>
      </w:r>
    </w:p>
    <w:tbl>
      <w:tblPr>
        <w:tblW w:w="14209" w:type="dxa"/>
        <w:tblCellMar>
          <w:left w:w="70" w:type="dxa"/>
          <w:right w:w="70" w:type="dxa"/>
        </w:tblCellMar>
        <w:tblLook w:val="04A0" w:firstRow="1" w:lastRow="0" w:firstColumn="1" w:lastColumn="0" w:noHBand="0" w:noVBand="1"/>
      </w:tblPr>
      <w:tblGrid>
        <w:gridCol w:w="557"/>
        <w:gridCol w:w="4370"/>
        <w:gridCol w:w="5245"/>
        <w:gridCol w:w="875"/>
        <w:gridCol w:w="1304"/>
        <w:gridCol w:w="712"/>
        <w:gridCol w:w="931"/>
        <w:gridCol w:w="215"/>
      </w:tblGrid>
      <w:tr w:rsidR="00444B74" w:rsidRPr="00444B74" w14:paraId="3E35D8C9" w14:textId="77777777" w:rsidTr="00F04EDD">
        <w:trPr>
          <w:gridAfter w:val="1"/>
          <w:wAfter w:w="215" w:type="dxa"/>
          <w:trHeight w:val="516"/>
        </w:trPr>
        <w:tc>
          <w:tcPr>
            <w:tcW w:w="557" w:type="dxa"/>
            <w:tcBorders>
              <w:top w:val="single" w:sz="8" w:space="0" w:color="000000"/>
              <w:left w:val="single" w:sz="8" w:space="0" w:color="000000"/>
              <w:bottom w:val="single" w:sz="8" w:space="0" w:color="000000"/>
              <w:right w:val="single" w:sz="8" w:space="0" w:color="000000"/>
            </w:tcBorders>
            <w:shd w:val="clear" w:color="000000" w:fill="000000"/>
            <w:vAlign w:val="center"/>
            <w:hideMark/>
          </w:tcPr>
          <w:p w14:paraId="201B5BCA" w14:textId="77777777" w:rsidR="00444B74" w:rsidRPr="00444B74" w:rsidRDefault="00444B74" w:rsidP="00444B74">
            <w:pPr>
              <w:spacing w:after="0" w:line="240" w:lineRule="auto"/>
              <w:jc w:val="center"/>
              <w:rPr>
                <w:rFonts w:ascii="Open Sans Light" w:eastAsia="Times New Roman" w:hAnsi="Open Sans Light" w:cs="Open Sans Light"/>
                <w:b/>
                <w:bCs/>
                <w:color w:val="FFFFFF"/>
                <w:sz w:val="13"/>
                <w:szCs w:val="13"/>
                <w:lang w:val="es-PE"/>
              </w:rPr>
            </w:pPr>
            <w:r w:rsidRPr="00444B74">
              <w:rPr>
                <w:rFonts w:ascii="Open Sans Light" w:eastAsia="Times New Roman" w:hAnsi="Open Sans Light" w:cs="Open Sans Light"/>
                <w:b/>
                <w:bCs/>
                <w:color w:val="FFFFFF"/>
                <w:sz w:val="13"/>
                <w:szCs w:val="13"/>
                <w:lang w:val="es-PE"/>
              </w:rPr>
              <w:t>RE</w:t>
            </w:r>
          </w:p>
        </w:tc>
        <w:tc>
          <w:tcPr>
            <w:tcW w:w="4370" w:type="dxa"/>
            <w:tcBorders>
              <w:top w:val="single" w:sz="8" w:space="0" w:color="000000"/>
              <w:left w:val="nil"/>
              <w:bottom w:val="single" w:sz="8" w:space="0" w:color="000000"/>
              <w:right w:val="single" w:sz="8" w:space="0" w:color="000000"/>
            </w:tcBorders>
            <w:shd w:val="clear" w:color="000000" w:fill="000000"/>
            <w:vAlign w:val="center"/>
            <w:hideMark/>
          </w:tcPr>
          <w:p w14:paraId="549D13B2" w14:textId="77777777" w:rsidR="00444B74" w:rsidRPr="00444B74" w:rsidRDefault="00444B74" w:rsidP="00444B74">
            <w:pPr>
              <w:spacing w:after="0" w:line="240" w:lineRule="auto"/>
              <w:jc w:val="center"/>
              <w:rPr>
                <w:rFonts w:ascii="Open Sans Light" w:eastAsia="Times New Roman" w:hAnsi="Open Sans Light" w:cs="Open Sans Light"/>
                <w:b/>
                <w:bCs/>
                <w:color w:val="FFFFFF"/>
                <w:sz w:val="13"/>
                <w:szCs w:val="13"/>
                <w:lang w:val="es-PE"/>
              </w:rPr>
            </w:pPr>
            <w:r w:rsidRPr="00444B74">
              <w:rPr>
                <w:rFonts w:ascii="Open Sans Light" w:eastAsia="Times New Roman" w:hAnsi="Open Sans Light" w:cs="Open Sans Light"/>
                <w:b/>
                <w:bCs/>
                <w:color w:val="FFFFFF"/>
                <w:sz w:val="13"/>
                <w:szCs w:val="13"/>
                <w:lang w:val="es-PE"/>
              </w:rPr>
              <w:t>META AL 2021</w:t>
            </w:r>
          </w:p>
        </w:tc>
        <w:tc>
          <w:tcPr>
            <w:tcW w:w="5245" w:type="dxa"/>
            <w:tcBorders>
              <w:top w:val="single" w:sz="8" w:space="0" w:color="000000"/>
              <w:left w:val="nil"/>
              <w:bottom w:val="single" w:sz="8" w:space="0" w:color="000000"/>
              <w:right w:val="single" w:sz="8" w:space="0" w:color="000000"/>
            </w:tcBorders>
            <w:shd w:val="clear" w:color="000000" w:fill="000000"/>
            <w:vAlign w:val="center"/>
            <w:hideMark/>
          </w:tcPr>
          <w:p w14:paraId="29098029" w14:textId="77777777" w:rsidR="00444B74" w:rsidRPr="00444B74" w:rsidRDefault="00444B74" w:rsidP="00444B74">
            <w:pPr>
              <w:spacing w:after="0" w:line="240" w:lineRule="auto"/>
              <w:jc w:val="center"/>
              <w:rPr>
                <w:rFonts w:ascii="Open Sans Light" w:eastAsia="Times New Roman" w:hAnsi="Open Sans Light" w:cs="Open Sans Light"/>
                <w:b/>
                <w:bCs/>
                <w:color w:val="FFFFFF"/>
                <w:sz w:val="13"/>
                <w:szCs w:val="13"/>
                <w:lang w:val="es-PE"/>
              </w:rPr>
            </w:pPr>
            <w:r w:rsidRPr="00444B74">
              <w:rPr>
                <w:rFonts w:ascii="Open Sans Light" w:eastAsia="Times New Roman" w:hAnsi="Open Sans Light" w:cs="Open Sans Light"/>
                <w:b/>
                <w:bCs/>
                <w:color w:val="FFFFFF"/>
                <w:sz w:val="13"/>
                <w:szCs w:val="13"/>
                <w:lang w:val="es-PE"/>
              </w:rPr>
              <w:t>INDICADOR PRIORIZADO</w:t>
            </w:r>
          </w:p>
        </w:tc>
        <w:tc>
          <w:tcPr>
            <w:tcW w:w="875" w:type="dxa"/>
            <w:tcBorders>
              <w:top w:val="single" w:sz="8" w:space="0" w:color="000000"/>
              <w:left w:val="nil"/>
              <w:bottom w:val="single" w:sz="8" w:space="0" w:color="000000"/>
              <w:right w:val="single" w:sz="8" w:space="0" w:color="000000"/>
            </w:tcBorders>
            <w:shd w:val="clear" w:color="000000" w:fill="000000"/>
            <w:vAlign w:val="center"/>
            <w:hideMark/>
          </w:tcPr>
          <w:p w14:paraId="6C867F55" w14:textId="77777777" w:rsidR="00444B74" w:rsidRPr="00444B74" w:rsidRDefault="00444B74" w:rsidP="00444B74">
            <w:pPr>
              <w:spacing w:after="0" w:line="240" w:lineRule="auto"/>
              <w:jc w:val="center"/>
              <w:rPr>
                <w:rFonts w:ascii="Open Sans Light" w:eastAsia="Times New Roman" w:hAnsi="Open Sans Light" w:cs="Open Sans Light"/>
                <w:b/>
                <w:bCs/>
                <w:color w:val="FFFFFF"/>
                <w:sz w:val="13"/>
                <w:szCs w:val="13"/>
                <w:lang w:val="es-PE"/>
              </w:rPr>
            </w:pPr>
            <w:r w:rsidRPr="00444B74">
              <w:rPr>
                <w:rFonts w:ascii="Open Sans Light" w:eastAsia="Times New Roman" w:hAnsi="Open Sans Light" w:cs="Open Sans Light"/>
                <w:b/>
                <w:bCs/>
                <w:color w:val="FFFFFF"/>
                <w:sz w:val="13"/>
                <w:szCs w:val="13"/>
                <w:lang w:val="es-PE"/>
              </w:rPr>
              <w:t>VALOR META</w:t>
            </w:r>
          </w:p>
        </w:tc>
        <w:tc>
          <w:tcPr>
            <w:tcW w:w="1304" w:type="dxa"/>
            <w:tcBorders>
              <w:top w:val="single" w:sz="8" w:space="0" w:color="000000"/>
              <w:left w:val="nil"/>
              <w:bottom w:val="single" w:sz="8" w:space="0" w:color="auto"/>
              <w:right w:val="nil"/>
            </w:tcBorders>
            <w:shd w:val="clear" w:color="000000" w:fill="000000"/>
            <w:vAlign w:val="center"/>
            <w:hideMark/>
          </w:tcPr>
          <w:p w14:paraId="7ECFC2EE" w14:textId="77777777" w:rsidR="00444B74" w:rsidRPr="00444B74" w:rsidRDefault="00444B74" w:rsidP="00444B74">
            <w:pPr>
              <w:spacing w:after="0" w:line="240" w:lineRule="auto"/>
              <w:jc w:val="center"/>
              <w:rPr>
                <w:rFonts w:ascii="Open Sans Light" w:eastAsia="Times New Roman" w:hAnsi="Open Sans Light" w:cs="Open Sans Light"/>
                <w:b/>
                <w:bCs/>
                <w:color w:val="FFFFFF"/>
                <w:sz w:val="13"/>
                <w:szCs w:val="13"/>
                <w:lang w:val="es-PE"/>
              </w:rPr>
            </w:pPr>
            <w:r w:rsidRPr="00444B74">
              <w:rPr>
                <w:rFonts w:ascii="Open Sans Light" w:eastAsia="Times New Roman" w:hAnsi="Open Sans Light" w:cs="Open Sans Light"/>
                <w:b/>
                <w:bCs/>
                <w:color w:val="FFFFFF"/>
                <w:sz w:val="13"/>
                <w:szCs w:val="13"/>
                <w:lang w:val="es-PE"/>
              </w:rPr>
              <w:t>CUMPLIMIENTO DE LA META 2021</w:t>
            </w:r>
          </w:p>
        </w:tc>
        <w:tc>
          <w:tcPr>
            <w:tcW w:w="712" w:type="dxa"/>
            <w:tcBorders>
              <w:top w:val="single" w:sz="8" w:space="0" w:color="000000"/>
              <w:left w:val="nil"/>
              <w:bottom w:val="single" w:sz="8" w:space="0" w:color="auto"/>
              <w:right w:val="nil"/>
            </w:tcBorders>
            <w:shd w:val="clear" w:color="000000" w:fill="000000"/>
            <w:vAlign w:val="center"/>
            <w:hideMark/>
          </w:tcPr>
          <w:p w14:paraId="037629C3" w14:textId="77777777" w:rsidR="00444B74" w:rsidRPr="00444B74" w:rsidRDefault="00444B74" w:rsidP="00444B74">
            <w:pPr>
              <w:spacing w:after="0" w:line="240" w:lineRule="auto"/>
              <w:jc w:val="center"/>
              <w:rPr>
                <w:rFonts w:ascii="Open Sans Light" w:eastAsia="Times New Roman" w:hAnsi="Open Sans Light" w:cs="Open Sans Light"/>
                <w:b/>
                <w:bCs/>
                <w:color w:val="FFFFFF"/>
                <w:sz w:val="13"/>
                <w:szCs w:val="13"/>
                <w:lang w:val="es-PE"/>
              </w:rPr>
            </w:pPr>
            <w:r w:rsidRPr="00444B74">
              <w:rPr>
                <w:rFonts w:ascii="Open Sans Light" w:eastAsia="Times New Roman" w:hAnsi="Open Sans Light" w:cs="Open Sans Light"/>
                <w:b/>
                <w:bCs/>
                <w:color w:val="FFFFFF"/>
                <w:sz w:val="13"/>
                <w:szCs w:val="13"/>
                <w:lang w:val="es-PE"/>
              </w:rPr>
              <w:t>NIVEL DE AVANCE</w:t>
            </w:r>
          </w:p>
        </w:tc>
        <w:tc>
          <w:tcPr>
            <w:tcW w:w="931" w:type="dxa"/>
            <w:tcBorders>
              <w:top w:val="single" w:sz="8" w:space="0" w:color="000000"/>
              <w:left w:val="nil"/>
              <w:bottom w:val="single" w:sz="8" w:space="0" w:color="auto"/>
              <w:right w:val="single" w:sz="8" w:space="0" w:color="000000"/>
            </w:tcBorders>
            <w:shd w:val="clear" w:color="000000" w:fill="000000"/>
            <w:vAlign w:val="center"/>
            <w:hideMark/>
          </w:tcPr>
          <w:p w14:paraId="672CD6B5" w14:textId="77777777" w:rsidR="00444B74" w:rsidRPr="00444B74" w:rsidRDefault="00444B74" w:rsidP="00444B74">
            <w:pPr>
              <w:spacing w:after="0" w:line="240" w:lineRule="auto"/>
              <w:jc w:val="center"/>
              <w:rPr>
                <w:rFonts w:ascii="Open Sans Light" w:eastAsia="Times New Roman" w:hAnsi="Open Sans Light" w:cs="Open Sans Light"/>
                <w:b/>
                <w:bCs/>
                <w:color w:val="FFFFFF"/>
                <w:sz w:val="13"/>
                <w:szCs w:val="13"/>
                <w:lang w:val="es-PE"/>
              </w:rPr>
            </w:pPr>
            <w:r w:rsidRPr="00444B74">
              <w:rPr>
                <w:rFonts w:ascii="Open Sans Light" w:eastAsia="Times New Roman" w:hAnsi="Open Sans Light" w:cs="Open Sans Light"/>
                <w:b/>
                <w:bCs/>
                <w:color w:val="FFFFFF"/>
                <w:sz w:val="13"/>
                <w:szCs w:val="13"/>
                <w:lang w:val="es-PE"/>
              </w:rPr>
              <w:t>% DE AVANCE</w:t>
            </w:r>
          </w:p>
        </w:tc>
      </w:tr>
      <w:tr w:rsidR="00444B74" w:rsidRPr="00444B74" w14:paraId="339B8D59" w14:textId="77777777" w:rsidTr="00F04EDD">
        <w:trPr>
          <w:gridAfter w:val="1"/>
          <w:wAfter w:w="215" w:type="dxa"/>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32CA7A9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w:t>
            </w:r>
          </w:p>
        </w:tc>
        <w:tc>
          <w:tcPr>
            <w:tcW w:w="4370" w:type="dxa"/>
            <w:tcBorders>
              <w:top w:val="nil"/>
              <w:left w:val="nil"/>
              <w:bottom w:val="single" w:sz="8" w:space="0" w:color="000000"/>
              <w:right w:val="single" w:sz="8" w:space="0" w:color="000000"/>
            </w:tcBorders>
            <w:shd w:val="clear" w:color="auto" w:fill="auto"/>
            <w:vAlign w:val="center"/>
            <w:hideMark/>
          </w:tcPr>
          <w:p w14:paraId="1CCE28C9"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Reducir un tercio la Tasa de Mortalidad Neonatal.</w:t>
            </w:r>
          </w:p>
        </w:tc>
        <w:tc>
          <w:tcPr>
            <w:tcW w:w="5245" w:type="dxa"/>
            <w:tcBorders>
              <w:top w:val="nil"/>
              <w:left w:val="nil"/>
              <w:bottom w:val="single" w:sz="8" w:space="0" w:color="000000"/>
              <w:right w:val="single" w:sz="8" w:space="0" w:color="auto"/>
            </w:tcBorders>
            <w:shd w:val="clear" w:color="auto" w:fill="auto"/>
            <w:vAlign w:val="center"/>
            <w:hideMark/>
          </w:tcPr>
          <w:p w14:paraId="2BFF5B6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1.1. Tasa de mortalidad neonatal de los 10 años anteriores a la encuesta por cada mil nacidos vivos</w:t>
            </w:r>
          </w:p>
        </w:tc>
        <w:tc>
          <w:tcPr>
            <w:tcW w:w="875" w:type="dxa"/>
            <w:tcBorders>
              <w:top w:val="nil"/>
              <w:left w:val="nil"/>
              <w:bottom w:val="single" w:sz="8" w:space="0" w:color="000000"/>
              <w:right w:val="single" w:sz="8" w:space="0" w:color="auto"/>
            </w:tcBorders>
            <w:shd w:val="clear" w:color="auto" w:fill="auto"/>
            <w:vAlign w:val="center"/>
            <w:hideMark/>
          </w:tcPr>
          <w:p w14:paraId="7E620A41"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6.70%</w:t>
            </w:r>
          </w:p>
        </w:tc>
        <w:tc>
          <w:tcPr>
            <w:tcW w:w="1304" w:type="dxa"/>
            <w:tcBorders>
              <w:top w:val="nil"/>
              <w:left w:val="nil"/>
              <w:bottom w:val="single" w:sz="8" w:space="0" w:color="auto"/>
              <w:right w:val="single" w:sz="8" w:space="0" w:color="auto"/>
            </w:tcBorders>
            <w:shd w:val="clear" w:color="auto" w:fill="auto"/>
            <w:vAlign w:val="center"/>
            <w:hideMark/>
          </w:tcPr>
          <w:p w14:paraId="1230544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631DFA96"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Bueno</w:t>
            </w:r>
          </w:p>
        </w:tc>
        <w:tc>
          <w:tcPr>
            <w:tcW w:w="931" w:type="dxa"/>
            <w:tcBorders>
              <w:top w:val="nil"/>
              <w:left w:val="nil"/>
              <w:bottom w:val="single" w:sz="8" w:space="0" w:color="auto"/>
              <w:right w:val="single" w:sz="8" w:space="0" w:color="auto"/>
            </w:tcBorders>
            <w:shd w:val="clear" w:color="auto" w:fill="auto"/>
            <w:vAlign w:val="center"/>
            <w:hideMark/>
          </w:tcPr>
          <w:p w14:paraId="102341AF"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60.60%</w:t>
            </w:r>
          </w:p>
        </w:tc>
      </w:tr>
      <w:tr w:rsidR="00444B74" w:rsidRPr="00444B74" w14:paraId="1780BA81" w14:textId="77777777" w:rsidTr="00F04EDD">
        <w:trPr>
          <w:gridAfter w:val="1"/>
          <w:wAfter w:w="215" w:type="dxa"/>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718A60B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2</w:t>
            </w:r>
          </w:p>
        </w:tc>
        <w:tc>
          <w:tcPr>
            <w:tcW w:w="4370" w:type="dxa"/>
            <w:tcBorders>
              <w:top w:val="nil"/>
              <w:left w:val="nil"/>
              <w:bottom w:val="single" w:sz="8" w:space="0" w:color="000000"/>
              <w:right w:val="single" w:sz="8" w:space="0" w:color="000000"/>
            </w:tcBorders>
            <w:shd w:val="clear" w:color="auto" w:fill="auto"/>
            <w:vAlign w:val="center"/>
            <w:hideMark/>
          </w:tcPr>
          <w:p w14:paraId="64ACBD4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Disminuir al 5% la desnutrición crónica en niñas y niños menores de 5 años de edad</w:t>
            </w:r>
          </w:p>
        </w:tc>
        <w:tc>
          <w:tcPr>
            <w:tcW w:w="5245" w:type="dxa"/>
            <w:tcBorders>
              <w:top w:val="nil"/>
              <w:left w:val="nil"/>
              <w:bottom w:val="single" w:sz="8" w:space="0" w:color="000000"/>
              <w:right w:val="single" w:sz="8" w:space="0" w:color="auto"/>
            </w:tcBorders>
            <w:shd w:val="clear" w:color="auto" w:fill="auto"/>
            <w:vAlign w:val="center"/>
            <w:hideMark/>
          </w:tcPr>
          <w:p w14:paraId="51E5DED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2.2. Porcentaje de desnutrición crónica en menores de 5 años de edad (patrón de referencia NCHS)</w:t>
            </w:r>
          </w:p>
        </w:tc>
        <w:tc>
          <w:tcPr>
            <w:tcW w:w="875" w:type="dxa"/>
            <w:tcBorders>
              <w:top w:val="nil"/>
              <w:left w:val="nil"/>
              <w:bottom w:val="single" w:sz="8" w:space="0" w:color="000000"/>
              <w:right w:val="single" w:sz="8" w:space="0" w:color="auto"/>
            </w:tcBorders>
            <w:shd w:val="clear" w:color="auto" w:fill="auto"/>
            <w:vAlign w:val="center"/>
            <w:hideMark/>
          </w:tcPr>
          <w:p w14:paraId="7AA3226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5%</w:t>
            </w:r>
          </w:p>
        </w:tc>
        <w:tc>
          <w:tcPr>
            <w:tcW w:w="1304" w:type="dxa"/>
            <w:tcBorders>
              <w:top w:val="nil"/>
              <w:left w:val="nil"/>
              <w:bottom w:val="single" w:sz="8" w:space="0" w:color="auto"/>
              <w:right w:val="single" w:sz="8" w:space="0" w:color="auto"/>
            </w:tcBorders>
            <w:shd w:val="clear" w:color="auto" w:fill="auto"/>
            <w:vAlign w:val="center"/>
            <w:hideMark/>
          </w:tcPr>
          <w:p w14:paraId="5F6C38D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55CC6A97"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Bueno</w:t>
            </w:r>
          </w:p>
        </w:tc>
        <w:tc>
          <w:tcPr>
            <w:tcW w:w="931" w:type="dxa"/>
            <w:tcBorders>
              <w:top w:val="nil"/>
              <w:left w:val="nil"/>
              <w:bottom w:val="single" w:sz="8" w:space="0" w:color="auto"/>
              <w:right w:val="single" w:sz="8" w:space="0" w:color="auto"/>
            </w:tcBorders>
            <w:shd w:val="clear" w:color="auto" w:fill="auto"/>
            <w:vAlign w:val="center"/>
            <w:hideMark/>
          </w:tcPr>
          <w:p w14:paraId="1E21F355" w14:textId="67EFE055" w:rsidR="00444B74" w:rsidRPr="00444B74" w:rsidRDefault="00822D4C" w:rsidP="00822D4C">
            <w:pPr>
              <w:spacing w:after="0" w:line="240" w:lineRule="auto"/>
              <w:jc w:val="center"/>
              <w:rPr>
                <w:rFonts w:ascii="Open Sans Light" w:eastAsia="Times New Roman" w:hAnsi="Open Sans Light" w:cs="Open Sans Light"/>
                <w:color w:val="000000"/>
                <w:sz w:val="13"/>
                <w:szCs w:val="13"/>
                <w:lang w:val="es-PE"/>
              </w:rPr>
            </w:pPr>
            <w:r>
              <w:rPr>
                <w:rFonts w:ascii="Open Sans Light" w:eastAsia="Times New Roman" w:hAnsi="Open Sans Light" w:cs="Open Sans Light"/>
                <w:color w:val="000000"/>
                <w:sz w:val="13"/>
                <w:szCs w:val="13"/>
                <w:lang w:val="es-PE"/>
              </w:rPr>
              <w:t>63.7</w:t>
            </w:r>
            <w:r w:rsidR="00444B74" w:rsidRPr="00444B74">
              <w:rPr>
                <w:rFonts w:ascii="Open Sans Light" w:eastAsia="Times New Roman" w:hAnsi="Open Sans Light" w:cs="Open Sans Light"/>
                <w:color w:val="000000"/>
                <w:sz w:val="13"/>
                <w:szCs w:val="13"/>
                <w:lang w:val="es-PE"/>
              </w:rPr>
              <w:t>%</w:t>
            </w:r>
          </w:p>
        </w:tc>
      </w:tr>
      <w:tr w:rsidR="00444B74" w:rsidRPr="00444B74" w14:paraId="20D53EE7" w14:textId="77777777" w:rsidTr="00F04EDD">
        <w:trPr>
          <w:gridAfter w:val="1"/>
          <w:wAfter w:w="215" w:type="dxa"/>
          <w:trHeight w:val="684"/>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407FAA4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3</w:t>
            </w:r>
          </w:p>
        </w:tc>
        <w:tc>
          <w:tcPr>
            <w:tcW w:w="4370" w:type="dxa"/>
            <w:tcBorders>
              <w:top w:val="nil"/>
              <w:left w:val="nil"/>
              <w:bottom w:val="single" w:sz="8" w:space="0" w:color="000000"/>
              <w:right w:val="single" w:sz="8" w:space="0" w:color="000000"/>
            </w:tcBorders>
            <w:shd w:val="clear" w:color="auto" w:fill="auto"/>
            <w:vAlign w:val="center"/>
            <w:hideMark/>
          </w:tcPr>
          <w:p w14:paraId="7CB511B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Las tres cuartas partes de niñas y niños menores de 36 meses de edad tienen controles de crecimiento y desarrollo completos para su edad.</w:t>
            </w:r>
          </w:p>
        </w:tc>
        <w:tc>
          <w:tcPr>
            <w:tcW w:w="5245" w:type="dxa"/>
            <w:tcBorders>
              <w:top w:val="nil"/>
              <w:left w:val="nil"/>
              <w:bottom w:val="single" w:sz="8" w:space="0" w:color="000000"/>
              <w:right w:val="single" w:sz="8" w:space="0" w:color="auto"/>
            </w:tcBorders>
            <w:shd w:val="clear" w:color="auto" w:fill="auto"/>
            <w:vAlign w:val="center"/>
            <w:hideMark/>
          </w:tcPr>
          <w:p w14:paraId="497610E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3.1. Porcentaje de niñas y niños menores de 36 meses que tienen controles de crecimiento y desarrollo (CRED) completos para su edad</w:t>
            </w:r>
          </w:p>
        </w:tc>
        <w:tc>
          <w:tcPr>
            <w:tcW w:w="875" w:type="dxa"/>
            <w:tcBorders>
              <w:top w:val="nil"/>
              <w:left w:val="nil"/>
              <w:bottom w:val="single" w:sz="8" w:space="0" w:color="000000"/>
              <w:right w:val="single" w:sz="8" w:space="0" w:color="auto"/>
            </w:tcBorders>
            <w:shd w:val="clear" w:color="auto" w:fill="auto"/>
            <w:vAlign w:val="center"/>
            <w:hideMark/>
          </w:tcPr>
          <w:p w14:paraId="5172F2A3"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75%</w:t>
            </w:r>
          </w:p>
        </w:tc>
        <w:tc>
          <w:tcPr>
            <w:tcW w:w="1304" w:type="dxa"/>
            <w:tcBorders>
              <w:top w:val="nil"/>
              <w:left w:val="nil"/>
              <w:bottom w:val="single" w:sz="8" w:space="0" w:color="auto"/>
              <w:right w:val="single" w:sz="8" w:space="0" w:color="auto"/>
            </w:tcBorders>
            <w:shd w:val="clear" w:color="auto" w:fill="auto"/>
            <w:vAlign w:val="center"/>
            <w:hideMark/>
          </w:tcPr>
          <w:p w14:paraId="41D3421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609A3A66"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Nulo o inverso</w:t>
            </w:r>
          </w:p>
        </w:tc>
        <w:tc>
          <w:tcPr>
            <w:tcW w:w="931" w:type="dxa"/>
            <w:tcBorders>
              <w:top w:val="nil"/>
              <w:left w:val="nil"/>
              <w:bottom w:val="single" w:sz="8" w:space="0" w:color="auto"/>
              <w:right w:val="single" w:sz="8" w:space="0" w:color="auto"/>
            </w:tcBorders>
            <w:shd w:val="clear" w:color="auto" w:fill="auto"/>
            <w:vAlign w:val="center"/>
            <w:hideMark/>
          </w:tcPr>
          <w:p w14:paraId="17BF4C0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-30.30%</w:t>
            </w:r>
          </w:p>
        </w:tc>
      </w:tr>
      <w:tr w:rsidR="00444B74" w:rsidRPr="00444B74" w14:paraId="08143F9A" w14:textId="77777777" w:rsidTr="00F04EDD">
        <w:trPr>
          <w:gridAfter w:val="1"/>
          <w:wAfter w:w="215" w:type="dxa"/>
          <w:trHeight w:val="852"/>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2FDAF5E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4</w:t>
            </w:r>
          </w:p>
        </w:tc>
        <w:tc>
          <w:tcPr>
            <w:tcW w:w="4370" w:type="dxa"/>
            <w:tcBorders>
              <w:top w:val="nil"/>
              <w:left w:val="nil"/>
              <w:bottom w:val="single" w:sz="8" w:space="0" w:color="000000"/>
              <w:right w:val="single" w:sz="8" w:space="0" w:color="000000"/>
            </w:tcBorders>
            <w:shd w:val="clear" w:color="auto" w:fill="auto"/>
            <w:vAlign w:val="center"/>
            <w:hideMark/>
          </w:tcPr>
          <w:p w14:paraId="7E17FAB9"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Universalizar el acceso de niñas y niños de 3 a 5 años de edad a la educación inicial a la edad correspondiente, priorizando el ámbito rural.</w:t>
            </w:r>
          </w:p>
        </w:tc>
        <w:tc>
          <w:tcPr>
            <w:tcW w:w="5245" w:type="dxa"/>
            <w:tcBorders>
              <w:top w:val="nil"/>
              <w:left w:val="nil"/>
              <w:bottom w:val="single" w:sz="8" w:space="0" w:color="000000"/>
              <w:right w:val="single" w:sz="8" w:space="0" w:color="auto"/>
            </w:tcBorders>
            <w:shd w:val="clear" w:color="auto" w:fill="auto"/>
            <w:vAlign w:val="center"/>
            <w:hideMark/>
          </w:tcPr>
          <w:p w14:paraId="78FA95AC"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4.1. Tasa neta de matrícula en educación inicial, del grupo de 3 a 5 años de edad</w:t>
            </w:r>
          </w:p>
        </w:tc>
        <w:tc>
          <w:tcPr>
            <w:tcW w:w="875" w:type="dxa"/>
            <w:tcBorders>
              <w:top w:val="nil"/>
              <w:left w:val="nil"/>
              <w:bottom w:val="single" w:sz="8" w:space="0" w:color="000000"/>
              <w:right w:val="single" w:sz="8" w:space="0" w:color="auto"/>
            </w:tcBorders>
            <w:shd w:val="clear" w:color="auto" w:fill="auto"/>
            <w:vAlign w:val="center"/>
            <w:hideMark/>
          </w:tcPr>
          <w:p w14:paraId="404CDB19"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100%</w:t>
            </w:r>
          </w:p>
        </w:tc>
        <w:tc>
          <w:tcPr>
            <w:tcW w:w="1304" w:type="dxa"/>
            <w:tcBorders>
              <w:top w:val="nil"/>
              <w:left w:val="nil"/>
              <w:bottom w:val="single" w:sz="8" w:space="0" w:color="auto"/>
              <w:right w:val="single" w:sz="8" w:space="0" w:color="auto"/>
            </w:tcBorders>
            <w:shd w:val="clear" w:color="auto" w:fill="auto"/>
            <w:vAlign w:val="center"/>
            <w:hideMark/>
          </w:tcPr>
          <w:p w14:paraId="5F7E3269"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0760C84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Bajo</w:t>
            </w:r>
          </w:p>
        </w:tc>
        <w:tc>
          <w:tcPr>
            <w:tcW w:w="931" w:type="dxa"/>
            <w:tcBorders>
              <w:top w:val="nil"/>
              <w:left w:val="nil"/>
              <w:bottom w:val="single" w:sz="8" w:space="0" w:color="auto"/>
              <w:right w:val="single" w:sz="8" w:space="0" w:color="auto"/>
            </w:tcBorders>
            <w:shd w:val="clear" w:color="auto" w:fill="auto"/>
            <w:vAlign w:val="center"/>
            <w:hideMark/>
          </w:tcPr>
          <w:p w14:paraId="26F109D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11.10%</w:t>
            </w:r>
          </w:p>
        </w:tc>
      </w:tr>
      <w:tr w:rsidR="00444B74" w:rsidRPr="00444B74" w14:paraId="48B83EC5" w14:textId="77777777" w:rsidTr="00F04EDD">
        <w:trPr>
          <w:gridAfter w:val="1"/>
          <w:wAfter w:w="215" w:type="dxa"/>
          <w:trHeight w:val="684"/>
        </w:trPr>
        <w:tc>
          <w:tcPr>
            <w:tcW w:w="55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BD8A20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5</w:t>
            </w:r>
          </w:p>
        </w:tc>
        <w:tc>
          <w:tcPr>
            <w:tcW w:w="437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0CCD16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El 70% de niñas y niños que cursan el segundo grado de primaria alcanza un nivel suficiente en comprensión de textos y matemática.</w:t>
            </w:r>
          </w:p>
        </w:tc>
        <w:tc>
          <w:tcPr>
            <w:tcW w:w="5245" w:type="dxa"/>
            <w:tcBorders>
              <w:top w:val="nil"/>
              <w:left w:val="nil"/>
              <w:bottom w:val="single" w:sz="8" w:space="0" w:color="000000"/>
              <w:right w:val="single" w:sz="8" w:space="0" w:color="auto"/>
            </w:tcBorders>
            <w:shd w:val="clear" w:color="auto" w:fill="auto"/>
            <w:vAlign w:val="center"/>
            <w:hideMark/>
          </w:tcPr>
          <w:p w14:paraId="1C89C3EB"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5.1. Porcentaje de niñas y niños que alcanzan suficiencia en el logro de las competencias de comprensión lectora en segundo grado</w:t>
            </w:r>
          </w:p>
        </w:tc>
        <w:tc>
          <w:tcPr>
            <w:tcW w:w="875" w:type="dxa"/>
            <w:tcBorders>
              <w:top w:val="nil"/>
              <w:left w:val="nil"/>
              <w:bottom w:val="single" w:sz="8" w:space="0" w:color="000000"/>
              <w:right w:val="single" w:sz="8" w:space="0" w:color="auto"/>
            </w:tcBorders>
            <w:shd w:val="clear" w:color="auto" w:fill="auto"/>
            <w:vAlign w:val="center"/>
            <w:hideMark/>
          </w:tcPr>
          <w:p w14:paraId="6C2DD8FF"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70%</w:t>
            </w:r>
          </w:p>
        </w:tc>
        <w:tc>
          <w:tcPr>
            <w:tcW w:w="1304" w:type="dxa"/>
            <w:tcBorders>
              <w:top w:val="nil"/>
              <w:left w:val="nil"/>
              <w:bottom w:val="single" w:sz="8" w:space="0" w:color="auto"/>
              <w:right w:val="single" w:sz="8" w:space="0" w:color="auto"/>
            </w:tcBorders>
            <w:shd w:val="clear" w:color="auto" w:fill="auto"/>
            <w:vAlign w:val="center"/>
            <w:hideMark/>
          </w:tcPr>
          <w:p w14:paraId="35EAAB8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06C3C58C"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Bajo</w:t>
            </w:r>
          </w:p>
        </w:tc>
        <w:tc>
          <w:tcPr>
            <w:tcW w:w="931" w:type="dxa"/>
            <w:tcBorders>
              <w:top w:val="nil"/>
              <w:left w:val="nil"/>
              <w:bottom w:val="single" w:sz="8" w:space="0" w:color="auto"/>
              <w:right w:val="single" w:sz="8" w:space="0" w:color="auto"/>
            </w:tcBorders>
            <w:shd w:val="clear" w:color="auto" w:fill="auto"/>
            <w:vAlign w:val="center"/>
            <w:hideMark/>
          </w:tcPr>
          <w:p w14:paraId="1F7E3B5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19.40%</w:t>
            </w:r>
          </w:p>
        </w:tc>
      </w:tr>
      <w:tr w:rsidR="00444B74" w:rsidRPr="00444B74" w14:paraId="770EFC78" w14:textId="77777777" w:rsidTr="00F04EDD">
        <w:trPr>
          <w:gridAfter w:val="1"/>
          <w:wAfter w:w="215" w:type="dxa"/>
          <w:trHeight w:val="684"/>
        </w:trPr>
        <w:tc>
          <w:tcPr>
            <w:tcW w:w="557" w:type="dxa"/>
            <w:vMerge/>
            <w:tcBorders>
              <w:top w:val="nil"/>
              <w:left w:val="single" w:sz="8" w:space="0" w:color="000000"/>
              <w:bottom w:val="single" w:sz="8" w:space="0" w:color="000000"/>
              <w:right w:val="single" w:sz="8" w:space="0" w:color="000000"/>
            </w:tcBorders>
            <w:vAlign w:val="center"/>
            <w:hideMark/>
          </w:tcPr>
          <w:p w14:paraId="5F4CD931"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22350D89"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tcBorders>
              <w:top w:val="nil"/>
              <w:left w:val="nil"/>
              <w:bottom w:val="single" w:sz="8" w:space="0" w:color="000000"/>
              <w:right w:val="single" w:sz="8" w:space="0" w:color="auto"/>
            </w:tcBorders>
            <w:shd w:val="clear" w:color="auto" w:fill="auto"/>
            <w:vAlign w:val="center"/>
            <w:hideMark/>
          </w:tcPr>
          <w:p w14:paraId="6855075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5.2. Porcentaje de niñas y niños que alcanzan suficiencia en el logro de las competencias de comprensión matemática en segundo grado</w:t>
            </w:r>
          </w:p>
        </w:tc>
        <w:tc>
          <w:tcPr>
            <w:tcW w:w="875" w:type="dxa"/>
            <w:tcBorders>
              <w:top w:val="nil"/>
              <w:left w:val="nil"/>
              <w:bottom w:val="single" w:sz="8" w:space="0" w:color="000000"/>
              <w:right w:val="single" w:sz="8" w:space="0" w:color="auto"/>
            </w:tcBorders>
            <w:shd w:val="clear" w:color="auto" w:fill="auto"/>
            <w:vAlign w:val="center"/>
            <w:hideMark/>
          </w:tcPr>
          <w:p w14:paraId="2107E595"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70%</w:t>
            </w:r>
          </w:p>
        </w:tc>
        <w:tc>
          <w:tcPr>
            <w:tcW w:w="1304" w:type="dxa"/>
            <w:tcBorders>
              <w:top w:val="nil"/>
              <w:left w:val="nil"/>
              <w:bottom w:val="single" w:sz="8" w:space="0" w:color="auto"/>
              <w:right w:val="single" w:sz="8" w:space="0" w:color="auto"/>
            </w:tcBorders>
            <w:shd w:val="clear" w:color="auto" w:fill="auto"/>
            <w:vAlign w:val="center"/>
            <w:hideMark/>
          </w:tcPr>
          <w:p w14:paraId="46FF4F75"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4B981C89"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Bajo</w:t>
            </w:r>
          </w:p>
        </w:tc>
        <w:tc>
          <w:tcPr>
            <w:tcW w:w="931" w:type="dxa"/>
            <w:tcBorders>
              <w:top w:val="nil"/>
              <w:left w:val="nil"/>
              <w:bottom w:val="single" w:sz="8" w:space="0" w:color="auto"/>
              <w:right w:val="single" w:sz="8" w:space="0" w:color="auto"/>
            </w:tcBorders>
            <w:shd w:val="clear" w:color="auto" w:fill="auto"/>
            <w:vAlign w:val="center"/>
            <w:hideMark/>
          </w:tcPr>
          <w:p w14:paraId="258B963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6.70%</w:t>
            </w:r>
          </w:p>
        </w:tc>
      </w:tr>
      <w:tr w:rsidR="00444B74" w:rsidRPr="00444B74" w14:paraId="01C7F486" w14:textId="77777777" w:rsidTr="00F04EDD">
        <w:trPr>
          <w:gridAfter w:val="1"/>
          <w:wAfter w:w="215" w:type="dxa"/>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14F879C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6</w:t>
            </w:r>
          </w:p>
        </w:tc>
        <w:tc>
          <w:tcPr>
            <w:tcW w:w="4370" w:type="dxa"/>
            <w:tcBorders>
              <w:top w:val="nil"/>
              <w:left w:val="nil"/>
              <w:bottom w:val="single" w:sz="8" w:space="0" w:color="000000"/>
              <w:right w:val="single" w:sz="8" w:space="0" w:color="000000"/>
            </w:tcBorders>
            <w:shd w:val="clear" w:color="auto" w:fill="auto"/>
            <w:vAlign w:val="center"/>
            <w:hideMark/>
          </w:tcPr>
          <w:p w14:paraId="1B64E6F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Erradicar el trabajo de niñas, niños y adolescentes con edades por debajo de la mínima.</w:t>
            </w:r>
          </w:p>
        </w:tc>
        <w:tc>
          <w:tcPr>
            <w:tcW w:w="5245" w:type="dxa"/>
            <w:tcBorders>
              <w:top w:val="nil"/>
              <w:left w:val="nil"/>
              <w:bottom w:val="single" w:sz="8" w:space="0" w:color="000000"/>
              <w:right w:val="single" w:sz="8" w:space="0" w:color="auto"/>
            </w:tcBorders>
            <w:shd w:val="clear" w:color="auto" w:fill="auto"/>
            <w:vAlign w:val="center"/>
            <w:hideMark/>
          </w:tcPr>
          <w:p w14:paraId="08FD6E7F"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6.1. Porcentaje de niñas, niños y adolescentes que trabajan por debajo de la edad mínima (5-13 años de edad).</w:t>
            </w:r>
          </w:p>
        </w:tc>
        <w:tc>
          <w:tcPr>
            <w:tcW w:w="875" w:type="dxa"/>
            <w:tcBorders>
              <w:top w:val="nil"/>
              <w:left w:val="nil"/>
              <w:bottom w:val="single" w:sz="8" w:space="0" w:color="000000"/>
              <w:right w:val="single" w:sz="8" w:space="0" w:color="auto"/>
            </w:tcBorders>
            <w:shd w:val="clear" w:color="auto" w:fill="auto"/>
            <w:vAlign w:val="center"/>
            <w:hideMark/>
          </w:tcPr>
          <w:p w14:paraId="7D84ACA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0%</w:t>
            </w:r>
          </w:p>
        </w:tc>
        <w:tc>
          <w:tcPr>
            <w:tcW w:w="1304" w:type="dxa"/>
            <w:tcBorders>
              <w:top w:val="nil"/>
              <w:left w:val="nil"/>
              <w:bottom w:val="single" w:sz="8" w:space="0" w:color="000000"/>
              <w:right w:val="single" w:sz="8" w:space="0" w:color="auto"/>
            </w:tcBorders>
            <w:shd w:val="clear" w:color="auto" w:fill="auto"/>
            <w:vAlign w:val="center"/>
            <w:hideMark/>
          </w:tcPr>
          <w:p w14:paraId="65E0EE3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000000"/>
              <w:right w:val="single" w:sz="8" w:space="0" w:color="auto"/>
            </w:tcBorders>
            <w:shd w:val="clear" w:color="auto" w:fill="auto"/>
            <w:vAlign w:val="center"/>
            <w:hideMark/>
          </w:tcPr>
          <w:p w14:paraId="01209D5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Bajo</w:t>
            </w:r>
          </w:p>
        </w:tc>
        <w:tc>
          <w:tcPr>
            <w:tcW w:w="931" w:type="dxa"/>
            <w:tcBorders>
              <w:top w:val="nil"/>
              <w:left w:val="nil"/>
              <w:bottom w:val="single" w:sz="8" w:space="0" w:color="000000"/>
              <w:right w:val="single" w:sz="8" w:space="0" w:color="auto"/>
            </w:tcBorders>
            <w:shd w:val="clear" w:color="auto" w:fill="auto"/>
            <w:vAlign w:val="center"/>
            <w:hideMark/>
          </w:tcPr>
          <w:p w14:paraId="5B41AE4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9.50%</w:t>
            </w:r>
          </w:p>
        </w:tc>
      </w:tr>
      <w:tr w:rsidR="00444B74" w:rsidRPr="00444B74" w14:paraId="7F2DA2A4" w14:textId="77777777" w:rsidTr="00F04EDD">
        <w:trPr>
          <w:gridAfter w:val="1"/>
          <w:wAfter w:w="215" w:type="dxa"/>
          <w:trHeight w:val="708"/>
        </w:trPr>
        <w:tc>
          <w:tcPr>
            <w:tcW w:w="55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EFC7AF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7</w:t>
            </w:r>
          </w:p>
        </w:tc>
        <w:tc>
          <w:tcPr>
            <w:tcW w:w="437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7073299"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La mitad de las y los estudiantes peruanos con 15 años de edad alcanza el nivel 3 (más de 481 puntos) en comprensión lectora, matemáticas y ciencias evaluados con la prueba PISA.</w:t>
            </w:r>
          </w:p>
        </w:tc>
        <w:tc>
          <w:tcPr>
            <w:tcW w:w="524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A2CFDB6"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7.1. Resultado promedio de las y los estudiantes peruanos de 15 años de edad obtenidos en la prueba PISA, por materia evaluada.</w:t>
            </w:r>
          </w:p>
        </w:tc>
        <w:tc>
          <w:tcPr>
            <w:tcW w:w="87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B0DF8B2"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nivel 3 &lt; &gt; puntaje mayor a 481</w:t>
            </w:r>
          </w:p>
        </w:tc>
        <w:tc>
          <w:tcPr>
            <w:tcW w:w="1304"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20AACB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puede proyectar</w:t>
            </w:r>
          </w:p>
        </w:tc>
        <w:tc>
          <w:tcPr>
            <w:tcW w:w="712" w:type="dxa"/>
            <w:vMerge w:val="restart"/>
            <w:tcBorders>
              <w:top w:val="nil"/>
              <w:left w:val="single" w:sz="8" w:space="0" w:color="000000"/>
              <w:bottom w:val="nil"/>
              <w:right w:val="single" w:sz="8" w:space="0" w:color="000000"/>
            </w:tcBorders>
            <w:shd w:val="clear" w:color="auto" w:fill="auto"/>
            <w:vAlign w:val="center"/>
            <w:hideMark/>
          </w:tcPr>
          <w:p w14:paraId="1E91B3F7"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 </w:t>
            </w:r>
          </w:p>
        </w:tc>
        <w:tc>
          <w:tcPr>
            <w:tcW w:w="931" w:type="dxa"/>
            <w:tcBorders>
              <w:top w:val="nil"/>
              <w:left w:val="nil"/>
              <w:bottom w:val="nil"/>
              <w:right w:val="single" w:sz="8" w:space="0" w:color="000000"/>
            </w:tcBorders>
            <w:shd w:val="clear" w:color="auto" w:fill="auto"/>
            <w:vAlign w:val="center"/>
            <w:hideMark/>
          </w:tcPr>
          <w:p w14:paraId="56B1D462"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Comprensión lectora</w:t>
            </w:r>
          </w:p>
        </w:tc>
      </w:tr>
      <w:tr w:rsidR="00444B74" w:rsidRPr="00444B74" w14:paraId="2169E961" w14:textId="77777777" w:rsidTr="00F04EDD">
        <w:trPr>
          <w:gridAfter w:val="1"/>
          <w:wAfter w:w="215" w:type="dxa"/>
          <w:trHeight w:val="300"/>
        </w:trPr>
        <w:tc>
          <w:tcPr>
            <w:tcW w:w="557" w:type="dxa"/>
            <w:vMerge/>
            <w:tcBorders>
              <w:top w:val="nil"/>
              <w:left w:val="single" w:sz="8" w:space="0" w:color="000000"/>
              <w:bottom w:val="single" w:sz="8" w:space="0" w:color="000000"/>
              <w:right w:val="single" w:sz="8" w:space="0" w:color="000000"/>
            </w:tcBorders>
            <w:vAlign w:val="center"/>
            <w:hideMark/>
          </w:tcPr>
          <w:p w14:paraId="14C57520"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762B16B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vMerge/>
            <w:tcBorders>
              <w:top w:val="nil"/>
              <w:left w:val="single" w:sz="8" w:space="0" w:color="000000"/>
              <w:bottom w:val="single" w:sz="8" w:space="0" w:color="000000"/>
              <w:right w:val="single" w:sz="8" w:space="0" w:color="000000"/>
            </w:tcBorders>
            <w:vAlign w:val="center"/>
            <w:hideMark/>
          </w:tcPr>
          <w:p w14:paraId="6E13D00F"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875" w:type="dxa"/>
            <w:vMerge/>
            <w:tcBorders>
              <w:top w:val="nil"/>
              <w:left w:val="single" w:sz="8" w:space="0" w:color="000000"/>
              <w:bottom w:val="single" w:sz="8" w:space="0" w:color="000000"/>
              <w:right w:val="single" w:sz="8" w:space="0" w:color="000000"/>
            </w:tcBorders>
            <w:vAlign w:val="center"/>
            <w:hideMark/>
          </w:tcPr>
          <w:p w14:paraId="0921BE46"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1304" w:type="dxa"/>
            <w:vMerge/>
            <w:tcBorders>
              <w:top w:val="nil"/>
              <w:left w:val="single" w:sz="8" w:space="0" w:color="000000"/>
              <w:bottom w:val="single" w:sz="8" w:space="0" w:color="000000"/>
              <w:right w:val="single" w:sz="8" w:space="0" w:color="000000"/>
            </w:tcBorders>
            <w:vAlign w:val="center"/>
            <w:hideMark/>
          </w:tcPr>
          <w:p w14:paraId="6E8D296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712" w:type="dxa"/>
            <w:vMerge/>
            <w:tcBorders>
              <w:top w:val="nil"/>
              <w:left w:val="single" w:sz="8" w:space="0" w:color="000000"/>
              <w:bottom w:val="nil"/>
              <w:right w:val="single" w:sz="8" w:space="0" w:color="000000"/>
            </w:tcBorders>
            <w:vAlign w:val="center"/>
            <w:hideMark/>
          </w:tcPr>
          <w:p w14:paraId="387ACB3C"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931" w:type="dxa"/>
            <w:tcBorders>
              <w:top w:val="nil"/>
              <w:left w:val="nil"/>
              <w:bottom w:val="single" w:sz="8" w:space="0" w:color="000000"/>
              <w:right w:val="single" w:sz="8" w:space="0" w:color="000000"/>
            </w:tcBorders>
            <w:shd w:val="clear" w:color="auto" w:fill="auto"/>
            <w:vAlign w:val="center"/>
            <w:hideMark/>
          </w:tcPr>
          <w:p w14:paraId="59D37CDC"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7.50%</w:t>
            </w:r>
          </w:p>
        </w:tc>
      </w:tr>
      <w:tr w:rsidR="00444B74" w:rsidRPr="00444B74" w14:paraId="3AC5E6BA" w14:textId="77777777" w:rsidTr="00F04EDD">
        <w:trPr>
          <w:gridAfter w:val="1"/>
          <w:wAfter w:w="215" w:type="dxa"/>
          <w:trHeight w:val="336"/>
        </w:trPr>
        <w:tc>
          <w:tcPr>
            <w:tcW w:w="557" w:type="dxa"/>
            <w:vMerge/>
            <w:tcBorders>
              <w:top w:val="nil"/>
              <w:left w:val="single" w:sz="8" w:space="0" w:color="000000"/>
              <w:bottom w:val="single" w:sz="8" w:space="0" w:color="000000"/>
              <w:right w:val="single" w:sz="8" w:space="0" w:color="000000"/>
            </w:tcBorders>
            <w:vAlign w:val="center"/>
            <w:hideMark/>
          </w:tcPr>
          <w:p w14:paraId="772ADF7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42CBBF0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vMerge/>
            <w:tcBorders>
              <w:top w:val="nil"/>
              <w:left w:val="single" w:sz="8" w:space="0" w:color="000000"/>
              <w:bottom w:val="single" w:sz="8" w:space="0" w:color="000000"/>
              <w:right w:val="single" w:sz="8" w:space="0" w:color="000000"/>
            </w:tcBorders>
            <w:vAlign w:val="center"/>
            <w:hideMark/>
          </w:tcPr>
          <w:p w14:paraId="1D6C77D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875" w:type="dxa"/>
            <w:vMerge/>
            <w:tcBorders>
              <w:top w:val="nil"/>
              <w:left w:val="single" w:sz="8" w:space="0" w:color="000000"/>
              <w:bottom w:val="single" w:sz="8" w:space="0" w:color="000000"/>
              <w:right w:val="single" w:sz="8" w:space="0" w:color="000000"/>
            </w:tcBorders>
            <w:vAlign w:val="center"/>
            <w:hideMark/>
          </w:tcPr>
          <w:p w14:paraId="653E361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1304" w:type="dxa"/>
            <w:vMerge/>
            <w:tcBorders>
              <w:top w:val="nil"/>
              <w:left w:val="single" w:sz="8" w:space="0" w:color="000000"/>
              <w:bottom w:val="single" w:sz="8" w:space="0" w:color="000000"/>
              <w:right w:val="single" w:sz="8" w:space="0" w:color="000000"/>
            </w:tcBorders>
            <w:vAlign w:val="center"/>
            <w:hideMark/>
          </w:tcPr>
          <w:p w14:paraId="1EADF90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712" w:type="dxa"/>
            <w:vMerge w:val="restart"/>
            <w:tcBorders>
              <w:top w:val="nil"/>
              <w:left w:val="single" w:sz="8" w:space="0" w:color="000000"/>
              <w:bottom w:val="nil"/>
              <w:right w:val="single" w:sz="8" w:space="0" w:color="000000"/>
            </w:tcBorders>
            <w:shd w:val="clear" w:color="auto" w:fill="auto"/>
            <w:vAlign w:val="center"/>
            <w:hideMark/>
          </w:tcPr>
          <w:p w14:paraId="1337783C"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Bajo</w:t>
            </w:r>
          </w:p>
        </w:tc>
        <w:tc>
          <w:tcPr>
            <w:tcW w:w="931" w:type="dxa"/>
            <w:tcBorders>
              <w:top w:val="nil"/>
              <w:left w:val="nil"/>
              <w:bottom w:val="nil"/>
              <w:right w:val="single" w:sz="8" w:space="0" w:color="000000"/>
            </w:tcBorders>
            <w:shd w:val="clear" w:color="auto" w:fill="auto"/>
            <w:vAlign w:val="center"/>
            <w:hideMark/>
          </w:tcPr>
          <w:p w14:paraId="520C3E7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Matemática</w:t>
            </w:r>
          </w:p>
        </w:tc>
      </w:tr>
      <w:tr w:rsidR="00444B74" w:rsidRPr="00444B74" w14:paraId="0E7EA77A" w14:textId="77777777" w:rsidTr="00F04EDD">
        <w:trPr>
          <w:gridAfter w:val="1"/>
          <w:wAfter w:w="215" w:type="dxa"/>
          <w:trHeight w:val="300"/>
        </w:trPr>
        <w:tc>
          <w:tcPr>
            <w:tcW w:w="557" w:type="dxa"/>
            <w:vMerge/>
            <w:tcBorders>
              <w:top w:val="nil"/>
              <w:left w:val="single" w:sz="8" w:space="0" w:color="000000"/>
              <w:bottom w:val="single" w:sz="8" w:space="0" w:color="000000"/>
              <w:right w:val="single" w:sz="8" w:space="0" w:color="000000"/>
            </w:tcBorders>
            <w:vAlign w:val="center"/>
            <w:hideMark/>
          </w:tcPr>
          <w:p w14:paraId="55313294"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5B6E3CC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vMerge/>
            <w:tcBorders>
              <w:top w:val="nil"/>
              <w:left w:val="single" w:sz="8" w:space="0" w:color="000000"/>
              <w:bottom w:val="single" w:sz="8" w:space="0" w:color="000000"/>
              <w:right w:val="single" w:sz="8" w:space="0" w:color="000000"/>
            </w:tcBorders>
            <w:vAlign w:val="center"/>
            <w:hideMark/>
          </w:tcPr>
          <w:p w14:paraId="2F1E25B6"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875" w:type="dxa"/>
            <w:vMerge/>
            <w:tcBorders>
              <w:top w:val="nil"/>
              <w:left w:val="single" w:sz="8" w:space="0" w:color="000000"/>
              <w:bottom w:val="single" w:sz="8" w:space="0" w:color="000000"/>
              <w:right w:val="single" w:sz="8" w:space="0" w:color="000000"/>
            </w:tcBorders>
            <w:vAlign w:val="center"/>
            <w:hideMark/>
          </w:tcPr>
          <w:p w14:paraId="3299904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1304" w:type="dxa"/>
            <w:vMerge/>
            <w:tcBorders>
              <w:top w:val="nil"/>
              <w:left w:val="single" w:sz="8" w:space="0" w:color="000000"/>
              <w:bottom w:val="single" w:sz="8" w:space="0" w:color="000000"/>
              <w:right w:val="single" w:sz="8" w:space="0" w:color="000000"/>
            </w:tcBorders>
            <w:vAlign w:val="center"/>
            <w:hideMark/>
          </w:tcPr>
          <w:p w14:paraId="4840F9D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712" w:type="dxa"/>
            <w:vMerge/>
            <w:tcBorders>
              <w:top w:val="nil"/>
              <w:left w:val="single" w:sz="8" w:space="0" w:color="000000"/>
              <w:bottom w:val="nil"/>
              <w:right w:val="single" w:sz="8" w:space="0" w:color="000000"/>
            </w:tcBorders>
            <w:vAlign w:val="center"/>
            <w:hideMark/>
          </w:tcPr>
          <w:p w14:paraId="7FBD853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931" w:type="dxa"/>
            <w:tcBorders>
              <w:top w:val="nil"/>
              <w:left w:val="nil"/>
              <w:bottom w:val="single" w:sz="8" w:space="0" w:color="000000"/>
              <w:right w:val="single" w:sz="8" w:space="0" w:color="000000"/>
            </w:tcBorders>
            <w:shd w:val="clear" w:color="auto" w:fill="auto"/>
            <w:vAlign w:val="center"/>
            <w:hideMark/>
          </w:tcPr>
          <w:p w14:paraId="24ACA69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11.30%</w:t>
            </w:r>
          </w:p>
        </w:tc>
      </w:tr>
      <w:tr w:rsidR="00444B74" w:rsidRPr="00444B74" w14:paraId="5C3390F4" w14:textId="77777777" w:rsidTr="00F04EDD">
        <w:trPr>
          <w:gridAfter w:val="1"/>
          <w:wAfter w:w="215" w:type="dxa"/>
          <w:trHeight w:val="288"/>
        </w:trPr>
        <w:tc>
          <w:tcPr>
            <w:tcW w:w="557" w:type="dxa"/>
            <w:vMerge/>
            <w:tcBorders>
              <w:top w:val="nil"/>
              <w:left w:val="single" w:sz="8" w:space="0" w:color="000000"/>
              <w:bottom w:val="single" w:sz="8" w:space="0" w:color="000000"/>
              <w:right w:val="single" w:sz="8" w:space="0" w:color="000000"/>
            </w:tcBorders>
            <w:vAlign w:val="center"/>
            <w:hideMark/>
          </w:tcPr>
          <w:p w14:paraId="2BEB9989"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086DE8AD"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vMerge/>
            <w:tcBorders>
              <w:top w:val="nil"/>
              <w:left w:val="single" w:sz="8" w:space="0" w:color="000000"/>
              <w:bottom w:val="single" w:sz="8" w:space="0" w:color="000000"/>
              <w:right w:val="single" w:sz="8" w:space="0" w:color="000000"/>
            </w:tcBorders>
            <w:vAlign w:val="center"/>
            <w:hideMark/>
          </w:tcPr>
          <w:p w14:paraId="7B83E86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875" w:type="dxa"/>
            <w:vMerge/>
            <w:tcBorders>
              <w:top w:val="nil"/>
              <w:left w:val="single" w:sz="8" w:space="0" w:color="000000"/>
              <w:bottom w:val="single" w:sz="8" w:space="0" w:color="000000"/>
              <w:right w:val="single" w:sz="8" w:space="0" w:color="000000"/>
            </w:tcBorders>
            <w:vAlign w:val="center"/>
            <w:hideMark/>
          </w:tcPr>
          <w:p w14:paraId="0E7769B3"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1304" w:type="dxa"/>
            <w:vMerge/>
            <w:tcBorders>
              <w:top w:val="nil"/>
              <w:left w:val="single" w:sz="8" w:space="0" w:color="000000"/>
              <w:bottom w:val="single" w:sz="8" w:space="0" w:color="000000"/>
              <w:right w:val="single" w:sz="8" w:space="0" w:color="000000"/>
            </w:tcBorders>
            <w:vAlign w:val="center"/>
            <w:hideMark/>
          </w:tcPr>
          <w:p w14:paraId="161EA703"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71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F9CD4C"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 </w:t>
            </w:r>
          </w:p>
        </w:tc>
        <w:tc>
          <w:tcPr>
            <w:tcW w:w="931" w:type="dxa"/>
            <w:tcBorders>
              <w:top w:val="nil"/>
              <w:left w:val="nil"/>
              <w:bottom w:val="nil"/>
              <w:right w:val="single" w:sz="8" w:space="0" w:color="000000"/>
            </w:tcBorders>
            <w:shd w:val="clear" w:color="auto" w:fill="auto"/>
            <w:vAlign w:val="center"/>
            <w:hideMark/>
          </w:tcPr>
          <w:p w14:paraId="7A45A0B7"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Ciencias</w:t>
            </w:r>
          </w:p>
        </w:tc>
      </w:tr>
      <w:tr w:rsidR="00444B74" w:rsidRPr="00444B74" w14:paraId="5DF67ADA" w14:textId="77777777" w:rsidTr="00F04EDD">
        <w:trPr>
          <w:gridAfter w:val="1"/>
          <w:wAfter w:w="215" w:type="dxa"/>
          <w:trHeight w:val="300"/>
        </w:trPr>
        <w:tc>
          <w:tcPr>
            <w:tcW w:w="557" w:type="dxa"/>
            <w:vMerge/>
            <w:tcBorders>
              <w:top w:val="nil"/>
              <w:left w:val="single" w:sz="8" w:space="0" w:color="000000"/>
              <w:bottom w:val="single" w:sz="8" w:space="0" w:color="000000"/>
              <w:right w:val="single" w:sz="8" w:space="0" w:color="000000"/>
            </w:tcBorders>
            <w:vAlign w:val="center"/>
            <w:hideMark/>
          </w:tcPr>
          <w:p w14:paraId="414CBFE0"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3869C90B"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vMerge/>
            <w:tcBorders>
              <w:top w:val="nil"/>
              <w:left w:val="single" w:sz="8" w:space="0" w:color="000000"/>
              <w:bottom w:val="single" w:sz="8" w:space="0" w:color="000000"/>
              <w:right w:val="single" w:sz="8" w:space="0" w:color="000000"/>
            </w:tcBorders>
            <w:vAlign w:val="center"/>
            <w:hideMark/>
          </w:tcPr>
          <w:p w14:paraId="4D528E93"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875" w:type="dxa"/>
            <w:vMerge/>
            <w:tcBorders>
              <w:top w:val="nil"/>
              <w:left w:val="single" w:sz="8" w:space="0" w:color="000000"/>
              <w:bottom w:val="single" w:sz="8" w:space="0" w:color="000000"/>
              <w:right w:val="single" w:sz="8" w:space="0" w:color="000000"/>
            </w:tcBorders>
            <w:vAlign w:val="center"/>
            <w:hideMark/>
          </w:tcPr>
          <w:p w14:paraId="73348699"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1304" w:type="dxa"/>
            <w:vMerge/>
            <w:tcBorders>
              <w:top w:val="nil"/>
              <w:left w:val="single" w:sz="8" w:space="0" w:color="000000"/>
              <w:bottom w:val="single" w:sz="8" w:space="0" w:color="000000"/>
              <w:right w:val="single" w:sz="8" w:space="0" w:color="000000"/>
            </w:tcBorders>
            <w:vAlign w:val="center"/>
            <w:hideMark/>
          </w:tcPr>
          <w:p w14:paraId="411C9CAF"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712" w:type="dxa"/>
            <w:vMerge/>
            <w:tcBorders>
              <w:top w:val="nil"/>
              <w:left w:val="single" w:sz="8" w:space="0" w:color="000000"/>
              <w:bottom w:val="single" w:sz="8" w:space="0" w:color="000000"/>
              <w:right w:val="single" w:sz="8" w:space="0" w:color="000000"/>
            </w:tcBorders>
            <w:vAlign w:val="center"/>
            <w:hideMark/>
          </w:tcPr>
          <w:p w14:paraId="01B3BE3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931" w:type="dxa"/>
            <w:tcBorders>
              <w:top w:val="nil"/>
              <w:left w:val="nil"/>
              <w:bottom w:val="single" w:sz="8" w:space="0" w:color="000000"/>
              <w:right w:val="single" w:sz="8" w:space="0" w:color="000000"/>
            </w:tcBorders>
            <w:shd w:val="clear" w:color="auto" w:fill="auto"/>
            <w:vAlign w:val="center"/>
            <w:hideMark/>
          </w:tcPr>
          <w:p w14:paraId="6795193F"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14.40%</w:t>
            </w:r>
          </w:p>
        </w:tc>
      </w:tr>
      <w:tr w:rsidR="00444B74" w:rsidRPr="00444B74" w14:paraId="201968DC" w14:textId="77777777" w:rsidTr="00F04EDD">
        <w:trPr>
          <w:gridAfter w:val="1"/>
          <w:wAfter w:w="215" w:type="dxa"/>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53D3DC6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8</w:t>
            </w:r>
          </w:p>
        </w:tc>
        <w:tc>
          <w:tcPr>
            <w:tcW w:w="4370" w:type="dxa"/>
            <w:tcBorders>
              <w:top w:val="nil"/>
              <w:left w:val="nil"/>
              <w:bottom w:val="single" w:sz="8" w:space="0" w:color="000000"/>
              <w:right w:val="single" w:sz="8" w:space="0" w:color="000000"/>
            </w:tcBorders>
            <w:shd w:val="clear" w:color="auto" w:fill="auto"/>
            <w:vAlign w:val="center"/>
            <w:hideMark/>
          </w:tcPr>
          <w:p w14:paraId="01BC3CA2"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Erradicar el trabajo peligroso realizado en adolescentes aún dentro de la edad laboral permitida.</w:t>
            </w:r>
          </w:p>
        </w:tc>
        <w:tc>
          <w:tcPr>
            <w:tcW w:w="5245" w:type="dxa"/>
            <w:tcBorders>
              <w:top w:val="nil"/>
              <w:left w:val="nil"/>
              <w:bottom w:val="single" w:sz="8" w:space="0" w:color="000000"/>
              <w:right w:val="single" w:sz="8" w:space="0" w:color="auto"/>
            </w:tcBorders>
            <w:shd w:val="clear" w:color="auto" w:fill="auto"/>
            <w:vAlign w:val="center"/>
            <w:hideMark/>
          </w:tcPr>
          <w:p w14:paraId="2D6ED012"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8.1. Porcentaje de adolescentes dentro de la edad permitida que realizan trabajos peligrosos.</w:t>
            </w:r>
          </w:p>
        </w:tc>
        <w:tc>
          <w:tcPr>
            <w:tcW w:w="875" w:type="dxa"/>
            <w:tcBorders>
              <w:top w:val="nil"/>
              <w:left w:val="nil"/>
              <w:bottom w:val="single" w:sz="8" w:space="0" w:color="000000"/>
              <w:right w:val="single" w:sz="8" w:space="0" w:color="auto"/>
            </w:tcBorders>
            <w:shd w:val="clear" w:color="auto" w:fill="auto"/>
            <w:vAlign w:val="center"/>
            <w:hideMark/>
          </w:tcPr>
          <w:p w14:paraId="0F310561"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0%</w:t>
            </w:r>
          </w:p>
        </w:tc>
        <w:tc>
          <w:tcPr>
            <w:tcW w:w="1304" w:type="dxa"/>
            <w:tcBorders>
              <w:top w:val="nil"/>
              <w:left w:val="nil"/>
              <w:bottom w:val="single" w:sz="8" w:space="0" w:color="auto"/>
              <w:right w:val="single" w:sz="8" w:space="0" w:color="auto"/>
            </w:tcBorders>
            <w:shd w:val="clear" w:color="auto" w:fill="auto"/>
            <w:vAlign w:val="center"/>
            <w:hideMark/>
          </w:tcPr>
          <w:p w14:paraId="66A8259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5BB7EDE5"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Regular</w:t>
            </w:r>
          </w:p>
        </w:tc>
        <w:tc>
          <w:tcPr>
            <w:tcW w:w="931" w:type="dxa"/>
            <w:tcBorders>
              <w:top w:val="nil"/>
              <w:left w:val="nil"/>
              <w:bottom w:val="single" w:sz="8" w:space="0" w:color="auto"/>
              <w:right w:val="single" w:sz="8" w:space="0" w:color="auto"/>
            </w:tcBorders>
            <w:shd w:val="clear" w:color="auto" w:fill="auto"/>
            <w:vAlign w:val="center"/>
            <w:hideMark/>
          </w:tcPr>
          <w:p w14:paraId="3A2E5FA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45.00%</w:t>
            </w:r>
          </w:p>
        </w:tc>
      </w:tr>
      <w:tr w:rsidR="00444B74" w:rsidRPr="00444B74" w14:paraId="79440801" w14:textId="77777777" w:rsidTr="00F04EDD">
        <w:trPr>
          <w:gridAfter w:val="1"/>
          <w:wAfter w:w="215" w:type="dxa"/>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09D880D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9</w:t>
            </w:r>
          </w:p>
        </w:tc>
        <w:tc>
          <w:tcPr>
            <w:tcW w:w="4370" w:type="dxa"/>
            <w:tcBorders>
              <w:top w:val="nil"/>
              <w:left w:val="nil"/>
              <w:bottom w:val="single" w:sz="8" w:space="0" w:color="000000"/>
              <w:right w:val="single" w:sz="8" w:space="0" w:color="000000"/>
            </w:tcBorders>
            <w:shd w:val="clear" w:color="auto" w:fill="auto"/>
            <w:vAlign w:val="center"/>
            <w:hideMark/>
          </w:tcPr>
          <w:p w14:paraId="51D26A94"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Reducir en un 20% el embarazo adolescente.</w:t>
            </w:r>
          </w:p>
        </w:tc>
        <w:tc>
          <w:tcPr>
            <w:tcW w:w="5245" w:type="dxa"/>
            <w:tcBorders>
              <w:top w:val="nil"/>
              <w:left w:val="nil"/>
              <w:bottom w:val="single" w:sz="8" w:space="0" w:color="000000"/>
              <w:right w:val="single" w:sz="8" w:space="0" w:color="auto"/>
            </w:tcBorders>
            <w:shd w:val="clear" w:color="auto" w:fill="auto"/>
            <w:vAlign w:val="center"/>
            <w:hideMark/>
          </w:tcPr>
          <w:p w14:paraId="104F8064"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9.1. Porcentaje de mujeres (15- 19 años de edad) que ya son madres o están embarazadas por primera vez.</w:t>
            </w:r>
          </w:p>
        </w:tc>
        <w:tc>
          <w:tcPr>
            <w:tcW w:w="875" w:type="dxa"/>
            <w:tcBorders>
              <w:top w:val="nil"/>
              <w:left w:val="nil"/>
              <w:bottom w:val="single" w:sz="8" w:space="0" w:color="000000"/>
              <w:right w:val="single" w:sz="8" w:space="0" w:color="auto"/>
            </w:tcBorders>
            <w:shd w:val="clear" w:color="auto" w:fill="auto"/>
            <w:vAlign w:val="center"/>
            <w:hideMark/>
          </w:tcPr>
          <w:p w14:paraId="54FD40E3"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10.56%</w:t>
            </w:r>
          </w:p>
        </w:tc>
        <w:tc>
          <w:tcPr>
            <w:tcW w:w="1304" w:type="dxa"/>
            <w:tcBorders>
              <w:top w:val="nil"/>
              <w:left w:val="nil"/>
              <w:bottom w:val="single" w:sz="8" w:space="0" w:color="auto"/>
              <w:right w:val="single" w:sz="8" w:space="0" w:color="auto"/>
            </w:tcBorders>
            <w:shd w:val="clear" w:color="auto" w:fill="auto"/>
            <w:vAlign w:val="center"/>
            <w:hideMark/>
          </w:tcPr>
          <w:p w14:paraId="12AF2606"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cumplió</w:t>
            </w:r>
          </w:p>
        </w:tc>
        <w:tc>
          <w:tcPr>
            <w:tcW w:w="712" w:type="dxa"/>
            <w:tcBorders>
              <w:top w:val="nil"/>
              <w:left w:val="nil"/>
              <w:bottom w:val="single" w:sz="8" w:space="0" w:color="auto"/>
              <w:right w:val="single" w:sz="8" w:space="0" w:color="auto"/>
            </w:tcBorders>
            <w:shd w:val="clear" w:color="auto" w:fill="auto"/>
            <w:vAlign w:val="center"/>
            <w:hideMark/>
          </w:tcPr>
          <w:p w14:paraId="64527AAF"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c>
          <w:tcPr>
            <w:tcW w:w="931" w:type="dxa"/>
            <w:tcBorders>
              <w:top w:val="nil"/>
              <w:left w:val="nil"/>
              <w:bottom w:val="single" w:sz="8" w:space="0" w:color="auto"/>
              <w:right w:val="single" w:sz="8" w:space="0" w:color="auto"/>
            </w:tcBorders>
            <w:shd w:val="clear" w:color="auto" w:fill="auto"/>
            <w:vAlign w:val="center"/>
            <w:hideMark/>
          </w:tcPr>
          <w:p w14:paraId="4B3988D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r>
      <w:tr w:rsidR="00444B74" w:rsidRPr="00444B74" w14:paraId="39B0169D" w14:textId="77777777" w:rsidTr="00F04EDD">
        <w:trPr>
          <w:gridAfter w:val="1"/>
          <w:wAfter w:w="215" w:type="dxa"/>
          <w:trHeight w:val="1716"/>
        </w:trPr>
        <w:tc>
          <w:tcPr>
            <w:tcW w:w="55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1F41562"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10</w:t>
            </w:r>
          </w:p>
        </w:tc>
        <w:tc>
          <w:tcPr>
            <w:tcW w:w="437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BE536B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reduce en 5% la prevalencia anual del consumo de drogas legales e ilegales en la población escolar de secundaria</w:t>
            </w:r>
          </w:p>
        </w:tc>
        <w:tc>
          <w:tcPr>
            <w:tcW w:w="5245" w:type="dxa"/>
            <w:vMerge w:val="restart"/>
            <w:tcBorders>
              <w:top w:val="nil"/>
              <w:left w:val="single" w:sz="8" w:space="0" w:color="000000"/>
              <w:bottom w:val="single" w:sz="8" w:space="0" w:color="000000"/>
              <w:right w:val="single" w:sz="8" w:space="0" w:color="auto"/>
            </w:tcBorders>
            <w:shd w:val="clear" w:color="auto" w:fill="auto"/>
            <w:vAlign w:val="center"/>
            <w:hideMark/>
          </w:tcPr>
          <w:p w14:paraId="33716D84"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10.1. Porcentaje de variación de prevalencia anual de consumo de drogas legales de vida en población escolar de secundaria de 12 a 17 años de edad en ciudades de más de 30 mil habitantes</w:t>
            </w:r>
          </w:p>
        </w:tc>
        <w:tc>
          <w:tcPr>
            <w:tcW w:w="875" w:type="dxa"/>
            <w:vMerge w:val="restart"/>
            <w:tcBorders>
              <w:top w:val="nil"/>
              <w:left w:val="single" w:sz="8" w:space="0" w:color="000000"/>
              <w:bottom w:val="single" w:sz="8" w:space="0" w:color="000000"/>
              <w:right w:val="single" w:sz="8" w:space="0" w:color="auto"/>
            </w:tcBorders>
            <w:shd w:val="clear" w:color="auto" w:fill="auto"/>
            <w:vAlign w:val="center"/>
            <w:hideMark/>
          </w:tcPr>
          <w:p w14:paraId="218322A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22.14% en drogas legales</w:t>
            </w:r>
          </w:p>
        </w:tc>
        <w:tc>
          <w:tcPr>
            <w:tcW w:w="1304" w:type="dxa"/>
            <w:vMerge w:val="restart"/>
            <w:tcBorders>
              <w:top w:val="nil"/>
              <w:left w:val="single" w:sz="8" w:space="0" w:color="auto"/>
              <w:bottom w:val="single" w:sz="8" w:space="0" w:color="000000"/>
              <w:right w:val="single" w:sz="8" w:space="0" w:color="auto"/>
            </w:tcBorders>
            <w:shd w:val="clear" w:color="auto" w:fill="auto"/>
            <w:vAlign w:val="center"/>
            <w:hideMark/>
          </w:tcPr>
          <w:p w14:paraId="3ED5B91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puede proyectar</w:t>
            </w:r>
          </w:p>
        </w:tc>
        <w:tc>
          <w:tcPr>
            <w:tcW w:w="712" w:type="dxa"/>
            <w:vMerge w:val="restart"/>
            <w:tcBorders>
              <w:top w:val="nil"/>
              <w:left w:val="nil"/>
              <w:bottom w:val="single" w:sz="8" w:space="0" w:color="000000"/>
              <w:right w:val="single" w:sz="8" w:space="0" w:color="auto"/>
            </w:tcBorders>
            <w:shd w:val="clear" w:color="auto" w:fill="auto"/>
            <w:vAlign w:val="center"/>
            <w:hideMark/>
          </w:tcPr>
          <w:p w14:paraId="2829647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Óptimo</w:t>
            </w:r>
          </w:p>
        </w:tc>
        <w:tc>
          <w:tcPr>
            <w:tcW w:w="931" w:type="dxa"/>
            <w:vMerge w:val="restart"/>
            <w:tcBorders>
              <w:top w:val="nil"/>
              <w:left w:val="nil"/>
              <w:bottom w:val="single" w:sz="8" w:space="0" w:color="000000"/>
              <w:right w:val="single" w:sz="8" w:space="0" w:color="auto"/>
            </w:tcBorders>
            <w:shd w:val="clear" w:color="auto" w:fill="auto"/>
            <w:vAlign w:val="center"/>
            <w:hideMark/>
          </w:tcPr>
          <w:p w14:paraId="57001846"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614.30%</w:t>
            </w:r>
          </w:p>
        </w:tc>
      </w:tr>
      <w:tr w:rsidR="00444B74" w:rsidRPr="00444B74" w14:paraId="150207F6" w14:textId="77777777" w:rsidTr="00F04EDD">
        <w:trPr>
          <w:trHeight w:val="300"/>
        </w:trPr>
        <w:tc>
          <w:tcPr>
            <w:tcW w:w="557" w:type="dxa"/>
            <w:vMerge/>
            <w:tcBorders>
              <w:top w:val="nil"/>
              <w:left w:val="single" w:sz="8" w:space="0" w:color="000000"/>
              <w:bottom w:val="single" w:sz="8" w:space="0" w:color="000000"/>
              <w:right w:val="single" w:sz="8" w:space="0" w:color="000000"/>
            </w:tcBorders>
            <w:vAlign w:val="center"/>
            <w:hideMark/>
          </w:tcPr>
          <w:p w14:paraId="33604F11"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10C60456"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vMerge/>
            <w:tcBorders>
              <w:top w:val="nil"/>
              <w:left w:val="single" w:sz="8" w:space="0" w:color="000000"/>
              <w:bottom w:val="single" w:sz="8" w:space="0" w:color="000000"/>
              <w:right w:val="single" w:sz="8" w:space="0" w:color="auto"/>
            </w:tcBorders>
            <w:vAlign w:val="center"/>
            <w:hideMark/>
          </w:tcPr>
          <w:p w14:paraId="17A123D2"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875" w:type="dxa"/>
            <w:vMerge/>
            <w:tcBorders>
              <w:top w:val="nil"/>
              <w:left w:val="single" w:sz="8" w:space="0" w:color="000000"/>
              <w:bottom w:val="single" w:sz="8" w:space="0" w:color="000000"/>
              <w:right w:val="single" w:sz="8" w:space="0" w:color="auto"/>
            </w:tcBorders>
            <w:vAlign w:val="center"/>
            <w:hideMark/>
          </w:tcPr>
          <w:p w14:paraId="1BE7FB32"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1304" w:type="dxa"/>
            <w:vMerge/>
            <w:tcBorders>
              <w:top w:val="nil"/>
              <w:left w:val="single" w:sz="8" w:space="0" w:color="auto"/>
              <w:bottom w:val="single" w:sz="8" w:space="0" w:color="000000"/>
              <w:right w:val="single" w:sz="8" w:space="0" w:color="auto"/>
            </w:tcBorders>
            <w:vAlign w:val="center"/>
            <w:hideMark/>
          </w:tcPr>
          <w:p w14:paraId="2D9C60B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712" w:type="dxa"/>
            <w:vMerge/>
            <w:tcBorders>
              <w:top w:val="nil"/>
              <w:left w:val="nil"/>
              <w:bottom w:val="single" w:sz="8" w:space="0" w:color="000000"/>
              <w:right w:val="single" w:sz="8" w:space="0" w:color="auto"/>
            </w:tcBorders>
            <w:vAlign w:val="center"/>
            <w:hideMark/>
          </w:tcPr>
          <w:p w14:paraId="6337251E"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931" w:type="dxa"/>
            <w:vMerge/>
            <w:tcBorders>
              <w:top w:val="nil"/>
              <w:left w:val="nil"/>
              <w:bottom w:val="single" w:sz="8" w:space="0" w:color="000000"/>
              <w:right w:val="single" w:sz="8" w:space="0" w:color="auto"/>
            </w:tcBorders>
            <w:vAlign w:val="center"/>
            <w:hideMark/>
          </w:tcPr>
          <w:p w14:paraId="5597EB8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215" w:type="dxa"/>
            <w:tcBorders>
              <w:top w:val="nil"/>
              <w:left w:val="nil"/>
              <w:bottom w:val="nil"/>
              <w:right w:val="nil"/>
            </w:tcBorders>
            <w:shd w:val="clear" w:color="auto" w:fill="auto"/>
            <w:noWrap/>
            <w:vAlign w:val="bottom"/>
            <w:hideMark/>
          </w:tcPr>
          <w:p w14:paraId="40338F02"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p>
        </w:tc>
      </w:tr>
      <w:tr w:rsidR="00444B74" w:rsidRPr="00444B74" w14:paraId="538934C1" w14:textId="77777777" w:rsidTr="00F04EDD">
        <w:trPr>
          <w:trHeight w:val="1020"/>
        </w:trPr>
        <w:tc>
          <w:tcPr>
            <w:tcW w:w="557" w:type="dxa"/>
            <w:vMerge/>
            <w:tcBorders>
              <w:top w:val="nil"/>
              <w:left w:val="single" w:sz="8" w:space="0" w:color="000000"/>
              <w:bottom w:val="single" w:sz="8" w:space="0" w:color="000000"/>
              <w:right w:val="single" w:sz="8" w:space="0" w:color="000000"/>
            </w:tcBorders>
            <w:vAlign w:val="center"/>
            <w:hideMark/>
          </w:tcPr>
          <w:p w14:paraId="09F81FBE"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0EE6786B"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tcBorders>
              <w:top w:val="nil"/>
              <w:left w:val="nil"/>
              <w:bottom w:val="single" w:sz="8" w:space="0" w:color="000000"/>
              <w:right w:val="single" w:sz="8" w:space="0" w:color="auto"/>
            </w:tcBorders>
            <w:shd w:val="clear" w:color="auto" w:fill="auto"/>
            <w:vAlign w:val="center"/>
            <w:hideMark/>
          </w:tcPr>
          <w:p w14:paraId="3AA663C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10.2. Porcentaje de variación de prevalencia anual de consumo de drogas ilegales de vida en población escolar de secundaria de 12 a 17 años de edad en ciudades de más de 30 mil habitantes</w:t>
            </w:r>
          </w:p>
        </w:tc>
        <w:tc>
          <w:tcPr>
            <w:tcW w:w="875" w:type="dxa"/>
            <w:tcBorders>
              <w:top w:val="nil"/>
              <w:left w:val="nil"/>
              <w:bottom w:val="single" w:sz="8" w:space="0" w:color="000000"/>
              <w:right w:val="single" w:sz="8" w:space="0" w:color="auto"/>
            </w:tcBorders>
            <w:shd w:val="clear" w:color="auto" w:fill="auto"/>
            <w:vAlign w:val="center"/>
            <w:hideMark/>
          </w:tcPr>
          <w:p w14:paraId="1C4ED15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3.61% drogas ilegales</w:t>
            </w:r>
          </w:p>
        </w:tc>
        <w:tc>
          <w:tcPr>
            <w:tcW w:w="1304" w:type="dxa"/>
            <w:tcBorders>
              <w:top w:val="nil"/>
              <w:left w:val="nil"/>
              <w:bottom w:val="single" w:sz="8" w:space="0" w:color="auto"/>
              <w:right w:val="single" w:sz="8" w:space="0" w:color="auto"/>
            </w:tcBorders>
            <w:shd w:val="clear" w:color="auto" w:fill="auto"/>
            <w:vAlign w:val="center"/>
            <w:hideMark/>
          </w:tcPr>
          <w:p w14:paraId="16C2B13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puede proyectar</w:t>
            </w:r>
          </w:p>
        </w:tc>
        <w:tc>
          <w:tcPr>
            <w:tcW w:w="712" w:type="dxa"/>
            <w:tcBorders>
              <w:top w:val="nil"/>
              <w:left w:val="nil"/>
              <w:bottom w:val="single" w:sz="8" w:space="0" w:color="auto"/>
              <w:right w:val="single" w:sz="8" w:space="0" w:color="auto"/>
            </w:tcBorders>
            <w:shd w:val="clear" w:color="auto" w:fill="auto"/>
            <w:vAlign w:val="center"/>
            <w:hideMark/>
          </w:tcPr>
          <w:p w14:paraId="4615F31C"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Nulo o inverso</w:t>
            </w:r>
          </w:p>
        </w:tc>
        <w:tc>
          <w:tcPr>
            <w:tcW w:w="931" w:type="dxa"/>
            <w:tcBorders>
              <w:top w:val="nil"/>
              <w:left w:val="nil"/>
              <w:bottom w:val="single" w:sz="8" w:space="0" w:color="auto"/>
              <w:right w:val="single" w:sz="8" w:space="0" w:color="auto"/>
            </w:tcBorders>
            <w:shd w:val="clear" w:color="auto" w:fill="auto"/>
            <w:vAlign w:val="center"/>
            <w:hideMark/>
          </w:tcPr>
          <w:p w14:paraId="531C485F"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0.00%</w:t>
            </w:r>
          </w:p>
        </w:tc>
        <w:tc>
          <w:tcPr>
            <w:tcW w:w="215" w:type="dxa"/>
            <w:vAlign w:val="center"/>
            <w:hideMark/>
          </w:tcPr>
          <w:p w14:paraId="7F113E1F"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57182687" w14:textId="77777777" w:rsidTr="00F04EDD">
        <w:trPr>
          <w:trHeight w:val="852"/>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51B9B5F1"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11</w:t>
            </w:r>
          </w:p>
        </w:tc>
        <w:tc>
          <w:tcPr>
            <w:tcW w:w="4370" w:type="dxa"/>
            <w:tcBorders>
              <w:top w:val="nil"/>
              <w:left w:val="nil"/>
              <w:bottom w:val="single" w:sz="8" w:space="0" w:color="000000"/>
              <w:right w:val="single" w:sz="8" w:space="0" w:color="000000"/>
            </w:tcBorders>
            <w:shd w:val="clear" w:color="auto" w:fill="auto"/>
            <w:vAlign w:val="center"/>
            <w:hideMark/>
          </w:tcPr>
          <w:p w14:paraId="5C85B29E"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Reducir la tasa de adolescentes que se encuentran en conflicto con la Ley Penal.</w:t>
            </w:r>
          </w:p>
        </w:tc>
        <w:tc>
          <w:tcPr>
            <w:tcW w:w="5245" w:type="dxa"/>
            <w:tcBorders>
              <w:top w:val="nil"/>
              <w:left w:val="nil"/>
              <w:bottom w:val="single" w:sz="8" w:space="0" w:color="000000"/>
              <w:right w:val="single" w:sz="8" w:space="0" w:color="auto"/>
            </w:tcBorders>
            <w:shd w:val="clear" w:color="auto" w:fill="auto"/>
            <w:vAlign w:val="center"/>
            <w:hideMark/>
          </w:tcPr>
          <w:p w14:paraId="10224FF6"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11.1. Tasa de expedientes ingresados a las fiscalías de familia y/o mixtas por infracción de la Ley Penal por cada 100 mil habitantes entre 14 y 17 años de edad.</w:t>
            </w:r>
          </w:p>
        </w:tc>
        <w:tc>
          <w:tcPr>
            <w:tcW w:w="875" w:type="dxa"/>
            <w:tcBorders>
              <w:top w:val="nil"/>
              <w:left w:val="nil"/>
              <w:bottom w:val="single" w:sz="8" w:space="0" w:color="000000"/>
              <w:right w:val="single" w:sz="8" w:space="0" w:color="auto"/>
            </w:tcBorders>
            <w:shd w:val="clear" w:color="auto" w:fill="auto"/>
            <w:vAlign w:val="center"/>
            <w:hideMark/>
          </w:tcPr>
          <w:p w14:paraId="0F624DD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cuantificable</w:t>
            </w:r>
          </w:p>
        </w:tc>
        <w:tc>
          <w:tcPr>
            <w:tcW w:w="1304" w:type="dxa"/>
            <w:tcBorders>
              <w:top w:val="nil"/>
              <w:left w:val="nil"/>
              <w:bottom w:val="single" w:sz="8" w:space="0" w:color="auto"/>
              <w:right w:val="single" w:sz="8" w:space="0" w:color="auto"/>
            </w:tcBorders>
            <w:shd w:val="clear" w:color="auto" w:fill="auto"/>
            <w:vAlign w:val="center"/>
            <w:hideMark/>
          </w:tcPr>
          <w:p w14:paraId="494FD5F1"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cumplió</w:t>
            </w:r>
          </w:p>
        </w:tc>
        <w:tc>
          <w:tcPr>
            <w:tcW w:w="712" w:type="dxa"/>
            <w:tcBorders>
              <w:top w:val="nil"/>
              <w:left w:val="nil"/>
              <w:bottom w:val="single" w:sz="8" w:space="0" w:color="auto"/>
              <w:right w:val="single" w:sz="8" w:space="0" w:color="auto"/>
            </w:tcBorders>
            <w:shd w:val="clear" w:color="auto" w:fill="auto"/>
            <w:vAlign w:val="center"/>
            <w:hideMark/>
          </w:tcPr>
          <w:p w14:paraId="16CF4CE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c>
          <w:tcPr>
            <w:tcW w:w="931" w:type="dxa"/>
            <w:tcBorders>
              <w:top w:val="nil"/>
              <w:left w:val="nil"/>
              <w:bottom w:val="single" w:sz="8" w:space="0" w:color="auto"/>
              <w:right w:val="single" w:sz="8" w:space="0" w:color="auto"/>
            </w:tcBorders>
            <w:shd w:val="clear" w:color="auto" w:fill="auto"/>
            <w:vAlign w:val="center"/>
            <w:hideMark/>
          </w:tcPr>
          <w:p w14:paraId="29C6F9C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c>
          <w:tcPr>
            <w:tcW w:w="215" w:type="dxa"/>
            <w:vAlign w:val="center"/>
            <w:hideMark/>
          </w:tcPr>
          <w:p w14:paraId="51697E1E"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0F778794" w14:textId="77777777" w:rsidTr="00F04EDD">
        <w:trPr>
          <w:trHeight w:val="684"/>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548AFCE2"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12</w:t>
            </w:r>
          </w:p>
        </w:tc>
        <w:tc>
          <w:tcPr>
            <w:tcW w:w="4370" w:type="dxa"/>
            <w:tcBorders>
              <w:top w:val="nil"/>
              <w:left w:val="nil"/>
              <w:bottom w:val="single" w:sz="8" w:space="0" w:color="000000"/>
              <w:right w:val="single" w:sz="8" w:space="0" w:color="000000"/>
            </w:tcBorders>
            <w:shd w:val="clear" w:color="auto" w:fill="auto"/>
            <w:vAlign w:val="center"/>
            <w:hideMark/>
          </w:tcPr>
          <w:p w14:paraId="73143CE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100% de adolescentes con diagnóstico de VIH reciben el tratamiento de forma gratuita, oportuna y continua.</w:t>
            </w:r>
          </w:p>
        </w:tc>
        <w:tc>
          <w:tcPr>
            <w:tcW w:w="5245" w:type="dxa"/>
            <w:tcBorders>
              <w:top w:val="nil"/>
              <w:left w:val="nil"/>
              <w:bottom w:val="single" w:sz="8" w:space="0" w:color="000000"/>
              <w:right w:val="single" w:sz="8" w:space="0" w:color="auto"/>
            </w:tcBorders>
            <w:shd w:val="clear" w:color="auto" w:fill="auto"/>
            <w:vAlign w:val="center"/>
            <w:hideMark/>
          </w:tcPr>
          <w:p w14:paraId="6A711261"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12.2. Porcentaje de adolescentes con diagnóstico de VIH reciben el tratamiento de forma gratuita oportuna y continua.</w:t>
            </w:r>
          </w:p>
        </w:tc>
        <w:tc>
          <w:tcPr>
            <w:tcW w:w="875" w:type="dxa"/>
            <w:tcBorders>
              <w:top w:val="nil"/>
              <w:left w:val="nil"/>
              <w:bottom w:val="single" w:sz="8" w:space="0" w:color="000000"/>
              <w:right w:val="single" w:sz="8" w:space="0" w:color="auto"/>
            </w:tcBorders>
            <w:shd w:val="clear" w:color="auto" w:fill="auto"/>
            <w:vAlign w:val="center"/>
            <w:hideMark/>
          </w:tcPr>
          <w:p w14:paraId="0EDAF061"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100%</w:t>
            </w:r>
          </w:p>
        </w:tc>
        <w:tc>
          <w:tcPr>
            <w:tcW w:w="1304" w:type="dxa"/>
            <w:tcBorders>
              <w:top w:val="nil"/>
              <w:left w:val="nil"/>
              <w:bottom w:val="single" w:sz="8" w:space="0" w:color="auto"/>
              <w:right w:val="single" w:sz="8" w:space="0" w:color="auto"/>
            </w:tcBorders>
            <w:shd w:val="clear" w:color="auto" w:fill="auto"/>
            <w:vAlign w:val="center"/>
            <w:hideMark/>
          </w:tcPr>
          <w:p w14:paraId="0044644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5AC6A8C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Bueno</w:t>
            </w:r>
          </w:p>
        </w:tc>
        <w:tc>
          <w:tcPr>
            <w:tcW w:w="931" w:type="dxa"/>
            <w:tcBorders>
              <w:top w:val="nil"/>
              <w:left w:val="nil"/>
              <w:bottom w:val="single" w:sz="8" w:space="0" w:color="auto"/>
              <w:right w:val="single" w:sz="8" w:space="0" w:color="auto"/>
            </w:tcBorders>
            <w:shd w:val="clear" w:color="auto" w:fill="auto"/>
            <w:vAlign w:val="center"/>
            <w:hideMark/>
          </w:tcPr>
          <w:p w14:paraId="124545E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67.70%</w:t>
            </w:r>
          </w:p>
        </w:tc>
        <w:tc>
          <w:tcPr>
            <w:tcW w:w="215" w:type="dxa"/>
            <w:vAlign w:val="center"/>
            <w:hideMark/>
          </w:tcPr>
          <w:p w14:paraId="0697FAA7"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16ECB07C" w14:textId="77777777" w:rsidTr="00F04EDD">
        <w:trPr>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7798E10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13</w:t>
            </w:r>
          </w:p>
        </w:tc>
        <w:tc>
          <w:tcPr>
            <w:tcW w:w="4370" w:type="dxa"/>
            <w:tcBorders>
              <w:top w:val="nil"/>
              <w:left w:val="nil"/>
              <w:bottom w:val="single" w:sz="8" w:space="0" w:color="000000"/>
              <w:right w:val="single" w:sz="8" w:space="0" w:color="000000"/>
            </w:tcBorders>
            <w:shd w:val="clear" w:color="auto" w:fill="auto"/>
            <w:vAlign w:val="center"/>
            <w:hideMark/>
          </w:tcPr>
          <w:p w14:paraId="3EFCAB9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Incrementar la atención integral y diferenciada de las y los adolescentes</w:t>
            </w:r>
          </w:p>
        </w:tc>
        <w:tc>
          <w:tcPr>
            <w:tcW w:w="5245" w:type="dxa"/>
            <w:tcBorders>
              <w:top w:val="nil"/>
              <w:left w:val="nil"/>
              <w:bottom w:val="single" w:sz="8" w:space="0" w:color="000000"/>
              <w:right w:val="single" w:sz="8" w:space="0" w:color="auto"/>
            </w:tcBorders>
            <w:shd w:val="clear" w:color="auto" w:fill="auto"/>
            <w:vAlign w:val="center"/>
            <w:hideMark/>
          </w:tcPr>
          <w:p w14:paraId="7E4FC3F3"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13.2. Prevalencia de anemia en mujeres de 15 a 19 años de edad</w:t>
            </w:r>
          </w:p>
        </w:tc>
        <w:tc>
          <w:tcPr>
            <w:tcW w:w="875" w:type="dxa"/>
            <w:tcBorders>
              <w:top w:val="nil"/>
              <w:left w:val="nil"/>
              <w:bottom w:val="single" w:sz="8" w:space="0" w:color="000000"/>
              <w:right w:val="single" w:sz="8" w:space="0" w:color="auto"/>
            </w:tcBorders>
            <w:shd w:val="clear" w:color="auto" w:fill="auto"/>
            <w:vAlign w:val="center"/>
            <w:hideMark/>
          </w:tcPr>
          <w:p w14:paraId="551D4A65"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cuantificable</w:t>
            </w:r>
          </w:p>
        </w:tc>
        <w:tc>
          <w:tcPr>
            <w:tcW w:w="1304" w:type="dxa"/>
            <w:tcBorders>
              <w:top w:val="nil"/>
              <w:left w:val="nil"/>
              <w:bottom w:val="single" w:sz="8" w:space="0" w:color="auto"/>
              <w:right w:val="single" w:sz="8" w:space="0" w:color="auto"/>
            </w:tcBorders>
            <w:shd w:val="clear" w:color="auto" w:fill="auto"/>
            <w:vAlign w:val="center"/>
            <w:hideMark/>
          </w:tcPr>
          <w:p w14:paraId="5FBBEE1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47AABE2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Nulo o inverso</w:t>
            </w:r>
          </w:p>
        </w:tc>
        <w:tc>
          <w:tcPr>
            <w:tcW w:w="931" w:type="dxa"/>
            <w:tcBorders>
              <w:top w:val="nil"/>
              <w:left w:val="nil"/>
              <w:bottom w:val="single" w:sz="8" w:space="0" w:color="auto"/>
              <w:right w:val="single" w:sz="8" w:space="0" w:color="auto"/>
            </w:tcBorders>
            <w:shd w:val="clear" w:color="auto" w:fill="auto"/>
            <w:vAlign w:val="center"/>
            <w:hideMark/>
          </w:tcPr>
          <w:p w14:paraId="7C4EB6E9"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-38.40%</w:t>
            </w:r>
          </w:p>
        </w:tc>
        <w:tc>
          <w:tcPr>
            <w:tcW w:w="215" w:type="dxa"/>
            <w:vAlign w:val="center"/>
            <w:hideMark/>
          </w:tcPr>
          <w:p w14:paraId="72CBFE6E"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4E0F58A8" w14:textId="77777777" w:rsidTr="00F04EDD">
        <w:trPr>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113B3587"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14</w:t>
            </w:r>
          </w:p>
        </w:tc>
        <w:tc>
          <w:tcPr>
            <w:tcW w:w="4370" w:type="dxa"/>
            <w:tcBorders>
              <w:top w:val="nil"/>
              <w:left w:val="nil"/>
              <w:bottom w:val="single" w:sz="8" w:space="0" w:color="000000"/>
              <w:right w:val="single" w:sz="8" w:space="0" w:color="000000"/>
            </w:tcBorders>
            <w:shd w:val="clear" w:color="auto" w:fill="auto"/>
            <w:vAlign w:val="center"/>
            <w:hideMark/>
          </w:tcPr>
          <w:p w14:paraId="2781438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 xml:space="preserve">Disminuir el número de niñas, niños y adolescentes que se encuentran en situación de explotación sexual. </w:t>
            </w:r>
          </w:p>
        </w:tc>
        <w:tc>
          <w:tcPr>
            <w:tcW w:w="5245" w:type="dxa"/>
            <w:tcBorders>
              <w:top w:val="nil"/>
              <w:left w:val="nil"/>
              <w:bottom w:val="single" w:sz="8" w:space="0" w:color="000000"/>
              <w:right w:val="single" w:sz="8" w:space="0" w:color="auto"/>
            </w:tcBorders>
            <w:shd w:val="clear" w:color="auto" w:fill="auto"/>
            <w:vAlign w:val="center"/>
            <w:hideMark/>
          </w:tcPr>
          <w:p w14:paraId="25085076"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Porcentaje de denuncias ingresadas al Ministerio Público por casos de explotación sexual en NNA</w:t>
            </w:r>
          </w:p>
        </w:tc>
        <w:tc>
          <w:tcPr>
            <w:tcW w:w="875" w:type="dxa"/>
            <w:tcBorders>
              <w:top w:val="nil"/>
              <w:left w:val="nil"/>
              <w:bottom w:val="single" w:sz="8" w:space="0" w:color="000000"/>
              <w:right w:val="single" w:sz="8" w:space="0" w:color="auto"/>
            </w:tcBorders>
            <w:shd w:val="clear" w:color="auto" w:fill="auto"/>
            <w:vAlign w:val="center"/>
            <w:hideMark/>
          </w:tcPr>
          <w:p w14:paraId="4B037E1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cuantificable</w:t>
            </w:r>
          </w:p>
        </w:tc>
        <w:tc>
          <w:tcPr>
            <w:tcW w:w="1304" w:type="dxa"/>
            <w:tcBorders>
              <w:top w:val="nil"/>
              <w:left w:val="nil"/>
              <w:bottom w:val="single" w:sz="8" w:space="0" w:color="auto"/>
              <w:right w:val="single" w:sz="8" w:space="0" w:color="auto"/>
            </w:tcBorders>
            <w:shd w:val="clear" w:color="auto" w:fill="auto"/>
            <w:vAlign w:val="center"/>
            <w:hideMark/>
          </w:tcPr>
          <w:p w14:paraId="6009B756"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6FCB3CC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Nulo o inverso</w:t>
            </w:r>
          </w:p>
        </w:tc>
        <w:tc>
          <w:tcPr>
            <w:tcW w:w="931" w:type="dxa"/>
            <w:tcBorders>
              <w:top w:val="nil"/>
              <w:left w:val="nil"/>
              <w:bottom w:val="single" w:sz="8" w:space="0" w:color="auto"/>
              <w:right w:val="single" w:sz="8" w:space="0" w:color="auto"/>
            </w:tcBorders>
            <w:shd w:val="clear" w:color="auto" w:fill="auto"/>
            <w:vAlign w:val="center"/>
            <w:hideMark/>
          </w:tcPr>
          <w:p w14:paraId="62E86727"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-111%</w:t>
            </w:r>
          </w:p>
        </w:tc>
        <w:tc>
          <w:tcPr>
            <w:tcW w:w="215" w:type="dxa"/>
            <w:vAlign w:val="center"/>
            <w:hideMark/>
          </w:tcPr>
          <w:p w14:paraId="08CA258D"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6D1FB95B" w14:textId="77777777" w:rsidTr="00F04EDD">
        <w:trPr>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3DC8F4F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15</w:t>
            </w:r>
          </w:p>
        </w:tc>
        <w:tc>
          <w:tcPr>
            <w:tcW w:w="4370" w:type="dxa"/>
            <w:tcBorders>
              <w:top w:val="nil"/>
              <w:left w:val="nil"/>
              <w:bottom w:val="single" w:sz="8" w:space="0" w:color="000000"/>
              <w:right w:val="single" w:sz="8" w:space="0" w:color="000000"/>
            </w:tcBorders>
            <w:shd w:val="clear" w:color="auto" w:fill="auto"/>
            <w:vAlign w:val="center"/>
            <w:hideMark/>
          </w:tcPr>
          <w:p w14:paraId="616B13C1"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universaliza el uso del DNI para las niñas, niños y adolescentes.</w:t>
            </w:r>
          </w:p>
        </w:tc>
        <w:tc>
          <w:tcPr>
            <w:tcW w:w="5245" w:type="dxa"/>
            <w:tcBorders>
              <w:top w:val="nil"/>
              <w:left w:val="nil"/>
              <w:bottom w:val="single" w:sz="8" w:space="0" w:color="000000"/>
              <w:right w:val="single" w:sz="8" w:space="0" w:color="auto"/>
            </w:tcBorders>
            <w:shd w:val="clear" w:color="auto" w:fill="auto"/>
            <w:vAlign w:val="center"/>
            <w:hideMark/>
          </w:tcPr>
          <w:p w14:paraId="63E1B36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15.1. Porcentaje de niñas, niños y adolescentes de 0 a 17 años de edad que cuentan DNI</w:t>
            </w:r>
          </w:p>
        </w:tc>
        <w:tc>
          <w:tcPr>
            <w:tcW w:w="875" w:type="dxa"/>
            <w:tcBorders>
              <w:top w:val="nil"/>
              <w:left w:val="nil"/>
              <w:bottom w:val="single" w:sz="8" w:space="0" w:color="000000"/>
              <w:right w:val="single" w:sz="8" w:space="0" w:color="auto"/>
            </w:tcBorders>
            <w:shd w:val="clear" w:color="auto" w:fill="auto"/>
            <w:vAlign w:val="center"/>
            <w:hideMark/>
          </w:tcPr>
          <w:p w14:paraId="64AC133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100%</w:t>
            </w:r>
          </w:p>
        </w:tc>
        <w:tc>
          <w:tcPr>
            <w:tcW w:w="1304" w:type="dxa"/>
            <w:tcBorders>
              <w:top w:val="nil"/>
              <w:left w:val="nil"/>
              <w:bottom w:val="single" w:sz="8" w:space="0" w:color="auto"/>
              <w:right w:val="single" w:sz="8" w:space="0" w:color="auto"/>
            </w:tcBorders>
            <w:shd w:val="clear" w:color="auto" w:fill="auto"/>
            <w:vAlign w:val="center"/>
            <w:hideMark/>
          </w:tcPr>
          <w:p w14:paraId="38690F0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31732DC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Bueno</w:t>
            </w:r>
          </w:p>
        </w:tc>
        <w:tc>
          <w:tcPr>
            <w:tcW w:w="931" w:type="dxa"/>
            <w:tcBorders>
              <w:top w:val="nil"/>
              <w:left w:val="nil"/>
              <w:bottom w:val="single" w:sz="8" w:space="0" w:color="auto"/>
              <w:right w:val="single" w:sz="8" w:space="0" w:color="auto"/>
            </w:tcBorders>
            <w:shd w:val="clear" w:color="auto" w:fill="auto"/>
            <w:vAlign w:val="center"/>
            <w:hideMark/>
          </w:tcPr>
          <w:p w14:paraId="2AB107A3"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80%</w:t>
            </w:r>
          </w:p>
        </w:tc>
        <w:tc>
          <w:tcPr>
            <w:tcW w:w="215" w:type="dxa"/>
            <w:vAlign w:val="center"/>
            <w:hideMark/>
          </w:tcPr>
          <w:p w14:paraId="647EBCD9"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790D2093" w14:textId="77777777" w:rsidTr="00F04EDD">
        <w:trPr>
          <w:trHeight w:val="1212"/>
        </w:trPr>
        <w:tc>
          <w:tcPr>
            <w:tcW w:w="55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516C0C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lastRenderedPageBreak/>
              <w:t>RE 16</w:t>
            </w:r>
          </w:p>
        </w:tc>
        <w:tc>
          <w:tcPr>
            <w:tcW w:w="437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4EF9CA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reduce la deserción escolar de niñas, niños y adolescentes con discapacidad que asisten a los Centros de Educación Básica Especial.</w:t>
            </w:r>
          </w:p>
        </w:tc>
        <w:tc>
          <w:tcPr>
            <w:tcW w:w="5245" w:type="dxa"/>
            <w:vMerge w:val="restart"/>
            <w:tcBorders>
              <w:top w:val="nil"/>
              <w:left w:val="single" w:sz="8" w:space="0" w:color="000000"/>
              <w:bottom w:val="single" w:sz="8" w:space="0" w:color="000000"/>
              <w:right w:val="single" w:sz="8" w:space="0" w:color="auto"/>
            </w:tcBorders>
            <w:shd w:val="clear" w:color="auto" w:fill="auto"/>
            <w:vAlign w:val="center"/>
            <w:hideMark/>
          </w:tcPr>
          <w:p w14:paraId="77591884"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16.1.  Porcentaje de niñas, niños y adolescentes con discapacidad que culminan el año lectivo en los Centros de Educación Básica Especial.</w:t>
            </w:r>
          </w:p>
        </w:tc>
        <w:tc>
          <w:tcPr>
            <w:tcW w:w="875" w:type="dxa"/>
            <w:vMerge w:val="restart"/>
            <w:tcBorders>
              <w:top w:val="nil"/>
              <w:left w:val="single" w:sz="8" w:space="0" w:color="000000"/>
              <w:bottom w:val="single" w:sz="8" w:space="0" w:color="000000"/>
              <w:right w:val="single" w:sz="8" w:space="0" w:color="auto"/>
            </w:tcBorders>
            <w:shd w:val="clear" w:color="auto" w:fill="auto"/>
            <w:vAlign w:val="center"/>
            <w:hideMark/>
          </w:tcPr>
          <w:p w14:paraId="300E7119"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cuantificable</w:t>
            </w:r>
          </w:p>
        </w:tc>
        <w:tc>
          <w:tcPr>
            <w:tcW w:w="1304" w:type="dxa"/>
            <w:vMerge w:val="restart"/>
            <w:tcBorders>
              <w:top w:val="nil"/>
              <w:left w:val="single" w:sz="8" w:space="0" w:color="auto"/>
              <w:bottom w:val="single" w:sz="8" w:space="0" w:color="000000"/>
              <w:right w:val="single" w:sz="8" w:space="0" w:color="auto"/>
            </w:tcBorders>
            <w:shd w:val="clear" w:color="auto" w:fill="auto"/>
            <w:vAlign w:val="center"/>
            <w:hideMark/>
          </w:tcPr>
          <w:p w14:paraId="35158A59"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puede proyectar</w:t>
            </w:r>
          </w:p>
        </w:tc>
        <w:tc>
          <w:tcPr>
            <w:tcW w:w="712" w:type="dxa"/>
            <w:vMerge w:val="restart"/>
            <w:tcBorders>
              <w:top w:val="nil"/>
              <w:left w:val="single" w:sz="8" w:space="0" w:color="auto"/>
              <w:bottom w:val="single" w:sz="8" w:space="0" w:color="000000"/>
              <w:right w:val="single" w:sz="8" w:space="0" w:color="auto"/>
            </w:tcBorders>
            <w:shd w:val="clear" w:color="auto" w:fill="auto"/>
            <w:vAlign w:val="center"/>
            <w:hideMark/>
          </w:tcPr>
          <w:p w14:paraId="1669500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Regular</w:t>
            </w:r>
          </w:p>
        </w:tc>
        <w:tc>
          <w:tcPr>
            <w:tcW w:w="931" w:type="dxa"/>
            <w:tcBorders>
              <w:top w:val="nil"/>
              <w:left w:val="nil"/>
              <w:bottom w:val="single" w:sz="8" w:space="0" w:color="auto"/>
              <w:right w:val="single" w:sz="8" w:space="0" w:color="auto"/>
            </w:tcBorders>
            <w:shd w:val="clear" w:color="auto" w:fill="auto"/>
            <w:vAlign w:val="center"/>
            <w:hideMark/>
          </w:tcPr>
          <w:p w14:paraId="612ED76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Inicial: 23.8%</w:t>
            </w:r>
          </w:p>
        </w:tc>
        <w:tc>
          <w:tcPr>
            <w:tcW w:w="215" w:type="dxa"/>
            <w:vAlign w:val="center"/>
            <w:hideMark/>
          </w:tcPr>
          <w:p w14:paraId="5D0A8E97"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32B3DA39" w14:textId="77777777" w:rsidTr="00F04EDD">
        <w:trPr>
          <w:trHeight w:val="348"/>
        </w:trPr>
        <w:tc>
          <w:tcPr>
            <w:tcW w:w="557" w:type="dxa"/>
            <w:vMerge/>
            <w:tcBorders>
              <w:top w:val="nil"/>
              <w:left w:val="single" w:sz="8" w:space="0" w:color="000000"/>
              <w:bottom w:val="single" w:sz="8" w:space="0" w:color="000000"/>
              <w:right w:val="single" w:sz="8" w:space="0" w:color="000000"/>
            </w:tcBorders>
            <w:vAlign w:val="center"/>
            <w:hideMark/>
          </w:tcPr>
          <w:p w14:paraId="07A7B2EC"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4787C39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vMerge/>
            <w:tcBorders>
              <w:top w:val="nil"/>
              <w:left w:val="single" w:sz="8" w:space="0" w:color="000000"/>
              <w:bottom w:val="single" w:sz="8" w:space="0" w:color="000000"/>
              <w:right w:val="single" w:sz="8" w:space="0" w:color="auto"/>
            </w:tcBorders>
            <w:vAlign w:val="center"/>
            <w:hideMark/>
          </w:tcPr>
          <w:p w14:paraId="3E67C9CE"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875" w:type="dxa"/>
            <w:vMerge/>
            <w:tcBorders>
              <w:top w:val="nil"/>
              <w:left w:val="single" w:sz="8" w:space="0" w:color="000000"/>
              <w:bottom w:val="single" w:sz="8" w:space="0" w:color="000000"/>
              <w:right w:val="single" w:sz="8" w:space="0" w:color="auto"/>
            </w:tcBorders>
            <w:vAlign w:val="center"/>
            <w:hideMark/>
          </w:tcPr>
          <w:p w14:paraId="2EB5BC0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1304" w:type="dxa"/>
            <w:vMerge/>
            <w:tcBorders>
              <w:top w:val="nil"/>
              <w:left w:val="single" w:sz="8" w:space="0" w:color="auto"/>
              <w:bottom w:val="single" w:sz="8" w:space="0" w:color="000000"/>
              <w:right w:val="single" w:sz="8" w:space="0" w:color="auto"/>
            </w:tcBorders>
            <w:vAlign w:val="center"/>
            <w:hideMark/>
          </w:tcPr>
          <w:p w14:paraId="0CFB2A5E"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712" w:type="dxa"/>
            <w:vMerge/>
            <w:tcBorders>
              <w:top w:val="nil"/>
              <w:left w:val="single" w:sz="8" w:space="0" w:color="auto"/>
              <w:bottom w:val="single" w:sz="8" w:space="0" w:color="000000"/>
              <w:right w:val="single" w:sz="8" w:space="0" w:color="auto"/>
            </w:tcBorders>
            <w:vAlign w:val="center"/>
            <w:hideMark/>
          </w:tcPr>
          <w:p w14:paraId="1A95191D"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931" w:type="dxa"/>
            <w:tcBorders>
              <w:top w:val="nil"/>
              <w:left w:val="nil"/>
              <w:bottom w:val="nil"/>
              <w:right w:val="nil"/>
            </w:tcBorders>
            <w:shd w:val="clear" w:color="auto" w:fill="auto"/>
            <w:vAlign w:val="center"/>
            <w:hideMark/>
          </w:tcPr>
          <w:p w14:paraId="64F1338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Primaria: 23.8%</w:t>
            </w:r>
          </w:p>
        </w:tc>
        <w:tc>
          <w:tcPr>
            <w:tcW w:w="215" w:type="dxa"/>
            <w:vAlign w:val="center"/>
            <w:hideMark/>
          </w:tcPr>
          <w:p w14:paraId="145241D2"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0621AAEF" w14:textId="77777777" w:rsidTr="00F04EDD">
        <w:trPr>
          <w:trHeight w:val="1020"/>
        </w:trPr>
        <w:tc>
          <w:tcPr>
            <w:tcW w:w="557" w:type="dxa"/>
            <w:vMerge/>
            <w:tcBorders>
              <w:top w:val="nil"/>
              <w:left w:val="single" w:sz="8" w:space="0" w:color="000000"/>
              <w:bottom w:val="single" w:sz="8" w:space="0" w:color="000000"/>
              <w:right w:val="single" w:sz="8" w:space="0" w:color="000000"/>
            </w:tcBorders>
            <w:vAlign w:val="center"/>
            <w:hideMark/>
          </w:tcPr>
          <w:p w14:paraId="38C79ABE"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tcBorders>
              <w:top w:val="nil"/>
              <w:left w:val="nil"/>
              <w:bottom w:val="single" w:sz="8" w:space="0" w:color="000000"/>
              <w:right w:val="single" w:sz="8" w:space="0" w:color="000000"/>
            </w:tcBorders>
            <w:shd w:val="clear" w:color="auto" w:fill="auto"/>
            <w:vAlign w:val="center"/>
            <w:hideMark/>
          </w:tcPr>
          <w:p w14:paraId="5C88434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incrementa el porcentaje de niñas y niños con alguna discapacidad, detectados y atendidos por los Establecimientos de Salud (EESS) durante los tres primeros años de vida.</w:t>
            </w:r>
          </w:p>
        </w:tc>
        <w:tc>
          <w:tcPr>
            <w:tcW w:w="5245" w:type="dxa"/>
            <w:tcBorders>
              <w:top w:val="nil"/>
              <w:left w:val="nil"/>
              <w:bottom w:val="single" w:sz="8" w:space="0" w:color="000000"/>
              <w:right w:val="single" w:sz="8" w:space="0" w:color="auto"/>
            </w:tcBorders>
            <w:shd w:val="clear" w:color="auto" w:fill="auto"/>
            <w:vAlign w:val="center"/>
            <w:hideMark/>
          </w:tcPr>
          <w:p w14:paraId="728A46AC"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16.2. Porcentaje de niñas y niños con discapacidad detectados oportunamente en los Establecimientos de Salud antes de los tres años de edad.</w:t>
            </w:r>
          </w:p>
        </w:tc>
        <w:tc>
          <w:tcPr>
            <w:tcW w:w="875" w:type="dxa"/>
            <w:tcBorders>
              <w:top w:val="nil"/>
              <w:left w:val="nil"/>
              <w:bottom w:val="single" w:sz="8" w:space="0" w:color="000000"/>
              <w:right w:val="single" w:sz="8" w:space="0" w:color="auto"/>
            </w:tcBorders>
            <w:shd w:val="clear" w:color="auto" w:fill="auto"/>
            <w:vAlign w:val="center"/>
            <w:hideMark/>
          </w:tcPr>
          <w:p w14:paraId="3DC617B1"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cuantificable</w:t>
            </w:r>
          </w:p>
        </w:tc>
        <w:tc>
          <w:tcPr>
            <w:tcW w:w="1304" w:type="dxa"/>
            <w:tcBorders>
              <w:top w:val="nil"/>
              <w:left w:val="nil"/>
              <w:bottom w:val="single" w:sz="8" w:space="0" w:color="auto"/>
              <w:right w:val="single" w:sz="8" w:space="0" w:color="auto"/>
            </w:tcBorders>
            <w:shd w:val="clear" w:color="auto" w:fill="auto"/>
            <w:vAlign w:val="center"/>
            <w:hideMark/>
          </w:tcPr>
          <w:p w14:paraId="7387A7A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cumplió</w:t>
            </w:r>
          </w:p>
        </w:tc>
        <w:tc>
          <w:tcPr>
            <w:tcW w:w="712" w:type="dxa"/>
            <w:tcBorders>
              <w:top w:val="nil"/>
              <w:left w:val="nil"/>
              <w:bottom w:val="single" w:sz="8" w:space="0" w:color="auto"/>
              <w:right w:val="single" w:sz="8" w:space="0" w:color="auto"/>
            </w:tcBorders>
            <w:shd w:val="clear" w:color="auto" w:fill="auto"/>
            <w:vAlign w:val="center"/>
            <w:hideMark/>
          </w:tcPr>
          <w:p w14:paraId="3637C76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c>
          <w:tcPr>
            <w:tcW w:w="931" w:type="dxa"/>
            <w:tcBorders>
              <w:top w:val="nil"/>
              <w:left w:val="nil"/>
              <w:bottom w:val="single" w:sz="8" w:space="0" w:color="auto"/>
              <w:right w:val="single" w:sz="8" w:space="0" w:color="auto"/>
            </w:tcBorders>
            <w:shd w:val="clear" w:color="auto" w:fill="auto"/>
            <w:vAlign w:val="center"/>
            <w:hideMark/>
          </w:tcPr>
          <w:p w14:paraId="14E884B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c>
          <w:tcPr>
            <w:tcW w:w="215" w:type="dxa"/>
            <w:vAlign w:val="center"/>
            <w:hideMark/>
          </w:tcPr>
          <w:p w14:paraId="37384E54"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034CE11D" w14:textId="77777777" w:rsidTr="00F04EDD">
        <w:trPr>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54A7521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17</w:t>
            </w:r>
          </w:p>
        </w:tc>
        <w:tc>
          <w:tcPr>
            <w:tcW w:w="4370" w:type="dxa"/>
            <w:tcBorders>
              <w:top w:val="nil"/>
              <w:left w:val="nil"/>
              <w:bottom w:val="single" w:sz="8" w:space="0" w:color="000000"/>
              <w:right w:val="single" w:sz="8" w:space="0" w:color="000000"/>
            </w:tcBorders>
            <w:shd w:val="clear" w:color="auto" w:fill="auto"/>
            <w:vAlign w:val="center"/>
            <w:hideMark/>
          </w:tcPr>
          <w:p w14:paraId="3204155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Disminuye el número de casos de niñas, niños y adolescentes víctimas de situaciones de trata de personas.</w:t>
            </w:r>
          </w:p>
        </w:tc>
        <w:tc>
          <w:tcPr>
            <w:tcW w:w="5245" w:type="dxa"/>
            <w:tcBorders>
              <w:top w:val="nil"/>
              <w:left w:val="nil"/>
              <w:bottom w:val="single" w:sz="8" w:space="0" w:color="000000"/>
              <w:right w:val="single" w:sz="8" w:space="0" w:color="auto"/>
            </w:tcBorders>
            <w:shd w:val="clear" w:color="auto" w:fill="auto"/>
            <w:vAlign w:val="center"/>
            <w:hideMark/>
          </w:tcPr>
          <w:p w14:paraId="61B3892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17.1. Número de niñas, niños y adolescentes que son víctimas de trata de personas.</w:t>
            </w:r>
          </w:p>
        </w:tc>
        <w:tc>
          <w:tcPr>
            <w:tcW w:w="875" w:type="dxa"/>
            <w:tcBorders>
              <w:top w:val="nil"/>
              <w:left w:val="nil"/>
              <w:bottom w:val="single" w:sz="8" w:space="0" w:color="000000"/>
              <w:right w:val="single" w:sz="8" w:space="0" w:color="auto"/>
            </w:tcBorders>
            <w:shd w:val="clear" w:color="auto" w:fill="auto"/>
            <w:vAlign w:val="center"/>
            <w:hideMark/>
          </w:tcPr>
          <w:p w14:paraId="3FA1F2F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cuantificable</w:t>
            </w:r>
          </w:p>
        </w:tc>
        <w:tc>
          <w:tcPr>
            <w:tcW w:w="1304" w:type="dxa"/>
            <w:tcBorders>
              <w:top w:val="nil"/>
              <w:left w:val="nil"/>
              <w:bottom w:val="single" w:sz="8" w:space="0" w:color="000000"/>
              <w:right w:val="single" w:sz="8" w:space="0" w:color="auto"/>
            </w:tcBorders>
            <w:shd w:val="clear" w:color="auto" w:fill="auto"/>
            <w:vAlign w:val="center"/>
            <w:hideMark/>
          </w:tcPr>
          <w:p w14:paraId="42F1C37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cumplió</w:t>
            </w:r>
          </w:p>
        </w:tc>
        <w:tc>
          <w:tcPr>
            <w:tcW w:w="712" w:type="dxa"/>
            <w:tcBorders>
              <w:top w:val="nil"/>
              <w:left w:val="nil"/>
              <w:bottom w:val="single" w:sz="8" w:space="0" w:color="auto"/>
              <w:right w:val="single" w:sz="8" w:space="0" w:color="auto"/>
            </w:tcBorders>
            <w:shd w:val="clear" w:color="auto" w:fill="auto"/>
            <w:vAlign w:val="center"/>
            <w:hideMark/>
          </w:tcPr>
          <w:p w14:paraId="4FE59E9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c>
          <w:tcPr>
            <w:tcW w:w="931" w:type="dxa"/>
            <w:tcBorders>
              <w:top w:val="nil"/>
              <w:left w:val="nil"/>
              <w:bottom w:val="single" w:sz="8" w:space="0" w:color="auto"/>
              <w:right w:val="single" w:sz="8" w:space="0" w:color="auto"/>
            </w:tcBorders>
            <w:shd w:val="clear" w:color="auto" w:fill="auto"/>
            <w:vAlign w:val="center"/>
            <w:hideMark/>
          </w:tcPr>
          <w:p w14:paraId="37024E0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c>
          <w:tcPr>
            <w:tcW w:w="215" w:type="dxa"/>
            <w:vAlign w:val="center"/>
            <w:hideMark/>
          </w:tcPr>
          <w:p w14:paraId="6E77C1A6"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7CCC0463" w14:textId="77777777" w:rsidTr="00F04EDD">
        <w:trPr>
          <w:trHeight w:val="852"/>
        </w:trPr>
        <w:tc>
          <w:tcPr>
            <w:tcW w:w="55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764C6E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18</w:t>
            </w:r>
          </w:p>
        </w:tc>
        <w:tc>
          <w:tcPr>
            <w:tcW w:w="4370" w:type="dxa"/>
            <w:tcBorders>
              <w:top w:val="nil"/>
              <w:left w:val="nil"/>
              <w:bottom w:val="single" w:sz="8" w:space="0" w:color="000000"/>
              <w:right w:val="single" w:sz="8" w:space="0" w:color="000000"/>
            </w:tcBorders>
            <w:shd w:val="clear" w:color="auto" w:fill="auto"/>
            <w:vAlign w:val="center"/>
            <w:hideMark/>
          </w:tcPr>
          <w:p w14:paraId="302FCD63"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Niñas, niños y adolescentes participan en el ciclo de políticas públicas en temas que les involucran o interesan en el 75% de los gobiernos locales.</w:t>
            </w:r>
          </w:p>
        </w:tc>
        <w:tc>
          <w:tcPr>
            <w:tcW w:w="5245" w:type="dxa"/>
            <w:tcBorders>
              <w:top w:val="nil"/>
              <w:left w:val="nil"/>
              <w:bottom w:val="single" w:sz="8" w:space="0" w:color="000000"/>
              <w:right w:val="single" w:sz="8" w:space="0" w:color="000000"/>
            </w:tcBorders>
            <w:shd w:val="clear" w:color="auto" w:fill="auto"/>
            <w:vAlign w:val="center"/>
            <w:hideMark/>
          </w:tcPr>
          <w:p w14:paraId="34E7194B"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18.1 Porcentaje de gobiernos locales donde participan niñas, niños y adolescentes en el ciclo de políticas públicas en temas que les involucran o interesan.</w:t>
            </w:r>
          </w:p>
        </w:tc>
        <w:tc>
          <w:tcPr>
            <w:tcW w:w="875" w:type="dxa"/>
            <w:tcBorders>
              <w:top w:val="nil"/>
              <w:left w:val="nil"/>
              <w:bottom w:val="single" w:sz="8" w:space="0" w:color="000000"/>
              <w:right w:val="single" w:sz="8" w:space="0" w:color="000000"/>
            </w:tcBorders>
            <w:shd w:val="clear" w:color="auto" w:fill="auto"/>
            <w:vAlign w:val="center"/>
            <w:hideMark/>
          </w:tcPr>
          <w:p w14:paraId="20C2334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75%</w:t>
            </w:r>
          </w:p>
        </w:tc>
        <w:tc>
          <w:tcPr>
            <w:tcW w:w="1304" w:type="dxa"/>
            <w:tcBorders>
              <w:top w:val="nil"/>
              <w:left w:val="nil"/>
              <w:bottom w:val="single" w:sz="8" w:space="0" w:color="000000"/>
              <w:right w:val="single" w:sz="8" w:space="0" w:color="000000"/>
            </w:tcBorders>
            <w:shd w:val="clear" w:color="auto" w:fill="auto"/>
            <w:vAlign w:val="center"/>
            <w:hideMark/>
          </w:tcPr>
          <w:p w14:paraId="55360D3F"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000000"/>
            </w:tcBorders>
            <w:shd w:val="clear" w:color="auto" w:fill="auto"/>
            <w:vAlign w:val="center"/>
            <w:hideMark/>
          </w:tcPr>
          <w:p w14:paraId="15A71DA7"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 xml:space="preserve">Regular </w:t>
            </w:r>
          </w:p>
        </w:tc>
        <w:tc>
          <w:tcPr>
            <w:tcW w:w="931" w:type="dxa"/>
            <w:tcBorders>
              <w:top w:val="nil"/>
              <w:left w:val="nil"/>
              <w:bottom w:val="single" w:sz="8" w:space="0" w:color="auto"/>
              <w:right w:val="single" w:sz="8" w:space="0" w:color="auto"/>
            </w:tcBorders>
            <w:shd w:val="clear" w:color="auto" w:fill="auto"/>
            <w:vAlign w:val="center"/>
            <w:hideMark/>
          </w:tcPr>
          <w:p w14:paraId="47295B7F"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36.60%</w:t>
            </w:r>
          </w:p>
        </w:tc>
        <w:tc>
          <w:tcPr>
            <w:tcW w:w="215" w:type="dxa"/>
            <w:vAlign w:val="center"/>
            <w:hideMark/>
          </w:tcPr>
          <w:p w14:paraId="18A7EA16"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68EEF71A" w14:textId="77777777" w:rsidTr="00F04EDD">
        <w:trPr>
          <w:trHeight w:val="852"/>
        </w:trPr>
        <w:tc>
          <w:tcPr>
            <w:tcW w:w="557" w:type="dxa"/>
            <w:vMerge/>
            <w:tcBorders>
              <w:top w:val="nil"/>
              <w:left w:val="single" w:sz="8" w:space="0" w:color="000000"/>
              <w:bottom w:val="single" w:sz="8" w:space="0" w:color="000000"/>
              <w:right w:val="single" w:sz="8" w:space="0" w:color="000000"/>
            </w:tcBorders>
            <w:vAlign w:val="center"/>
            <w:hideMark/>
          </w:tcPr>
          <w:p w14:paraId="39D14539"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tcBorders>
              <w:top w:val="nil"/>
              <w:left w:val="nil"/>
              <w:bottom w:val="single" w:sz="8" w:space="0" w:color="000000"/>
              <w:right w:val="single" w:sz="8" w:space="0" w:color="000000"/>
            </w:tcBorders>
            <w:shd w:val="clear" w:color="auto" w:fill="auto"/>
            <w:vAlign w:val="center"/>
            <w:hideMark/>
          </w:tcPr>
          <w:p w14:paraId="2C596DE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Niñas, niños y adolescentes participan en el ciclo de políticas públicas en temas que les involucran o interesan en el 100% de los gobiernos regionales.</w:t>
            </w:r>
          </w:p>
        </w:tc>
        <w:tc>
          <w:tcPr>
            <w:tcW w:w="5245" w:type="dxa"/>
            <w:tcBorders>
              <w:top w:val="nil"/>
              <w:left w:val="nil"/>
              <w:bottom w:val="single" w:sz="8" w:space="0" w:color="000000"/>
              <w:right w:val="single" w:sz="8" w:space="0" w:color="auto"/>
            </w:tcBorders>
            <w:shd w:val="clear" w:color="auto" w:fill="auto"/>
            <w:vAlign w:val="center"/>
            <w:hideMark/>
          </w:tcPr>
          <w:p w14:paraId="7DDA1AB8"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18.2. Porcentaje de gobiernos regionales donde participan niñas, niños y adolescentes en el ciclo de políticas públicas en temas que les involucran o interesan.</w:t>
            </w:r>
          </w:p>
        </w:tc>
        <w:tc>
          <w:tcPr>
            <w:tcW w:w="875" w:type="dxa"/>
            <w:tcBorders>
              <w:top w:val="nil"/>
              <w:left w:val="nil"/>
              <w:bottom w:val="single" w:sz="8" w:space="0" w:color="000000"/>
              <w:right w:val="single" w:sz="8" w:space="0" w:color="auto"/>
            </w:tcBorders>
            <w:shd w:val="clear" w:color="auto" w:fill="auto"/>
            <w:vAlign w:val="center"/>
            <w:hideMark/>
          </w:tcPr>
          <w:p w14:paraId="334002F3"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100%</w:t>
            </w:r>
          </w:p>
        </w:tc>
        <w:tc>
          <w:tcPr>
            <w:tcW w:w="1304" w:type="dxa"/>
            <w:tcBorders>
              <w:top w:val="nil"/>
              <w:left w:val="nil"/>
              <w:bottom w:val="single" w:sz="8" w:space="0" w:color="auto"/>
              <w:right w:val="single" w:sz="8" w:space="0" w:color="auto"/>
            </w:tcBorders>
            <w:shd w:val="clear" w:color="auto" w:fill="auto"/>
            <w:vAlign w:val="center"/>
            <w:hideMark/>
          </w:tcPr>
          <w:p w14:paraId="39BDF2B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cumplió</w:t>
            </w:r>
          </w:p>
        </w:tc>
        <w:tc>
          <w:tcPr>
            <w:tcW w:w="712" w:type="dxa"/>
            <w:tcBorders>
              <w:top w:val="nil"/>
              <w:left w:val="nil"/>
              <w:bottom w:val="single" w:sz="8" w:space="0" w:color="auto"/>
              <w:right w:val="single" w:sz="8" w:space="0" w:color="auto"/>
            </w:tcBorders>
            <w:shd w:val="clear" w:color="auto" w:fill="auto"/>
            <w:vAlign w:val="center"/>
            <w:hideMark/>
          </w:tcPr>
          <w:p w14:paraId="4715AA3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c>
          <w:tcPr>
            <w:tcW w:w="931" w:type="dxa"/>
            <w:tcBorders>
              <w:top w:val="nil"/>
              <w:left w:val="nil"/>
              <w:bottom w:val="single" w:sz="8" w:space="0" w:color="auto"/>
              <w:right w:val="single" w:sz="8" w:space="0" w:color="auto"/>
            </w:tcBorders>
            <w:shd w:val="clear" w:color="auto" w:fill="auto"/>
            <w:vAlign w:val="center"/>
            <w:hideMark/>
          </w:tcPr>
          <w:p w14:paraId="2530590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aplica</w:t>
            </w:r>
          </w:p>
        </w:tc>
        <w:tc>
          <w:tcPr>
            <w:tcW w:w="215" w:type="dxa"/>
            <w:vAlign w:val="center"/>
            <w:hideMark/>
          </w:tcPr>
          <w:p w14:paraId="4AD5035E"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0494A16E" w14:textId="77777777" w:rsidTr="00F04EDD">
        <w:trPr>
          <w:trHeight w:val="348"/>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328A850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19</w:t>
            </w:r>
          </w:p>
        </w:tc>
        <w:tc>
          <w:tcPr>
            <w:tcW w:w="4370" w:type="dxa"/>
            <w:tcBorders>
              <w:top w:val="nil"/>
              <w:left w:val="nil"/>
              <w:bottom w:val="single" w:sz="8" w:space="0" w:color="000000"/>
              <w:right w:val="single" w:sz="8" w:space="0" w:color="000000"/>
            </w:tcBorders>
            <w:shd w:val="clear" w:color="auto" w:fill="auto"/>
            <w:vAlign w:val="center"/>
            <w:hideMark/>
          </w:tcPr>
          <w:p w14:paraId="071D21B4"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100% de Instituciones Educativas calificadas como seguras.</w:t>
            </w:r>
          </w:p>
        </w:tc>
        <w:tc>
          <w:tcPr>
            <w:tcW w:w="5245" w:type="dxa"/>
            <w:tcBorders>
              <w:top w:val="nil"/>
              <w:left w:val="nil"/>
              <w:bottom w:val="single" w:sz="8" w:space="0" w:color="000000"/>
              <w:right w:val="single" w:sz="8" w:space="0" w:color="auto"/>
            </w:tcBorders>
            <w:shd w:val="clear" w:color="auto" w:fill="auto"/>
            <w:vAlign w:val="center"/>
            <w:hideMark/>
          </w:tcPr>
          <w:p w14:paraId="03A29B8F"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Porcentaje de locales (escolares)públicos en buen estado</w:t>
            </w:r>
          </w:p>
        </w:tc>
        <w:tc>
          <w:tcPr>
            <w:tcW w:w="875" w:type="dxa"/>
            <w:tcBorders>
              <w:top w:val="nil"/>
              <w:left w:val="nil"/>
              <w:bottom w:val="single" w:sz="8" w:space="0" w:color="000000"/>
              <w:right w:val="single" w:sz="8" w:space="0" w:color="auto"/>
            </w:tcBorders>
            <w:shd w:val="clear" w:color="auto" w:fill="auto"/>
            <w:vAlign w:val="center"/>
            <w:hideMark/>
          </w:tcPr>
          <w:p w14:paraId="10367406"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100%</w:t>
            </w:r>
          </w:p>
        </w:tc>
        <w:tc>
          <w:tcPr>
            <w:tcW w:w="1304" w:type="dxa"/>
            <w:tcBorders>
              <w:top w:val="nil"/>
              <w:left w:val="nil"/>
              <w:bottom w:val="single" w:sz="8" w:space="0" w:color="auto"/>
              <w:right w:val="single" w:sz="8" w:space="0" w:color="auto"/>
            </w:tcBorders>
            <w:shd w:val="clear" w:color="auto" w:fill="auto"/>
            <w:vAlign w:val="center"/>
            <w:hideMark/>
          </w:tcPr>
          <w:p w14:paraId="140DD111"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711A263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Nulo o inverso</w:t>
            </w:r>
          </w:p>
        </w:tc>
        <w:tc>
          <w:tcPr>
            <w:tcW w:w="931" w:type="dxa"/>
            <w:tcBorders>
              <w:top w:val="nil"/>
              <w:left w:val="nil"/>
              <w:bottom w:val="single" w:sz="8" w:space="0" w:color="auto"/>
              <w:right w:val="single" w:sz="8" w:space="0" w:color="auto"/>
            </w:tcBorders>
            <w:shd w:val="clear" w:color="auto" w:fill="auto"/>
            <w:vAlign w:val="center"/>
            <w:hideMark/>
          </w:tcPr>
          <w:p w14:paraId="13389F77"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-6.40%</w:t>
            </w:r>
          </w:p>
        </w:tc>
        <w:tc>
          <w:tcPr>
            <w:tcW w:w="215" w:type="dxa"/>
            <w:vAlign w:val="center"/>
            <w:hideMark/>
          </w:tcPr>
          <w:p w14:paraId="7E4A5465"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796F4761" w14:textId="77777777" w:rsidTr="00F04EDD">
        <w:trPr>
          <w:trHeight w:val="660"/>
        </w:trPr>
        <w:tc>
          <w:tcPr>
            <w:tcW w:w="55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5019A7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20</w:t>
            </w:r>
          </w:p>
        </w:tc>
        <w:tc>
          <w:tcPr>
            <w:tcW w:w="437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98F3566"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reduce el número de niñas, niños y adolescentes víctimas de violencia familiar.</w:t>
            </w:r>
          </w:p>
        </w:tc>
        <w:tc>
          <w:tcPr>
            <w:tcW w:w="5245" w:type="dxa"/>
            <w:vMerge w:val="restart"/>
            <w:tcBorders>
              <w:top w:val="nil"/>
              <w:left w:val="single" w:sz="8" w:space="0" w:color="000000"/>
              <w:bottom w:val="single" w:sz="8" w:space="0" w:color="000000"/>
              <w:right w:val="single" w:sz="8" w:space="0" w:color="auto"/>
            </w:tcBorders>
            <w:shd w:val="clear" w:color="auto" w:fill="auto"/>
            <w:vAlign w:val="center"/>
            <w:hideMark/>
          </w:tcPr>
          <w:p w14:paraId="46005B0D"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20.1. Porcentaje de niñas, niños y adolescentes que son víctimas de violencia familiar.</w:t>
            </w:r>
          </w:p>
        </w:tc>
        <w:tc>
          <w:tcPr>
            <w:tcW w:w="875" w:type="dxa"/>
            <w:vMerge w:val="restart"/>
            <w:tcBorders>
              <w:top w:val="nil"/>
              <w:left w:val="single" w:sz="8" w:space="0" w:color="000000"/>
              <w:bottom w:val="single" w:sz="8" w:space="0" w:color="000000"/>
              <w:right w:val="single" w:sz="8" w:space="0" w:color="auto"/>
            </w:tcBorders>
            <w:shd w:val="clear" w:color="auto" w:fill="auto"/>
            <w:vAlign w:val="center"/>
            <w:hideMark/>
          </w:tcPr>
          <w:p w14:paraId="16B1E92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cuantificable</w:t>
            </w:r>
          </w:p>
        </w:tc>
        <w:tc>
          <w:tcPr>
            <w:tcW w:w="1304" w:type="dxa"/>
            <w:vMerge w:val="restart"/>
            <w:tcBorders>
              <w:top w:val="nil"/>
              <w:left w:val="single" w:sz="8" w:space="0" w:color="auto"/>
              <w:bottom w:val="single" w:sz="8" w:space="0" w:color="000000"/>
              <w:right w:val="single" w:sz="8" w:space="0" w:color="auto"/>
            </w:tcBorders>
            <w:shd w:val="clear" w:color="auto" w:fill="auto"/>
            <w:vAlign w:val="center"/>
            <w:hideMark/>
          </w:tcPr>
          <w:p w14:paraId="42493D9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puede proyectar</w:t>
            </w:r>
          </w:p>
        </w:tc>
        <w:tc>
          <w:tcPr>
            <w:tcW w:w="712" w:type="dxa"/>
            <w:vMerge w:val="restart"/>
            <w:tcBorders>
              <w:top w:val="nil"/>
              <w:left w:val="single" w:sz="8" w:space="0" w:color="auto"/>
              <w:bottom w:val="single" w:sz="8" w:space="0" w:color="000000"/>
              <w:right w:val="single" w:sz="8" w:space="0" w:color="auto"/>
            </w:tcBorders>
            <w:shd w:val="clear" w:color="auto" w:fill="auto"/>
            <w:vAlign w:val="center"/>
            <w:hideMark/>
          </w:tcPr>
          <w:p w14:paraId="0ECC1F26"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Bajo</w:t>
            </w:r>
          </w:p>
        </w:tc>
        <w:tc>
          <w:tcPr>
            <w:tcW w:w="931" w:type="dxa"/>
            <w:tcBorders>
              <w:top w:val="nil"/>
              <w:left w:val="nil"/>
              <w:bottom w:val="nil"/>
              <w:right w:val="single" w:sz="8" w:space="0" w:color="auto"/>
            </w:tcBorders>
            <w:shd w:val="clear" w:color="auto" w:fill="auto"/>
            <w:vAlign w:val="center"/>
            <w:hideMark/>
          </w:tcPr>
          <w:p w14:paraId="47D3BA1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De 9 a 11 años: 16.1%</w:t>
            </w:r>
          </w:p>
        </w:tc>
        <w:tc>
          <w:tcPr>
            <w:tcW w:w="215" w:type="dxa"/>
            <w:vAlign w:val="center"/>
            <w:hideMark/>
          </w:tcPr>
          <w:p w14:paraId="2097C50D"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7A37711C" w14:textId="77777777" w:rsidTr="00F04EDD">
        <w:trPr>
          <w:trHeight w:val="516"/>
        </w:trPr>
        <w:tc>
          <w:tcPr>
            <w:tcW w:w="557" w:type="dxa"/>
            <w:vMerge/>
            <w:tcBorders>
              <w:top w:val="nil"/>
              <w:left w:val="single" w:sz="8" w:space="0" w:color="000000"/>
              <w:bottom w:val="single" w:sz="8" w:space="0" w:color="000000"/>
              <w:right w:val="single" w:sz="8" w:space="0" w:color="000000"/>
            </w:tcBorders>
            <w:vAlign w:val="center"/>
            <w:hideMark/>
          </w:tcPr>
          <w:p w14:paraId="3D125544"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035DE374"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vMerge/>
            <w:tcBorders>
              <w:top w:val="nil"/>
              <w:left w:val="single" w:sz="8" w:space="0" w:color="000000"/>
              <w:bottom w:val="single" w:sz="8" w:space="0" w:color="000000"/>
              <w:right w:val="single" w:sz="8" w:space="0" w:color="auto"/>
            </w:tcBorders>
            <w:vAlign w:val="center"/>
            <w:hideMark/>
          </w:tcPr>
          <w:p w14:paraId="43EB9323"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875" w:type="dxa"/>
            <w:vMerge/>
            <w:tcBorders>
              <w:top w:val="nil"/>
              <w:left w:val="single" w:sz="8" w:space="0" w:color="000000"/>
              <w:bottom w:val="single" w:sz="8" w:space="0" w:color="000000"/>
              <w:right w:val="single" w:sz="8" w:space="0" w:color="auto"/>
            </w:tcBorders>
            <w:vAlign w:val="center"/>
            <w:hideMark/>
          </w:tcPr>
          <w:p w14:paraId="3F786FD2"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1304" w:type="dxa"/>
            <w:vMerge/>
            <w:tcBorders>
              <w:top w:val="nil"/>
              <w:left w:val="single" w:sz="8" w:space="0" w:color="auto"/>
              <w:bottom w:val="single" w:sz="8" w:space="0" w:color="000000"/>
              <w:right w:val="single" w:sz="8" w:space="0" w:color="auto"/>
            </w:tcBorders>
            <w:vAlign w:val="center"/>
            <w:hideMark/>
          </w:tcPr>
          <w:p w14:paraId="0A66976B"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712" w:type="dxa"/>
            <w:vMerge/>
            <w:tcBorders>
              <w:top w:val="nil"/>
              <w:left w:val="single" w:sz="8" w:space="0" w:color="auto"/>
              <w:bottom w:val="single" w:sz="8" w:space="0" w:color="000000"/>
              <w:right w:val="single" w:sz="8" w:space="0" w:color="auto"/>
            </w:tcBorders>
            <w:vAlign w:val="center"/>
            <w:hideMark/>
          </w:tcPr>
          <w:p w14:paraId="1CCBAC54"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931" w:type="dxa"/>
            <w:tcBorders>
              <w:top w:val="single" w:sz="8" w:space="0" w:color="auto"/>
              <w:left w:val="nil"/>
              <w:bottom w:val="nil"/>
              <w:right w:val="single" w:sz="8" w:space="0" w:color="auto"/>
            </w:tcBorders>
            <w:shd w:val="clear" w:color="auto" w:fill="auto"/>
            <w:vAlign w:val="center"/>
            <w:hideMark/>
          </w:tcPr>
          <w:p w14:paraId="4C9EDEC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De 12 a 17 años: 10.4%</w:t>
            </w:r>
          </w:p>
        </w:tc>
        <w:tc>
          <w:tcPr>
            <w:tcW w:w="215" w:type="dxa"/>
            <w:vAlign w:val="center"/>
            <w:hideMark/>
          </w:tcPr>
          <w:p w14:paraId="05D5E824"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2AE5FC01" w14:textId="77777777" w:rsidTr="00F04EDD">
        <w:trPr>
          <w:trHeight w:val="660"/>
        </w:trPr>
        <w:tc>
          <w:tcPr>
            <w:tcW w:w="557" w:type="dxa"/>
            <w:vMerge/>
            <w:tcBorders>
              <w:top w:val="nil"/>
              <w:left w:val="single" w:sz="8" w:space="0" w:color="000000"/>
              <w:bottom w:val="single" w:sz="8" w:space="0" w:color="000000"/>
              <w:right w:val="single" w:sz="8" w:space="0" w:color="000000"/>
            </w:tcBorders>
            <w:vAlign w:val="center"/>
            <w:hideMark/>
          </w:tcPr>
          <w:p w14:paraId="3BFB3CAD"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539C4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Reducción del número de niñas, niños y adolescentes víctimas de violencia escolar.</w:t>
            </w:r>
          </w:p>
        </w:tc>
        <w:tc>
          <w:tcPr>
            <w:tcW w:w="5245" w:type="dxa"/>
            <w:vMerge w:val="restart"/>
            <w:tcBorders>
              <w:top w:val="nil"/>
              <w:left w:val="single" w:sz="8" w:space="0" w:color="000000"/>
              <w:bottom w:val="single" w:sz="8" w:space="0" w:color="000000"/>
              <w:right w:val="single" w:sz="8" w:space="0" w:color="auto"/>
            </w:tcBorders>
            <w:shd w:val="clear" w:color="auto" w:fill="auto"/>
            <w:vAlign w:val="center"/>
            <w:hideMark/>
          </w:tcPr>
          <w:p w14:paraId="129F2B0F"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20.2. Porcentaje de niñas, niños y adolescentes que son víctimas de violencia escolar</w:t>
            </w:r>
          </w:p>
        </w:tc>
        <w:tc>
          <w:tcPr>
            <w:tcW w:w="875" w:type="dxa"/>
            <w:vMerge w:val="restart"/>
            <w:tcBorders>
              <w:top w:val="nil"/>
              <w:left w:val="single" w:sz="8" w:space="0" w:color="000000"/>
              <w:bottom w:val="single" w:sz="8" w:space="0" w:color="000000"/>
              <w:right w:val="single" w:sz="8" w:space="0" w:color="auto"/>
            </w:tcBorders>
            <w:shd w:val="clear" w:color="auto" w:fill="auto"/>
            <w:vAlign w:val="center"/>
            <w:hideMark/>
          </w:tcPr>
          <w:p w14:paraId="7F439B1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cuantificable</w:t>
            </w:r>
          </w:p>
        </w:tc>
        <w:tc>
          <w:tcPr>
            <w:tcW w:w="1304" w:type="dxa"/>
            <w:vMerge w:val="restart"/>
            <w:tcBorders>
              <w:top w:val="nil"/>
              <w:left w:val="single" w:sz="8" w:space="0" w:color="auto"/>
              <w:bottom w:val="single" w:sz="8" w:space="0" w:color="000000"/>
              <w:right w:val="single" w:sz="8" w:space="0" w:color="auto"/>
            </w:tcBorders>
            <w:shd w:val="clear" w:color="auto" w:fill="auto"/>
            <w:vAlign w:val="center"/>
            <w:hideMark/>
          </w:tcPr>
          <w:p w14:paraId="5FA0B2FD"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puede proyectar</w:t>
            </w:r>
          </w:p>
        </w:tc>
        <w:tc>
          <w:tcPr>
            <w:tcW w:w="712" w:type="dxa"/>
            <w:vMerge w:val="restart"/>
            <w:tcBorders>
              <w:top w:val="nil"/>
              <w:left w:val="single" w:sz="8" w:space="0" w:color="auto"/>
              <w:bottom w:val="single" w:sz="8" w:space="0" w:color="000000"/>
              <w:right w:val="single" w:sz="8" w:space="0" w:color="auto"/>
            </w:tcBorders>
            <w:shd w:val="clear" w:color="auto" w:fill="auto"/>
            <w:vAlign w:val="center"/>
            <w:hideMark/>
          </w:tcPr>
          <w:p w14:paraId="32FF8F9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Bajo</w:t>
            </w:r>
          </w:p>
        </w:tc>
        <w:tc>
          <w:tcPr>
            <w:tcW w:w="931" w:type="dxa"/>
            <w:tcBorders>
              <w:top w:val="single" w:sz="8" w:space="0" w:color="auto"/>
              <w:left w:val="nil"/>
              <w:bottom w:val="nil"/>
              <w:right w:val="single" w:sz="8" w:space="0" w:color="auto"/>
            </w:tcBorders>
            <w:shd w:val="clear" w:color="auto" w:fill="auto"/>
            <w:vAlign w:val="center"/>
            <w:hideMark/>
          </w:tcPr>
          <w:p w14:paraId="113575F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De 9 a 11 años: 18.8%</w:t>
            </w:r>
          </w:p>
        </w:tc>
        <w:tc>
          <w:tcPr>
            <w:tcW w:w="215" w:type="dxa"/>
            <w:vAlign w:val="center"/>
            <w:hideMark/>
          </w:tcPr>
          <w:p w14:paraId="4AFB6F34"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1845ADDE" w14:textId="77777777" w:rsidTr="00F04EDD">
        <w:trPr>
          <w:trHeight w:val="516"/>
        </w:trPr>
        <w:tc>
          <w:tcPr>
            <w:tcW w:w="557" w:type="dxa"/>
            <w:vMerge/>
            <w:tcBorders>
              <w:top w:val="nil"/>
              <w:left w:val="single" w:sz="8" w:space="0" w:color="000000"/>
              <w:bottom w:val="single" w:sz="8" w:space="0" w:color="000000"/>
              <w:right w:val="single" w:sz="8" w:space="0" w:color="000000"/>
            </w:tcBorders>
            <w:vAlign w:val="center"/>
            <w:hideMark/>
          </w:tcPr>
          <w:p w14:paraId="54016B3C"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4370" w:type="dxa"/>
            <w:vMerge/>
            <w:tcBorders>
              <w:top w:val="nil"/>
              <w:left w:val="single" w:sz="8" w:space="0" w:color="000000"/>
              <w:bottom w:val="single" w:sz="8" w:space="0" w:color="000000"/>
              <w:right w:val="single" w:sz="8" w:space="0" w:color="000000"/>
            </w:tcBorders>
            <w:vAlign w:val="center"/>
            <w:hideMark/>
          </w:tcPr>
          <w:p w14:paraId="557BB17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5245" w:type="dxa"/>
            <w:vMerge/>
            <w:tcBorders>
              <w:top w:val="nil"/>
              <w:left w:val="single" w:sz="8" w:space="0" w:color="000000"/>
              <w:bottom w:val="single" w:sz="8" w:space="0" w:color="000000"/>
              <w:right w:val="single" w:sz="8" w:space="0" w:color="auto"/>
            </w:tcBorders>
            <w:vAlign w:val="center"/>
            <w:hideMark/>
          </w:tcPr>
          <w:p w14:paraId="055405D0"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875" w:type="dxa"/>
            <w:vMerge/>
            <w:tcBorders>
              <w:top w:val="nil"/>
              <w:left w:val="single" w:sz="8" w:space="0" w:color="000000"/>
              <w:bottom w:val="single" w:sz="8" w:space="0" w:color="000000"/>
              <w:right w:val="single" w:sz="8" w:space="0" w:color="auto"/>
            </w:tcBorders>
            <w:vAlign w:val="center"/>
            <w:hideMark/>
          </w:tcPr>
          <w:p w14:paraId="036FBF67"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1304" w:type="dxa"/>
            <w:vMerge/>
            <w:tcBorders>
              <w:top w:val="nil"/>
              <w:left w:val="single" w:sz="8" w:space="0" w:color="auto"/>
              <w:bottom w:val="single" w:sz="8" w:space="0" w:color="000000"/>
              <w:right w:val="single" w:sz="8" w:space="0" w:color="auto"/>
            </w:tcBorders>
            <w:vAlign w:val="center"/>
            <w:hideMark/>
          </w:tcPr>
          <w:p w14:paraId="710E86CA"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712" w:type="dxa"/>
            <w:vMerge/>
            <w:tcBorders>
              <w:top w:val="nil"/>
              <w:left w:val="single" w:sz="8" w:space="0" w:color="auto"/>
              <w:bottom w:val="single" w:sz="8" w:space="0" w:color="000000"/>
              <w:right w:val="single" w:sz="8" w:space="0" w:color="auto"/>
            </w:tcBorders>
            <w:vAlign w:val="center"/>
            <w:hideMark/>
          </w:tcPr>
          <w:p w14:paraId="5555F24F"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p>
        </w:tc>
        <w:tc>
          <w:tcPr>
            <w:tcW w:w="931" w:type="dxa"/>
            <w:tcBorders>
              <w:top w:val="single" w:sz="8" w:space="0" w:color="auto"/>
              <w:left w:val="nil"/>
              <w:bottom w:val="single" w:sz="8" w:space="0" w:color="auto"/>
              <w:right w:val="single" w:sz="8" w:space="0" w:color="auto"/>
            </w:tcBorders>
            <w:shd w:val="clear" w:color="auto" w:fill="auto"/>
            <w:vAlign w:val="center"/>
            <w:hideMark/>
          </w:tcPr>
          <w:p w14:paraId="5D3DB583"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De 12 a 17 años: 18.2%</w:t>
            </w:r>
          </w:p>
        </w:tc>
        <w:tc>
          <w:tcPr>
            <w:tcW w:w="215" w:type="dxa"/>
            <w:vAlign w:val="center"/>
            <w:hideMark/>
          </w:tcPr>
          <w:p w14:paraId="23694340"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28008B8E" w14:textId="77777777" w:rsidTr="00F04EDD">
        <w:trPr>
          <w:trHeight w:val="516"/>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442BD94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lastRenderedPageBreak/>
              <w:t>RE 21</w:t>
            </w:r>
          </w:p>
        </w:tc>
        <w:tc>
          <w:tcPr>
            <w:tcW w:w="4370" w:type="dxa"/>
            <w:tcBorders>
              <w:top w:val="nil"/>
              <w:left w:val="nil"/>
              <w:bottom w:val="single" w:sz="8" w:space="0" w:color="000000"/>
              <w:right w:val="single" w:sz="8" w:space="0" w:color="000000"/>
            </w:tcBorders>
            <w:shd w:val="clear" w:color="auto" w:fill="auto"/>
            <w:vAlign w:val="center"/>
            <w:hideMark/>
          </w:tcPr>
          <w:p w14:paraId="613BDC33"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Se reduce el número de niñas, niños y adolescentes que son víctimas de violencia sexual.</w:t>
            </w:r>
          </w:p>
        </w:tc>
        <w:tc>
          <w:tcPr>
            <w:tcW w:w="5245" w:type="dxa"/>
            <w:tcBorders>
              <w:top w:val="nil"/>
              <w:left w:val="nil"/>
              <w:bottom w:val="single" w:sz="8" w:space="0" w:color="000000"/>
              <w:right w:val="single" w:sz="8" w:space="0" w:color="auto"/>
            </w:tcBorders>
            <w:shd w:val="clear" w:color="auto" w:fill="auto"/>
            <w:vAlign w:val="center"/>
            <w:hideMark/>
          </w:tcPr>
          <w:p w14:paraId="507B751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21.1. Porcentaje de niñas, niños y adolescentes que son víctimas de violencia sexual.</w:t>
            </w:r>
          </w:p>
        </w:tc>
        <w:tc>
          <w:tcPr>
            <w:tcW w:w="875" w:type="dxa"/>
            <w:tcBorders>
              <w:top w:val="nil"/>
              <w:left w:val="nil"/>
              <w:bottom w:val="single" w:sz="8" w:space="0" w:color="000000"/>
              <w:right w:val="single" w:sz="8" w:space="0" w:color="auto"/>
            </w:tcBorders>
            <w:shd w:val="clear" w:color="auto" w:fill="auto"/>
            <w:vAlign w:val="center"/>
            <w:hideMark/>
          </w:tcPr>
          <w:p w14:paraId="2B47775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cuantificable</w:t>
            </w:r>
          </w:p>
        </w:tc>
        <w:tc>
          <w:tcPr>
            <w:tcW w:w="1304" w:type="dxa"/>
            <w:tcBorders>
              <w:top w:val="nil"/>
              <w:left w:val="nil"/>
              <w:bottom w:val="single" w:sz="8" w:space="0" w:color="auto"/>
              <w:right w:val="single" w:sz="8" w:space="0" w:color="auto"/>
            </w:tcBorders>
            <w:shd w:val="clear" w:color="auto" w:fill="auto"/>
            <w:vAlign w:val="center"/>
            <w:hideMark/>
          </w:tcPr>
          <w:p w14:paraId="6FB99D0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puede proyectar</w:t>
            </w:r>
          </w:p>
        </w:tc>
        <w:tc>
          <w:tcPr>
            <w:tcW w:w="712" w:type="dxa"/>
            <w:tcBorders>
              <w:top w:val="nil"/>
              <w:left w:val="nil"/>
              <w:bottom w:val="single" w:sz="8" w:space="0" w:color="auto"/>
              <w:right w:val="single" w:sz="8" w:space="0" w:color="auto"/>
            </w:tcBorders>
            <w:shd w:val="clear" w:color="auto" w:fill="auto"/>
            <w:vAlign w:val="center"/>
            <w:hideMark/>
          </w:tcPr>
          <w:p w14:paraId="3ECA8C6F"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Regular</w:t>
            </w:r>
          </w:p>
        </w:tc>
        <w:tc>
          <w:tcPr>
            <w:tcW w:w="931" w:type="dxa"/>
            <w:tcBorders>
              <w:top w:val="nil"/>
              <w:left w:val="nil"/>
              <w:bottom w:val="single" w:sz="8" w:space="0" w:color="auto"/>
              <w:right w:val="single" w:sz="8" w:space="0" w:color="auto"/>
            </w:tcBorders>
            <w:shd w:val="clear" w:color="auto" w:fill="auto"/>
            <w:vAlign w:val="center"/>
            <w:hideMark/>
          </w:tcPr>
          <w:p w14:paraId="7B7A4547"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30.70%</w:t>
            </w:r>
          </w:p>
        </w:tc>
        <w:tc>
          <w:tcPr>
            <w:tcW w:w="215" w:type="dxa"/>
            <w:vAlign w:val="center"/>
            <w:hideMark/>
          </w:tcPr>
          <w:p w14:paraId="1CC0B586"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2E029C6C" w14:textId="77777777" w:rsidTr="00F04EDD">
        <w:trPr>
          <w:trHeight w:val="852"/>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37F69111"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22</w:t>
            </w:r>
          </w:p>
        </w:tc>
        <w:tc>
          <w:tcPr>
            <w:tcW w:w="4370" w:type="dxa"/>
            <w:tcBorders>
              <w:top w:val="nil"/>
              <w:left w:val="nil"/>
              <w:bottom w:val="single" w:sz="8" w:space="0" w:color="000000"/>
              <w:right w:val="single" w:sz="8" w:space="0" w:color="000000"/>
            </w:tcBorders>
            <w:shd w:val="clear" w:color="auto" w:fill="auto"/>
            <w:vAlign w:val="center"/>
            <w:hideMark/>
          </w:tcPr>
          <w:p w14:paraId="092801C9"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Un tercio de las niñas, niños y adolescentes sin cuidados parentales, se reintegran a su seno familiar o se integran a un grupo familiar de manera definitiva.</w:t>
            </w:r>
          </w:p>
        </w:tc>
        <w:tc>
          <w:tcPr>
            <w:tcW w:w="5245" w:type="dxa"/>
            <w:tcBorders>
              <w:top w:val="nil"/>
              <w:left w:val="nil"/>
              <w:bottom w:val="single" w:sz="8" w:space="0" w:color="000000"/>
              <w:right w:val="single" w:sz="8" w:space="0" w:color="auto"/>
            </w:tcBorders>
            <w:shd w:val="clear" w:color="auto" w:fill="auto"/>
            <w:vAlign w:val="center"/>
            <w:hideMark/>
          </w:tcPr>
          <w:p w14:paraId="5ED92FDE"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22.1. Porcentaje de niñas, niños y adolescentes sin cuidados parentales que se integran a una familia.</w:t>
            </w:r>
          </w:p>
        </w:tc>
        <w:tc>
          <w:tcPr>
            <w:tcW w:w="875" w:type="dxa"/>
            <w:tcBorders>
              <w:top w:val="nil"/>
              <w:left w:val="nil"/>
              <w:bottom w:val="single" w:sz="8" w:space="0" w:color="000000"/>
              <w:right w:val="single" w:sz="8" w:space="0" w:color="auto"/>
            </w:tcBorders>
            <w:shd w:val="clear" w:color="auto" w:fill="auto"/>
            <w:vAlign w:val="center"/>
            <w:hideMark/>
          </w:tcPr>
          <w:p w14:paraId="4D0E4C29"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33.33%</w:t>
            </w:r>
          </w:p>
        </w:tc>
        <w:tc>
          <w:tcPr>
            <w:tcW w:w="1304" w:type="dxa"/>
            <w:tcBorders>
              <w:top w:val="nil"/>
              <w:left w:val="nil"/>
              <w:bottom w:val="single" w:sz="8" w:space="0" w:color="auto"/>
              <w:right w:val="single" w:sz="8" w:space="0" w:color="auto"/>
            </w:tcBorders>
            <w:shd w:val="clear" w:color="auto" w:fill="auto"/>
            <w:vAlign w:val="center"/>
            <w:hideMark/>
          </w:tcPr>
          <w:p w14:paraId="388CAC0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puede proyectar</w:t>
            </w:r>
          </w:p>
        </w:tc>
        <w:tc>
          <w:tcPr>
            <w:tcW w:w="712" w:type="dxa"/>
            <w:tcBorders>
              <w:top w:val="nil"/>
              <w:left w:val="nil"/>
              <w:bottom w:val="single" w:sz="8" w:space="0" w:color="auto"/>
              <w:right w:val="single" w:sz="8" w:space="0" w:color="auto"/>
            </w:tcBorders>
            <w:shd w:val="clear" w:color="auto" w:fill="auto"/>
            <w:vAlign w:val="center"/>
            <w:hideMark/>
          </w:tcPr>
          <w:p w14:paraId="07B0F219"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Nulo o inverso</w:t>
            </w:r>
          </w:p>
        </w:tc>
        <w:tc>
          <w:tcPr>
            <w:tcW w:w="931" w:type="dxa"/>
            <w:tcBorders>
              <w:top w:val="nil"/>
              <w:left w:val="nil"/>
              <w:bottom w:val="single" w:sz="8" w:space="0" w:color="auto"/>
              <w:right w:val="single" w:sz="8" w:space="0" w:color="auto"/>
            </w:tcBorders>
            <w:shd w:val="clear" w:color="auto" w:fill="auto"/>
            <w:vAlign w:val="center"/>
            <w:hideMark/>
          </w:tcPr>
          <w:p w14:paraId="2A44633A"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-0.40%</w:t>
            </w:r>
          </w:p>
        </w:tc>
        <w:tc>
          <w:tcPr>
            <w:tcW w:w="215" w:type="dxa"/>
            <w:vAlign w:val="center"/>
            <w:hideMark/>
          </w:tcPr>
          <w:p w14:paraId="1C9F801D"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06E76642" w14:textId="77777777" w:rsidTr="00F04EDD">
        <w:trPr>
          <w:trHeight w:val="684"/>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3537A471"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23</w:t>
            </w:r>
          </w:p>
        </w:tc>
        <w:tc>
          <w:tcPr>
            <w:tcW w:w="4370" w:type="dxa"/>
            <w:tcBorders>
              <w:top w:val="nil"/>
              <w:left w:val="nil"/>
              <w:bottom w:val="single" w:sz="8" w:space="0" w:color="000000"/>
              <w:right w:val="single" w:sz="8" w:space="0" w:color="000000"/>
            </w:tcBorders>
            <w:shd w:val="clear" w:color="auto" w:fill="auto"/>
            <w:vAlign w:val="center"/>
            <w:hideMark/>
          </w:tcPr>
          <w:p w14:paraId="32AC4849"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hay niña, niño o adolescente participando voluntariamente o por la fuerza en conflictos internos en el país.</w:t>
            </w:r>
          </w:p>
        </w:tc>
        <w:tc>
          <w:tcPr>
            <w:tcW w:w="5245" w:type="dxa"/>
            <w:tcBorders>
              <w:top w:val="nil"/>
              <w:left w:val="nil"/>
              <w:bottom w:val="single" w:sz="8" w:space="0" w:color="000000"/>
              <w:right w:val="single" w:sz="8" w:space="0" w:color="auto"/>
            </w:tcBorders>
            <w:shd w:val="clear" w:color="auto" w:fill="auto"/>
            <w:vAlign w:val="center"/>
            <w:hideMark/>
          </w:tcPr>
          <w:p w14:paraId="165DEC11"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23.1. Número de niñas, niños y adolescentes participando voluntariamente o por la fuerza en conflictos internos en el país.</w:t>
            </w:r>
          </w:p>
        </w:tc>
        <w:tc>
          <w:tcPr>
            <w:tcW w:w="875" w:type="dxa"/>
            <w:tcBorders>
              <w:top w:val="nil"/>
              <w:left w:val="nil"/>
              <w:bottom w:val="single" w:sz="8" w:space="0" w:color="000000"/>
              <w:right w:val="single" w:sz="8" w:space="0" w:color="auto"/>
            </w:tcBorders>
            <w:shd w:val="clear" w:color="auto" w:fill="auto"/>
            <w:vAlign w:val="center"/>
            <w:hideMark/>
          </w:tcPr>
          <w:p w14:paraId="2C360FF5"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0</w:t>
            </w:r>
          </w:p>
        </w:tc>
        <w:tc>
          <w:tcPr>
            <w:tcW w:w="1304" w:type="dxa"/>
            <w:tcBorders>
              <w:top w:val="nil"/>
              <w:left w:val="nil"/>
              <w:bottom w:val="single" w:sz="8" w:space="0" w:color="auto"/>
              <w:right w:val="single" w:sz="8" w:space="0" w:color="auto"/>
            </w:tcBorders>
            <w:shd w:val="clear" w:color="auto" w:fill="auto"/>
            <w:vAlign w:val="center"/>
            <w:hideMark/>
          </w:tcPr>
          <w:p w14:paraId="310F044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puede proyectar</w:t>
            </w:r>
          </w:p>
        </w:tc>
        <w:tc>
          <w:tcPr>
            <w:tcW w:w="712" w:type="dxa"/>
            <w:tcBorders>
              <w:top w:val="nil"/>
              <w:left w:val="nil"/>
              <w:bottom w:val="single" w:sz="8" w:space="0" w:color="auto"/>
              <w:right w:val="single" w:sz="8" w:space="0" w:color="auto"/>
            </w:tcBorders>
            <w:shd w:val="clear" w:color="auto" w:fill="auto"/>
            <w:vAlign w:val="center"/>
            <w:hideMark/>
          </w:tcPr>
          <w:p w14:paraId="2824865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Bueno</w:t>
            </w:r>
          </w:p>
        </w:tc>
        <w:tc>
          <w:tcPr>
            <w:tcW w:w="931" w:type="dxa"/>
            <w:tcBorders>
              <w:top w:val="nil"/>
              <w:left w:val="nil"/>
              <w:bottom w:val="single" w:sz="8" w:space="0" w:color="auto"/>
              <w:right w:val="single" w:sz="8" w:space="0" w:color="auto"/>
            </w:tcBorders>
            <w:shd w:val="clear" w:color="auto" w:fill="auto"/>
            <w:vAlign w:val="center"/>
            <w:hideMark/>
          </w:tcPr>
          <w:p w14:paraId="1C4384D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66.70%</w:t>
            </w:r>
          </w:p>
        </w:tc>
        <w:tc>
          <w:tcPr>
            <w:tcW w:w="215" w:type="dxa"/>
            <w:vAlign w:val="center"/>
            <w:hideMark/>
          </w:tcPr>
          <w:p w14:paraId="654AF009"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204AA579" w14:textId="77777777" w:rsidTr="00F04EDD">
        <w:trPr>
          <w:trHeight w:val="348"/>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764AB569"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24</w:t>
            </w:r>
          </w:p>
        </w:tc>
        <w:tc>
          <w:tcPr>
            <w:tcW w:w="4370" w:type="dxa"/>
            <w:tcBorders>
              <w:top w:val="nil"/>
              <w:left w:val="nil"/>
              <w:bottom w:val="single" w:sz="8" w:space="0" w:color="000000"/>
              <w:right w:val="single" w:sz="8" w:space="0" w:color="000000"/>
            </w:tcBorders>
            <w:shd w:val="clear" w:color="auto" w:fill="auto"/>
            <w:vAlign w:val="center"/>
            <w:hideMark/>
          </w:tcPr>
          <w:p w14:paraId="2B1E6945"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Ninguna niña, niño o adolescente fallecerá de Tuberculosis en el Perú.</w:t>
            </w:r>
          </w:p>
        </w:tc>
        <w:tc>
          <w:tcPr>
            <w:tcW w:w="5245" w:type="dxa"/>
            <w:tcBorders>
              <w:top w:val="nil"/>
              <w:left w:val="nil"/>
              <w:bottom w:val="single" w:sz="8" w:space="0" w:color="000000"/>
              <w:right w:val="single" w:sz="8" w:space="0" w:color="auto"/>
            </w:tcBorders>
            <w:shd w:val="clear" w:color="auto" w:fill="auto"/>
            <w:vAlign w:val="center"/>
            <w:hideMark/>
          </w:tcPr>
          <w:p w14:paraId="48B933BD"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24.1. Letalidad por tuberculosis</w:t>
            </w:r>
          </w:p>
        </w:tc>
        <w:tc>
          <w:tcPr>
            <w:tcW w:w="875" w:type="dxa"/>
            <w:tcBorders>
              <w:top w:val="nil"/>
              <w:left w:val="nil"/>
              <w:bottom w:val="single" w:sz="8" w:space="0" w:color="000000"/>
              <w:right w:val="single" w:sz="8" w:space="0" w:color="auto"/>
            </w:tcBorders>
            <w:shd w:val="clear" w:color="auto" w:fill="auto"/>
            <w:vAlign w:val="center"/>
            <w:hideMark/>
          </w:tcPr>
          <w:p w14:paraId="0402B1EE"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0%</w:t>
            </w:r>
          </w:p>
        </w:tc>
        <w:tc>
          <w:tcPr>
            <w:tcW w:w="1304" w:type="dxa"/>
            <w:tcBorders>
              <w:top w:val="nil"/>
              <w:left w:val="nil"/>
              <w:bottom w:val="single" w:sz="8" w:space="0" w:color="auto"/>
              <w:right w:val="single" w:sz="8" w:space="0" w:color="auto"/>
            </w:tcBorders>
            <w:shd w:val="clear" w:color="auto" w:fill="auto"/>
            <w:vAlign w:val="center"/>
            <w:hideMark/>
          </w:tcPr>
          <w:p w14:paraId="7670A9E2"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5B324CAB"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Nulo o inverso</w:t>
            </w:r>
          </w:p>
        </w:tc>
        <w:tc>
          <w:tcPr>
            <w:tcW w:w="931" w:type="dxa"/>
            <w:tcBorders>
              <w:top w:val="nil"/>
              <w:left w:val="nil"/>
              <w:bottom w:val="single" w:sz="8" w:space="0" w:color="auto"/>
              <w:right w:val="single" w:sz="8" w:space="0" w:color="auto"/>
            </w:tcBorders>
            <w:shd w:val="clear" w:color="auto" w:fill="auto"/>
            <w:vAlign w:val="center"/>
            <w:hideMark/>
          </w:tcPr>
          <w:p w14:paraId="33B428D8"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-33.30%</w:t>
            </w:r>
          </w:p>
        </w:tc>
        <w:tc>
          <w:tcPr>
            <w:tcW w:w="215" w:type="dxa"/>
            <w:vAlign w:val="center"/>
            <w:hideMark/>
          </w:tcPr>
          <w:p w14:paraId="218FAF73"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r w:rsidR="00444B74" w:rsidRPr="00444B74" w14:paraId="363157C0" w14:textId="77777777" w:rsidTr="00F04EDD">
        <w:trPr>
          <w:trHeight w:val="1020"/>
        </w:trPr>
        <w:tc>
          <w:tcPr>
            <w:tcW w:w="557" w:type="dxa"/>
            <w:tcBorders>
              <w:top w:val="nil"/>
              <w:left w:val="single" w:sz="8" w:space="0" w:color="000000"/>
              <w:bottom w:val="single" w:sz="8" w:space="0" w:color="000000"/>
              <w:right w:val="single" w:sz="8" w:space="0" w:color="000000"/>
            </w:tcBorders>
            <w:shd w:val="clear" w:color="auto" w:fill="auto"/>
            <w:vAlign w:val="center"/>
            <w:hideMark/>
          </w:tcPr>
          <w:p w14:paraId="6ABACC8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 25</w:t>
            </w:r>
          </w:p>
        </w:tc>
        <w:tc>
          <w:tcPr>
            <w:tcW w:w="4370" w:type="dxa"/>
            <w:tcBorders>
              <w:top w:val="nil"/>
              <w:left w:val="nil"/>
              <w:bottom w:val="single" w:sz="8" w:space="0" w:color="000000"/>
              <w:right w:val="single" w:sz="8" w:space="0" w:color="000000"/>
            </w:tcBorders>
            <w:shd w:val="clear" w:color="auto" w:fill="auto"/>
            <w:vAlign w:val="center"/>
            <w:hideMark/>
          </w:tcPr>
          <w:p w14:paraId="1B443786"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100% de niñas, niños y adolescentes usuarios de programas sociales (en situación de pobreza y pobreza extrema) tienen acceso a los paquetes de atención integral de salud aprobado y financiado.</w:t>
            </w:r>
          </w:p>
        </w:tc>
        <w:tc>
          <w:tcPr>
            <w:tcW w:w="5245" w:type="dxa"/>
            <w:tcBorders>
              <w:top w:val="nil"/>
              <w:left w:val="nil"/>
              <w:bottom w:val="single" w:sz="8" w:space="0" w:color="000000"/>
              <w:right w:val="single" w:sz="8" w:space="0" w:color="auto"/>
            </w:tcBorders>
            <w:shd w:val="clear" w:color="auto" w:fill="auto"/>
            <w:vAlign w:val="center"/>
            <w:hideMark/>
          </w:tcPr>
          <w:p w14:paraId="2312CE2C" w14:textId="77777777" w:rsidR="00444B74" w:rsidRPr="00444B74" w:rsidRDefault="00444B74" w:rsidP="00444B74">
            <w:pPr>
              <w:spacing w:after="0" w:line="240" w:lineRule="auto"/>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 xml:space="preserve">25.1. Porcentaje de niñas, niños y adolescentes con un seguro de salud. </w:t>
            </w:r>
          </w:p>
        </w:tc>
        <w:tc>
          <w:tcPr>
            <w:tcW w:w="875" w:type="dxa"/>
            <w:tcBorders>
              <w:top w:val="nil"/>
              <w:left w:val="nil"/>
              <w:bottom w:val="single" w:sz="8" w:space="0" w:color="000000"/>
              <w:right w:val="single" w:sz="8" w:space="0" w:color="auto"/>
            </w:tcBorders>
            <w:shd w:val="clear" w:color="auto" w:fill="auto"/>
            <w:vAlign w:val="center"/>
            <w:hideMark/>
          </w:tcPr>
          <w:p w14:paraId="237C3432"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100%</w:t>
            </w:r>
          </w:p>
        </w:tc>
        <w:tc>
          <w:tcPr>
            <w:tcW w:w="1304" w:type="dxa"/>
            <w:tcBorders>
              <w:top w:val="nil"/>
              <w:left w:val="nil"/>
              <w:bottom w:val="single" w:sz="8" w:space="0" w:color="auto"/>
              <w:right w:val="single" w:sz="8" w:space="0" w:color="auto"/>
            </w:tcBorders>
            <w:shd w:val="clear" w:color="auto" w:fill="auto"/>
            <w:vAlign w:val="center"/>
            <w:hideMark/>
          </w:tcPr>
          <w:p w14:paraId="6EEB1D34"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No se cumplió</w:t>
            </w:r>
          </w:p>
        </w:tc>
        <w:tc>
          <w:tcPr>
            <w:tcW w:w="712" w:type="dxa"/>
            <w:tcBorders>
              <w:top w:val="nil"/>
              <w:left w:val="nil"/>
              <w:bottom w:val="single" w:sz="8" w:space="0" w:color="auto"/>
              <w:right w:val="single" w:sz="8" w:space="0" w:color="auto"/>
            </w:tcBorders>
            <w:shd w:val="clear" w:color="auto" w:fill="auto"/>
            <w:vAlign w:val="center"/>
            <w:hideMark/>
          </w:tcPr>
          <w:p w14:paraId="4CCC5930"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Regular</w:t>
            </w:r>
          </w:p>
        </w:tc>
        <w:tc>
          <w:tcPr>
            <w:tcW w:w="931" w:type="dxa"/>
            <w:tcBorders>
              <w:top w:val="nil"/>
              <w:left w:val="nil"/>
              <w:bottom w:val="single" w:sz="8" w:space="0" w:color="auto"/>
              <w:right w:val="single" w:sz="8" w:space="0" w:color="auto"/>
            </w:tcBorders>
            <w:shd w:val="clear" w:color="auto" w:fill="auto"/>
            <w:vAlign w:val="center"/>
            <w:hideMark/>
          </w:tcPr>
          <w:p w14:paraId="568665AC" w14:textId="77777777" w:rsidR="00444B74" w:rsidRPr="00444B74" w:rsidRDefault="00444B74" w:rsidP="00444B74">
            <w:pPr>
              <w:spacing w:after="0" w:line="240" w:lineRule="auto"/>
              <w:jc w:val="center"/>
              <w:rPr>
                <w:rFonts w:ascii="Open Sans Light" w:eastAsia="Times New Roman" w:hAnsi="Open Sans Light" w:cs="Open Sans Light"/>
                <w:color w:val="000000"/>
                <w:sz w:val="13"/>
                <w:szCs w:val="13"/>
                <w:lang w:val="es-PE"/>
              </w:rPr>
            </w:pPr>
            <w:r w:rsidRPr="00444B74">
              <w:rPr>
                <w:rFonts w:ascii="Open Sans Light" w:eastAsia="Times New Roman" w:hAnsi="Open Sans Light" w:cs="Open Sans Light"/>
                <w:color w:val="000000"/>
                <w:sz w:val="13"/>
                <w:szCs w:val="13"/>
                <w:lang w:val="es-PE"/>
              </w:rPr>
              <w:t>42.40%</w:t>
            </w:r>
          </w:p>
        </w:tc>
        <w:tc>
          <w:tcPr>
            <w:tcW w:w="215" w:type="dxa"/>
            <w:vAlign w:val="center"/>
            <w:hideMark/>
          </w:tcPr>
          <w:p w14:paraId="7CF74C26" w14:textId="77777777" w:rsidR="00444B74" w:rsidRPr="00444B74" w:rsidRDefault="00444B74" w:rsidP="00444B74">
            <w:pPr>
              <w:spacing w:after="0" w:line="240" w:lineRule="auto"/>
              <w:rPr>
                <w:rFonts w:ascii="Times New Roman" w:eastAsia="Times New Roman" w:hAnsi="Times New Roman" w:cs="Times New Roman"/>
                <w:sz w:val="20"/>
                <w:szCs w:val="20"/>
                <w:lang w:val="es-PE"/>
              </w:rPr>
            </w:pPr>
          </w:p>
        </w:tc>
      </w:tr>
    </w:tbl>
    <w:p w14:paraId="000000D8" w14:textId="77777777" w:rsidR="00971081" w:rsidRDefault="00971081">
      <w:pPr>
        <w:spacing w:after="0" w:line="240" w:lineRule="auto"/>
        <w:jc w:val="both"/>
        <w:rPr>
          <w:rFonts w:ascii="Open Sans Light" w:eastAsia="Open Sans Light" w:hAnsi="Open Sans Light" w:cs="Open Sans Light"/>
          <w:color w:val="000000"/>
          <w:sz w:val="24"/>
          <w:szCs w:val="24"/>
        </w:rPr>
        <w:sectPr w:rsidR="00971081" w:rsidSect="00D346B3">
          <w:pgSz w:w="16838" w:h="11906" w:orient="landscape"/>
          <w:pgMar w:top="1701" w:right="2126" w:bottom="1701" w:left="1418" w:header="709" w:footer="567" w:gutter="0"/>
          <w:cols w:space="720"/>
        </w:sectPr>
      </w:pPr>
      <w:bookmarkStart w:id="9" w:name="_heading=h.2s8eyo1" w:colFirst="0" w:colLast="0"/>
      <w:bookmarkEnd w:id="9"/>
    </w:p>
    <w:p w14:paraId="3E296AEF" w14:textId="77777777" w:rsidR="00CD1391" w:rsidRDefault="00CD1391">
      <w:pPr>
        <w:spacing w:after="0" w:line="240" w:lineRule="auto"/>
        <w:jc w:val="both"/>
        <w:rPr>
          <w:rFonts w:ascii="Open Sans Light" w:eastAsia="Open Sans Light" w:hAnsi="Open Sans Light" w:cs="Open Sans Light"/>
          <w:b/>
          <w:i/>
          <w:sz w:val="24"/>
          <w:szCs w:val="24"/>
        </w:rPr>
      </w:pPr>
    </w:p>
    <w:p w14:paraId="590D5756" w14:textId="77777777" w:rsidR="00BC2848" w:rsidRPr="004C4BFE" w:rsidRDefault="00BC2848" w:rsidP="00BC2848">
      <w:pPr>
        <w:jc w:val="both"/>
        <w:rPr>
          <w:rFonts w:ascii="Open Sans Light" w:hAnsi="Open Sans Light" w:cs="Open Sans Light"/>
          <w:b/>
          <w:bCs/>
          <w:sz w:val="24"/>
          <w:szCs w:val="24"/>
          <w:lang w:val="es-ES"/>
        </w:rPr>
      </w:pPr>
      <w:bookmarkStart w:id="10" w:name="_Hlk87866987"/>
      <w:r w:rsidRPr="004C4BFE">
        <w:rPr>
          <w:rFonts w:ascii="Open Sans Light" w:hAnsi="Open Sans Light" w:cs="Open Sans Light"/>
          <w:b/>
          <w:bCs/>
          <w:sz w:val="24"/>
          <w:szCs w:val="24"/>
          <w:lang w:val="es-ES"/>
        </w:rPr>
        <w:t>Balance de las estrategias de implementación</w:t>
      </w:r>
    </w:p>
    <w:p w14:paraId="0FBE9DA0" w14:textId="77777777" w:rsidR="00AC0A5F" w:rsidRDefault="00BC2848" w:rsidP="00BC2848">
      <w:pPr>
        <w:jc w:val="both"/>
        <w:rPr>
          <w:rFonts w:ascii="Open Sans Light" w:hAnsi="Open Sans Light" w:cs="Open Sans Light"/>
          <w:sz w:val="24"/>
          <w:szCs w:val="24"/>
          <w:lang w:val="es-ES"/>
        </w:rPr>
      </w:pPr>
      <w:r w:rsidRPr="004C4BFE">
        <w:rPr>
          <w:rFonts w:ascii="Open Sans Light" w:hAnsi="Open Sans Light" w:cs="Open Sans Light"/>
          <w:sz w:val="24"/>
          <w:szCs w:val="24"/>
          <w:lang w:val="es-ES"/>
        </w:rPr>
        <w:t xml:space="preserve">El </w:t>
      </w:r>
      <w:r w:rsidR="00D979D4" w:rsidRPr="004C4BFE">
        <w:rPr>
          <w:rFonts w:ascii="Open Sans Light" w:hAnsi="Open Sans Light" w:cs="Open Sans Light"/>
          <w:sz w:val="24"/>
          <w:szCs w:val="24"/>
          <w:lang w:val="es-ES"/>
        </w:rPr>
        <w:t>PNAIA 2012 – 2021</w:t>
      </w:r>
      <w:r w:rsidRPr="004C4BFE">
        <w:rPr>
          <w:rFonts w:ascii="Open Sans Light" w:hAnsi="Open Sans Light" w:cs="Open Sans Light"/>
          <w:sz w:val="24"/>
          <w:szCs w:val="24"/>
          <w:lang w:val="es-ES"/>
        </w:rPr>
        <w:t xml:space="preserve"> define las metas emblemáticas como aquellas metas prioritarias y esenciales para el </w:t>
      </w:r>
      <w:r w:rsidRPr="00A61DFC">
        <w:rPr>
          <w:rFonts w:ascii="Open Sans Light" w:hAnsi="Open Sans Light" w:cs="Open Sans Light"/>
          <w:sz w:val="24"/>
          <w:szCs w:val="24"/>
          <w:lang w:val="es-ES"/>
        </w:rPr>
        <w:t xml:space="preserve">desarrollo de la infancia y adolescencia en el Perú, cuyo señalamiento tiene impacto orientador, simbólico y motivador para la sociedad, y cuyo avance impulsa el cumplimiento integral del </w:t>
      </w:r>
      <w:r w:rsidR="00D979D4">
        <w:rPr>
          <w:rFonts w:ascii="Open Sans Light" w:hAnsi="Open Sans Light" w:cs="Open Sans Light"/>
          <w:sz w:val="24"/>
          <w:szCs w:val="24"/>
          <w:lang w:val="es-ES"/>
        </w:rPr>
        <w:t>PNAIA 2012 – 2021</w:t>
      </w:r>
      <w:r w:rsidRPr="00A61DFC">
        <w:rPr>
          <w:rFonts w:ascii="Open Sans Light" w:hAnsi="Open Sans Light" w:cs="Open Sans Light"/>
          <w:sz w:val="24"/>
          <w:szCs w:val="24"/>
          <w:lang w:val="es-ES"/>
        </w:rPr>
        <w:t>. Así, según el plan dichas metas han de ser orientadoras y estimulantes, pero también realizables en plazos establecidos</w:t>
      </w:r>
      <w:r w:rsidR="00AC0A5F">
        <w:rPr>
          <w:rFonts w:ascii="Open Sans Light" w:hAnsi="Open Sans Light" w:cs="Open Sans Light"/>
          <w:sz w:val="24"/>
          <w:szCs w:val="24"/>
          <w:lang w:val="es-ES"/>
        </w:rPr>
        <w:t xml:space="preserve">. </w:t>
      </w:r>
      <w:r w:rsidRPr="00A61DFC">
        <w:rPr>
          <w:rFonts w:ascii="Open Sans Light" w:hAnsi="Open Sans Light" w:cs="Open Sans Light"/>
          <w:sz w:val="24"/>
          <w:szCs w:val="24"/>
          <w:lang w:val="es-ES"/>
        </w:rPr>
        <w:t xml:space="preserve">Es decir, son perfectamente alcanzables si se cumplen ciertos supuestos, como el liderazgo eficaz de las instituciones ejecutoras del Plan, la asignación oportuna de recursos, el desarrollo in situ de las estrategias, y por supuesto, </w:t>
      </w:r>
      <w:r w:rsidR="00AC0A5F">
        <w:rPr>
          <w:rFonts w:ascii="Open Sans Light" w:hAnsi="Open Sans Light" w:cs="Open Sans Light"/>
          <w:sz w:val="24"/>
          <w:szCs w:val="24"/>
          <w:lang w:val="es-ES"/>
        </w:rPr>
        <w:t>el compromiso de la ciudadanía.</w:t>
      </w:r>
      <w:r w:rsidR="00AC0A5F" w:rsidRPr="00A61DFC">
        <w:rPr>
          <w:rFonts w:ascii="Open Sans Light" w:hAnsi="Open Sans Light" w:cs="Open Sans Light"/>
          <w:sz w:val="24"/>
          <w:szCs w:val="24"/>
          <w:lang w:val="es-ES"/>
        </w:rPr>
        <w:t xml:space="preserve"> </w:t>
      </w:r>
    </w:p>
    <w:p w14:paraId="15CC50EB" w14:textId="0BFB6D07" w:rsidR="00873951" w:rsidRDefault="00873951" w:rsidP="00BC2848">
      <w:pPr>
        <w:jc w:val="both"/>
        <w:rPr>
          <w:rFonts w:ascii="Open Sans Light" w:hAnsi="Open Sans Light" w:cs="Open Sans Light"/>
          <w:sz w:val="24"/>
          <w:szCs w:val="24"/>
          <w:lang w:val="es-ES"/>
        </w:rPr>
      </w:pPr>
      <w:r>
        <w:rPr>
          <w:rFonts w:ascii="Open Sans Light" w:hAnsi="Open Sans Light" w:cs="Open Sans Light"/>
          <w:sz w:val="24"/>
          <w:szCs w:val="24"/>
          <w:lang w:val="es-ES"/>
        </w:rPr>
        <w:t xml:space="preserve">Para el análisis de las metas emblemáticas planteadas, en base </w:t>
      </w:r>
      <w:r w:rsidR="00EF0CCC">
        <w:rPr>
          <w:rFonts w:ascii="Open Sans Light" w:hAnsi="Open Sans Light" w:cs="Open Sans Light"/>
          <w:sz w:val="24"/>
          <w:szCs w:val="24"/>
          <w:lang w:val="es-ES"/>
        </w:rPr>
        <w:t>a las</w:t>
      </w:r>
      <w:r>
        <w:rPr>
          <w:rFonts w:ascii="Open Sans Light" w:hAnsi="Open Sans Light" w:cs="Open Sans Light"/>
          <w:sz w:val="24"/>
          <w:szCs w:val="24"/>
          <w:lang w:val="es-ES"/>
        </w:rPr>
        <w:t xml:space="preserve"> sugerencias de los diferentes </w:t>
      </w:r>
      <w:r w:rsidRPr="00AC0A5F">
        <w:rPr>
          <w:rFonts w:ascii="Open Sans Light" w:hAnsi="Open Sans Light" w:cs="Open Sans Light"/>
          <w:sz w:val="24"/>
          <w:szCs w:val="24"/>
          <w:lang w:val="es-ES"/>
        </w:rPr>
        <w:t>actores de la comunidad y del sec</w:t>
      </w:r>
      <w:r>
        <w:rPr>
          <w:rFonts w:ascii="Open Sans Light" w:hAnsi="Open Sans Light" w:cs="Open Sans Light"/>
          <w:sz w:val="24"/>
          <w:szCs w:val="24"/>
          <w:lang w:val="es-ES"/>
        </w:rPr>
        <w:t xml:space="preserve">tor público que participaron </w:t>
      </w:r>
      <w:r w:rsidRPr="00AC0A5F">
        <w:rPr>
          <w:rFonts w:ascii="Open Sans Light" w:hAnsi="Open Sans Light" w:cs="Open Sans Light"/>
          <w:sz w:val="24"/>
          <w:szCs w:val="24"/>
          <w:lang w:val="es-ES"/>
        </w:rPr>
        <w:t>en</w:t>
      </w:r>
      <w:r>
        <w:rPr>
          <w:rFonts w:ascii="Open Sans Light" w:hAnsi="Open Sans Light" w:cs="Open Sans Light"/>
          <w:sz w:val="24"/>
          <w:szCs w:val="24"/>
          <w:lang w:val="es-ES"/>
        </w:rPr>
        <w:t xml:space="preserve"> su elaboración, se aptará por las evidencias, tanto de fuentes nacionales, aprovechando su nivel de desagregación para evidenciar las brechas en función a sus características socio demográficas, como de fuentes Internacionales.</w:t>
      </w:r>
    </w:p>
    <w:p w14:paraId="73628CD7" w14:textId="354F0A51" w:rsidR="00BC2848" w:rsidRPr="00716166" w:rsidRDefault="00BC2848" w:rsidP="00BC284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 xml:space="preserve">Esta sección da cuenta del cumplimiento en la ejecución de dichas estrategias establecidas para el logro de las 6 metas emblemáticas del </w:t>
      </w:r>
      <w:r w:rsidR="00D979D4">
        <w:rPr>
          <w:rFonts w:ascii="Open Sans Light" w:hAnsi="Open Sans Light" w:cs="Open Sans Light"/>
          <w:sz w:val="24"/>
          <w:szCs w:val="24"/>
          <w:lang w:val="es-ES"/>
        </w:rPr>
        <w:t>PNAIA 2012 – 2021</w:t>
      </w:r>
      <w:r w:rsidR="00832997">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las cuales configuran acciones, actividades y/o tareas que son consideradas prioritarias para viabilizar los cambios esperados y la consecución de las metas emblemáticas.</w:t>
      </w:r>
      <w:r w:rsidR="00832997">
        <w:rPr>
          <w:rFonts w:ascii="Open Sans Light" w:hAnsi="Open Sans Light" w:cs="Open Sans Light"/>
          <w:sz w:val="24"/>
          <w:szCs w:val="24"/>
          <w:lang w:val="es-ES"/>
        </w:rPr>
        <w:t xml:space="preserve"> </w:t>
      </w:r>
      <w:r w:rsidRPr="00A61DFC">
        <w:rPr>
          <w:rFonts w:ascii="Open Sans Light" w:hAnsi="Open Sans Light" w:cs="Open Sans Light"/>
          <w:sz w:val="24"/>
          <w:szCs w:val="24"/>
          <w:lang w:val="es-ES"/>
        </w:rPr>
        <w:t xml:space="preserve">Para este propósito, </w:t>
      </w:r>
      <w:r w:rsidR="00C5526F">
        <w:rPr>
          <w:rFonts w:ascii="Open Sans Light" w:hAnsi="Open Sans Light" w:cs="Open Sans Light"/>
          <w:sz w:val="24"/>
          <w:szCs w:val="24"/>
          <w:lang w:val="es-ES"/>
        </w:rPr>
        <w:t>en base a la información disponible</w:t>
      </w:r>
      <w:r w:rsidR="00757A21">
        <w:rPr>
          <w:rFonts w:ascii="Open Sans Light" w:hAnsi="Open Sans Light" w:cs="Open Sans Light"/>
          <w:sz w:val="24"/>
          <w:szCs w:val="24"/>
          <w:lang w:val="es-ES"/>
        </w:rPr>
        <w:t xml:space="preserve"> de las ejecuciones presupuestales</w:t>
      </w:r>
      <w:r w:rsidR="00C5526F">
        <w:rPr>
          <w:rFonts w:ascii="Open Sans Light" w:hAnsi="Open Sans Light" w:cs="Open Sans Light"/>
          <w:sz w:val="24"/>
          <w:szCs w:val="24"/>
          <w:lang w:val="es-ES"/>
        </w:rPr>
        <w:t>, se</w:t>
      </w:r>
      <w:r w:rsidRPr="00A61DFC">
        <w:rPr>
          <w:rFonts w:ascii="Open Sans Light" w:hAnsi="Open Sans Light" w:cs="Open Sans Light"/>
          <w:sz w:val="24"/>
          <w:szCs w:val="24"/>
          <w:lang w:val="es-ES"/>
        </w:rPr>
        <w:t xml:space="preserve"> realizó un agrupamiento temático de estrategias similares que puedan verificarse a través de la documentación cualitativa y mediciones intermedias que aporten a la meta emblemática. </w:t>
      </w:r>
      <w:r w:rsidR="00C626DA">
        <w:rPr>
          <w:rFonts w:ascii="Open Sans Light" w:hAnsi="Open Sans Light" w:cs="Open Sans Light"/>
          <w:sz w:val="24"/>
          <w:szCs w:val="24"/>
          <w:lang w:val="es-ES"/>
        </w:rPr>
        <w:t xml:space="preserve">Una medida </w:t>
      </w:r>
      <w:r w:rsidR="00C626DA" w:rsidRPr="00716166">
        <w:rPr>
          <w:rFonts w:ascii="Open Sans Light" w:hAnsi="Open Sans Light" w:cs="Open Sans Light"/>
          <w:sz w:val="24"/>
          <w:szCs w:val="24"/>
          <w:lang w:val="es-ES"/>
        </w:rPr>
        <w:t xml:space="preserve">constante que se utilizará a lo largo de las siguientes subsecciones serán las variaciones porcentuales presupuestarias. Al respecto, vale explicar que éstas hacen referencia a cómo y cuánto han variado los presupuestos </w:t>
      </w:r>
      <w:r w:rsidR="003A7893">
        <w:rPr>
          <w:rFonts w:ascii="Open Sans Light" w:hAnsi="Open Sans Light" w:cs="Open Sans Light"/>
          <w:sz w:val="24"/>
          <w:szCs w:val="24"/>
          <w:lang w:val="es-ES"/>
        </w:rPr>
        <w:t>ejecutados en</w:t>
      </w:r>
      <w:r w:rsidR="00C626DA" w:rsidRPr="00716166">
        <w:rPr>
          <w:rFonts w:ascii="Open Sans Light" w:hAnsi="Open Sans Light" w:cs="Open Sans Light"/>
          <w:sz w:val="24"/>
          <w:szCs w:val="24"/>
          <w:lang w:val="es-ES"/>
        </w:rPr>
        <w:t xml:space="preserve"> distintas actividades a lo largo del periodo de estudio. Por ejemplo, una variación porcentual en los niveles de ejecución presupuestal de 50% significa que en el último año observado se tiene un monto un 50% mayor al que se tuvo en el año inicial de observación; en el caso </w:t>
      </w:r>
      <w:r w:rsidR="003A7893">
        <w:rPr>
          <w:rFonts w:ascii="Open Sans Light" w:hAnsi="Open Sans Light" w:cs="Open Sans Light"/>
          <w:sz w:val="24"/>
          <w:szCs w:val="24"/>
          <w:lang w:val="es-ES"/>
        </w:rPr>
        <w:t>haya un presupuesto de</w:t>
      </w:r>
      <w:r w:rsidR="00C626DA" w:rsidRPr="00716166">
        <w:rPr>
          <w:rFonts w:ascii="Open Sans Light" w:hAnsi="Open Sans Light" w:cs="Open Sans Light"/>
          <w:sz w:val="24"/>
          <w:szCs w:val="24"/>
          <w:lang w:val="es-ES"/>
        </w:rPr>
        <w:t xml:space="preserve">100 mil soles en el año inicial, este indicador daría a entender que en el último año de observación </w:t>
      </w:r>
      <w:r w:rsidR="003A7893">
        <w:rPr>
          <w:rFonts w:ascii="Open Sans Light" w:hAnsi="Open Sans Light" w:cs="Open Sans Light"/>
          <w:sz w:val="24"/>
          <w:szCs w:val="24"/>
          <w:lang w:val="es-ES"/>
        </w:rPr>
        <w:t>el presupuesto creció a</w:t>
      </w:r>
      <w:r w:rsidR="00C626DA" w:rsidRPr="00716166">
        <w:rPr>
          <w:rFonts w:ascii="Open Sans Light" w:hAnsi="Open Sans Light" w:cs="Open Sans Light"/>
          <w:sz w:val="24"/>
          <w:szCs w:val="24"/>
          <w:lang w:val="es-ES"/>
        </w:rPr>
        <w:t xml:space="preserve"> 150 mil soles. En el caso de ser una variación porcentual </w:t>
      </w:r>
      <w:r w:rsidR="004304E0" w:rsidRPr="00716166">
        <w:rPr>
          <w:rFonts w:ascii="Open Sans Light" w:hAnsi="Open Sans Light" w:cs="Open Sans Light"/>
          <w:sz w:val="24"/>
          <w:szCs w:val="24"/>
          <w:lang w:val="es-ES"/>
        </w:rPr>
        <w:t>de -30%, esto significaría que en el último año de observación se habría</w:t>
      </w:r>
      <w:r w:rsidR="003A7893">
        <w:rPr>
          <w:rFonts w:ascii="Open Sans Light" w:hAnsi="Open Sans Light" w:cs="Open Sans Light"/>
          <w:sz w:val="24"/>
          <w:szCs w:val="24"/>
          <w:lang w:val="es-ES"/>
        </w:rPr>
        <w:t xml:space="preserve"> ejecutado </w:t>
      </w:r>
      <w:r w:rsidR="004304E0" w:rsidRPr="00716166">
        <w:rPr>
          <w:rFonts w:ascii="Open Sans Light" w:hAnsi="Open Sans Light" w:cs="Open Sans Light"/>
          <w:sz w:val="24"/>
          <w:szCs w:val="24"/>
          <w:lang w:val="es-ES"/>
        </w:rPr>
        <w:t xml:space="preserve">un 30% menos que en el año inicial de observación; en otras palabras, </w:t>
      </w:r>
      <w:r w:rsidR="004304E0" w:rsidRPr="00716166">
        <w:rPr>
          <w:rFonts w:ascii="Open Sans Light" w:hAnsi="Open Sans Light" w:cs="Open Sans Light"/>
          <w:sz w:val="24"/>
          <w:szCs w:val="24"/>
          <w:lang w:val="es-ES"/>
        </w:rPr>
        <w:lastRenderedPageBreak/>
        <w:t xml:space="preserve">si </w:t>
      </w:r>
      <w:r w:rsidR="003A7893">
        <w:rPr>
          <w:rFonts w:ascii="Open Sans Light" w:hAnsi="Open Sans Light" w:cs="Open Sans Light"/>
          <w:sz w:val="24"/>
          <w:szCs w:val="24"/>
          <w:lang w:val="es-ES"/>
        </w:rPr>
        <w:t>el presupuesto fue</w:t>
      </w:r>
      <w:r w:rsidR="004304E0" w:rsidRPr="00716166">
        <w:rPr>
          <w:rFonts w:ascii="Open Sans Light" w:hAnsi="Open Sans Light" w:cs="Open Sans Light"/>
          <w:sz w:val="24"/>
          <w:szCs w:val="24"/>
          <w:lang w:val="es-ES"/>
        </w:rPr>
        <w:t xml:space="preserve"> 100 mil soles en el año inicial, este indicador daría a entender que en el último año de observación </w:t>
      </w:r>
      <w:r w:rsidR="003A7893">
        <w:rPr>
          <w:rFonts w:ascii="Open Sans Light" w:hAnsi="Open Sans Light" w:cs="Open Sans Light"/>
          <w:sz w:val="24"/>
          <w:szCs w:val="24"/>
          <w:lang w:val="es-ES"/>
        </w:rPr>
        <w:t>el presupuesto disminuyó a</w:t>
      </w:r>
      <w:r w:rsidR="004304E0" w:rsidRPr="00716166">
        <w:rPr>
          <w:rFonts w:ascii="Open Sans Light" w:hAnsi="Open Sans Light" w:cs="Open Sans Light"/>
          <w:sz w:val="24"/>
          <w:szCs w:val="24"/>
          <w:lang w:val="es-ES"/>
        </w:rPr>
        <w:t xml:space="preserve"> 70 mil soles. </w:t>
      </w:r>
      <w:r w:rsidRPr="00716166">
        <w:rPr>
          <w:rFonts w:ascii="Open Sans Light" w:hAnsi="Open Sans Light" w:cs="Open Sans Light"/>
          <w:sz w:val="24"/>
          <w:szCs w:val="24"/>
          <w:lang w:val="es-ES"/>
        </w:rPr>
        <w:t>A continuación, se presentan los principales resultados.</w:t>
      </w:r>
    </w:p>
    <w:p w14:paraId="26C2125D" w14:textId="3053706F" w:rsidR="00BC2848" w:rsidRDefault="00BC2848" w:rsidP="00BC2848">
      <w:pPr>
        <w:jc w:val="both"/>
        <w:rPr>
          <w:rFonts w:ascii="Open Sans Light" w:hAnsi="Open Sans Light" w:cs="Open Sans Light"/>
          <w:b/>
          <w:bCs/>
          <w:sz w:val="24"/>
          <w:szCs w:val="24"/>
          <w:lang w:val="es-ES"/>
        </w:rPr>
      </w:pPr>
      <w:r w:rsidRPr="00716166">
        <w:rPr>
          <w:rFonts w:ascii="Open Sans Light" w:hAnsi="Open Sans Light" w:cs="Open Sans Light"/>
          <w:b/>
          <w:bCs/>
          <w:sz w:val="24"/>
          <w:szCs w:val="24"/>
          <w:lang w:val="es-ES"/>
        </w:rPr>
        <w:t>Primera Meta Emblemática: Desnutrición crónica de la primera infancia reducida al 5%</w:t>
      </w:r>
    </w:p>
    <w:p w14:paraId="7BB40EA5" w14:textId="7564FFA7" w:rsidR="008E3D9F" w:rsidRPr="006562CC" w:rsidRDefault="00577C55" w:rsidP="008E3D9F">
      <w:pPr>
        <w:spacing w:after="0" w:line="240" w:lineRule="auto"/>
        <w:jc w:val="center"/>
        <w:rPr>
          <w:rFonts w:ascii="Open Sans Light" w:eastAsia="Open Sans Light" w:hAnsi="Open Sans Light" w:cs="Open Sans Light"/>
          <w:b/>
          <w:color w:val="000000"/>
          <w:sz w:val="24"/>
          <w:szCs w:val="24"/>
        </w:rPr>
      </w:pPr>
      <w:r w:rsidRPr="006562CC">
        <w:rPr>
          <w:rStyle w:val="ESTILOTABLACar"/>
        </w:rPr>
        <w:t xml:space="preserve">Tabla </w:t>
      </w:r>
      <w:r w:rsidRPr="006562CC">
        <w:rPr>
          <w:rStyle w:val="ESTILOTABLACar"/>
        </w:rPr>
        <w:fldChar w:fldCharType="begin"/>
      </w:r>
      <w:r w:rsidRPr="006562CC">
        <w:rPr>
          <w:rStyle w:val="ESTILOTABLACar"/>
        </w:rPr>
        <w:instrText xml:space="preserve"> SEQ Tabla \* ARABIC </w:instrText>
      </w:r>
      <w:r w:rsidRPr="006562CC">
        <w:rPr>
          <w:rStyle w:val="ESTILOTABLACar"/>
        </w:rPr>
        <w:fldChar w:fldCharType="separate"/>
      </w:r>
      <w:r w:rsidR="00846FB2">
        <w:rPr>
          <w:rStyle w:val="ESTILOTABLACar"/>
          <w:noProof/>
        </w:rPr>
        <w:t>5</w:t>
      </w:r>
      <w:r w:rsidRPr="006562CC">
        <w:rPr>
          <w:rStyle w:val="ESTILOTABLACar"/>
        </w:rPr>
        <w:fldChar w:fldCharType="end"/>
      </w:r>
      <w:r w:rsidRPr="006562CC">
        <w:rPr>
          <w:rStyle w:val="ESTILOTABLACar"/>
        </w:rPr>
        <w:t>.</w:t>
      </w:r>
      <w:r w:rsidRPr="006562CC">
        <w:t xml:space="preserve"> </w:t>
      </w:r>
      <w:r w:rsidR="009C1BBA" w:rsidRPr="006562CC">
        <w:rPr>
          <w:rFonts w:ascii="Open Sans Light" w:eastAsia="Open Sans Light" w:hAnsi="Open Sans Light" w:cs="Open Sans Light"/>
          <w:b/>
          <w:color w:val="000000"/>
          <w:sz w:val="24"/>
          <w:szCs w:val="24"/>
        </w:rPr>
        <w:t xml:space="preserve">Balance para </w:t>
      </w:r>
      <w:r w:rsidR="004D0E60" w:rsidRPr="006562CC">
        <w:rPr>
          <w:rFonts w:ascii="Open Sans Light" w:eastAsia="Open Sans Light" w:hAnsi="Open Sans Light" w:cs="Open Sans Light"/>
          <w:b/>
          <w:color w:val="000000"/>
          <w:sz w:val="24"/>
          <w:szCs w:val="24"/>
        </w:rPr>
        <w:t xml:space="preserve">la </w:t>
      </w:r>
      <w:r w:rsidR="009C1BBA" w:rsidRPr="006562CC">
        <w:rPr>
          <w:rFonts w:ascii="Open Sans Light" w:eastAsia="Open Sans Light" w:hAnsi="Open Sans Light" w:cs="Open Sans Light"/>
          <w:b/>
          <w:color w:val="000000"/>
          <w:sz w:val="24"/>
          <w:szCs w:val="24"/>
        </w:rPr>
        <w:t>Primera Meta Emblemática</w:t>
      </w:r>
    </w:p>
    <w:tbl>
      <w:tblPr>
        <w:tblW w:w="8440" w:type="dxa"/>
        <w:tblCellMar>
          <w:left w:w="70" w:type="dxa"/>
          <w:right w:w="70" w:type="dxa"/>
        </w:tblCellMar>
        <w:tblLook w:val="04A0" w:firstRow="1" w:lastRow="0" w:firstColumn="1" w:lastColumn="0" w:noHBand="0" w:noVBand="1"/>
      </w:tblPr>
      <w:tblGrid>
        <w:gridCol w:w="1020"/>
        <w:gridCol w:w="2820"/>
        <w:gridCol w:w="2300"/>
        <w:gridCol w:w="720"/>
        <w:gridCol w:w="1580"/>
      </w:tblGrid>
      <w:tr w:rsidR="00591357" w:rsidRPr="006562CC" w14:paraId="7B802FFF" w14:textId="77777777" w:rsidTr="00591357">
        <w:trPr>
          <w:trHeight w:val="480"/>
        </w:trPr>
        <w:tc>
          <w:tcPr>
            <w:tcW w:w="102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759924C3" w14:textId="77777777" w:rsidR="00591357" w:rsidRPr="006562CC" w:rsidRDefault="00591357" w:rsidP="00591357">
            <w:pPr>
              <w:spacing w:after="0" w:line="240" w:lineRule="auto"/>
              <w:rPr>
                <w:rFonts w:ascii="Open Sans Light" w:eastAsia="Times New Roman" w:hAnsi="Open Sans Light" w:cs="Open Sans Light"/>
                <w:b/>
                <w:bCs/>
                <w:color w:val="FFFFFF"/>
                <w:sz w:val="16"/>
                <w:szCs w:val="16"/>
                <w:lang w:val="es-PE"/>
              </w:rPr>
            </w:pPr>
            <w:r w:rsidRPr="006562CC">
              <w:rPr>
                <w:rFonts w:ascii="Open Sans Light" w:eastAsia="Times New Roman" w:hAnsi="Open Sans Light" w:cs="Open Sans Light"/>
                <w:b/>
                <w:bCs/>
                <w:color w:val="FFFFFF"/>
                <w:sz w:val="16"/>
                <w:szCs w:val="16"/>
                <w:lang w:val="es-PE"/>
              </w:rPr>
              <w:t>Objetivo Estratégico</w:t>
            </w:r>
          </w:p>
        </w:tc>
        <w:tc>
          <w:tcPr>
            <w:tcW w:w="2820" w:type="dxa"/>
            <w:tcBorders>
              <w:top w:val="single" w:sz="4" w:space="0" w:color="auto"/>
              <w:left w:val="nil"/>
              <w:bottom w:val="single" w:sz="4" w:space="0" w:color="auto"/>
              <w:right w:val="single" w:sz="4" w:space="0" w:color="auto"/>
            </w:tcBorders>
            <w:shd w:val="clear" w:color="000000" w:fill="000000"/>
            <w:vAlign w:val="center"/>
            <w:hideMark/>
          </w:tcPr>
          <w:p w14:paraId="0F2454D7" w14:textId="77777777" w:rsidR="00591357" w:rsidRPr="006562CC" w:rsidRDefault="00591357" w:rsidP="00591357">
            <w:pPr>
              <w:spacing w:after="0" w:line="240" w:lineRule="auto"/>
              <w:rPr>
                <w:rFonts w:ascii="Open Sans Light" w:eastAsia="Times New Roman" w:hAnsi="Open Sans Light" w:cs="Open Sans Light"/>
                <w:b/>
                <w:bCs/>
                <w:color w:val="FFFFFF"/>
                <w:sz w:val="16"/>
                <w:szCs w:val="16"/>
                <w:lang w:val="es-PE"/>
              </w:rPr>
            </w:pPr>
            <w:r w:rsidRPr="006562CC">
              <w:rPr>
                <w:rFonts w:ascii="Open Sans Light" w:eastAsia="Times New Roman" w:hAnsi="Open Sans Light" w:cs="Open Sans Light"/>
                <w:b/>
                <w:bCs/>
                <w:color w:val="FFFFFF"/>
                <w:sz w:val="16"/>
                <w:szCs w:val="16"/>
                <w:lang w:val="es-PE"/>
              </w:rPr>
              <w:t>Resultado Esperado y Meta PNAIA 2012-2021</w:t>
            </w:r>
          </w:p>
        </w:tc>
        <w:tc>
          <w:tcPr>
            <w:tcW w:w="2300" w:type="dxa"/>
            <w:tcBorders>
              <w:top w:val="single" w:sz="4" w:space="0" w:color="auto"/>
              <w:left w:val="nil"/>
              <w:bottom w:val="single" w:sz="4" w:space="0" w:color="auto"/>
              <w:right w:val="single" w:sz="4" w:space="0" w:color="auto"/>
            </w:tcBorders>
            <w:shd w:val="clear" w:color="000000" w:fill="000000"/>
            <w:vAlign w:val="center"/>
            <w:hideMark/>
          </w:tcPr>
          <w:p w14:paraId="7FD7634A" w14:textId="77777777" w:rsidR="00591357" w:rsidRPr="006562CC" w:rsidRDefault="00591357" w:rsidP="00591357">
            <w:pPr>
              <w:spacing w:after="0" w:line="240" w:lineRule="auto"/>
              <w:rPr>
                <w:rFonts w:ascii="Open Sans Light" w:eastAsia="Times New Roman" w:hAnsi="Open Sans Light" w:cs="Open Sans Light"/>
                <w:b/>
                <w:bCs/>
                <w:color w:val="FFFFFF"/>
                <w:sz w:val="16"/>
                <w:szCs w:val="16"/>
                <w:lang w:val="es-PE"/>
              </w:rPr>
            </w:pPr>
            <w:r w:rsidRPr="006562CC">
              <w:rPr>
                <w:rFonts w:ascii="Open Sans Light" w:eastAsia="Times New Roman" w:hAnsi="Open Sans Light" w:cs="Open Sans Light"/>
                <w:b/>
                <w:bCs/>
                <w:color w:val="FFFFFF"/>
                <w:sz w:val="16"/>
                <w:szCs w:val="16"/>
                <w:lang w:val="es-PE"/>
              </w:rPr>
              <w:t>Indicador priorizado</w:t>
            </w:r>
          </w:p>
        </w:tc>
        <w:tc>
          <w:tcPr>
            <w:tcW w:w="720" w:type="dxa"/>
            <w:tcBorders>
              <w:top w:val="single" w:sz="4" w:space="0" w:color="auto"/>
              <w:left w:val="nil"/>
              <w:bottom w:val="single" w:sz="4" w:space="0" w:color="auto"/>
              <w:right w:val="single" w:sz="4" w:space="0" w:color="auto"/>
            </w:tcBorders>
            <w:shd w:val="clear" w:color="000000" w:fill="000000"/>
            <w:vAlign w:val="center"/>
            <w:hideMark/>
          </w:tcPr>
          <w:p w14:paraId="05090E04" w14:textId="77777777" w:rsidR="00591357" w:rsidRPr="006562CC" w:rsidRDefault="00591357" w:rsidP="00591357">
            <w:pPr>
              <w:spacing w:after="0" w:line="240" w:lineRule="auto"/>
              <w:rPr>
                <w:rFonts w:ascii="Open Sans Light" w:eastAsia="Times New Roman" w:hAnsi="Open Sans Light" w:cs="Open Sans Light"/>
                <w:b/>
                <w:bCs/>
                <w:color w:val="FFFFFF"/>
                <w:sz w:val="16"/>
                <w:szCs w:val="16"/>
                <w:lang w:val="es-PE"/>
              </w:rPr>
            </w:pPr>
            <w:r w:rsidRPr="006562CC">
              <w:rPr>
                <w:rFonts w:ascii="Open Sans Light" w:eastAsia="Times New Roman" w:hAnsi="Open Sans Light" w:cs="Open Sans Light"/>
                <w:b/>
                <w:bCs/>
                <w:color w:val="FFFFFF"/>
                <w:sz w:val="16"/>
                <w:szCs w:val="16"/>
                <w:lang w:val="es-PE"/>
              </w:rPr>
              <w:t>Estado</w:t>
            </w:r>
          </w:p>
        </w:tc>
        <w:tc>
          <w:tcPr>
            <w:tcW w:w="1580" w:type="dxa"/>
            <w:tcBorders>
              <w:top w:val="single" w:sz="4" w:space="0" w:color="auto"/>
              <w:left w:val="nil"/>
              <w:bottom w:val="single" w:sz="4" w:space="0" w:color="auto"/>
              <w:right w:val="single" w:sz="4" w:space="0" w:color="auto"/>
            </w:tcBorders>
            <w:shd w:val="clear" w:color="000000" w:fill="000000"/>
            <w:vAlign w:val="center"/>
            <w:hideMark/>
          </w:tcPr>
          <w:p w14:paraId="476B53F1" w14:textId="77777777" w:rsidR="00591357" w:rsidRPr="006562CC" w:rsidRDefault="00591357" w:rsidP="00591357">
            <w:pPr>
              <w:spacing w:after="0" w:line="240" w:lineRule="auto"/>
              <w:rPr>
                <w:rFonts w:ascii="Open Sans Light" w:eastAsia="Times New Roman" w:hAnsi="Open Sans Light" w:cs="Open Sans Light"/>
                <w:b/>
                <w:bCs/>
                <w:color w:val="FFFFFF"/>
                <w:sz w:val="16"/>
                <w:szCs w:val="16"/>
                <w:lang w:val="es-PE"/>
              </w:rPr>
            </w:pPr>
            <w:r w:rsidRPr="006562CC">
              <w:rPr>
                <w:rFonts w:ascii="Open Sans Light" w:eastAsia="Times New Roman" w:hAnsi="Open Sans Light" w:cs="Open Sans Light"/>
                <w:b/>
                <w:bCs/>
                <w:color w:val="FFFFFF"/>
                <w:sz w:val="16"/>
                <w:szCs w:val="16"/>
                <w:lang w:val="es-PE"/>
              </w:rPr>
              <w:t>% de avance</w:t>
            </w:r>
          </w:p>
        </w:tc>
      </w:tr>
      <w:tr w:rsidR="00591357" w:rsidRPr="006562CC" w14:paraId="53F4CBE1" w14:textId="77777777" w:rsidTr="00591357">
        <w:trPr>
          <w:trHeight w:val="960"/>
        </w:trPr>
        <w:tc>
          <w:tcPr>
            <w:tcW w:w="1020" w:type="dxa"/>
            <w:tcBorders>
              <w:top w:val="nil"/>
              <w:left w:val="single" w:sz="4" w:space="0" w:color="auto"/>
              <w:bottom w:val="single" w:sz="4" w:space="0" w:color="auto"/>
              <w:right w:val="single" w:sz="4" w:space="0" w:color="auto"/>
            </w:tcBorders>
            <w:shd w:val="clear" w:color="auto" w:fill="auto"/>
            <w:vAlign w:val="center"/>
            <w:hideMark/>
          </w:tcPr>
          <w:p w14:paraId="7FBE359B"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lang w:val="es-PE"/>
              </w:rPr>
              <w:t>OE1</w:t>
            </w:r>
          </w:p>
        </w:tc>
        <w:tc>
          <w:tcPr>
            <w:tcW w:w="2820" w:type="dxa"/>
            <w:tcBorders>
              <w:top w:val="nil"/>
              <w:left w:val="nil"/>
              <w:bottom w:val="single" w:sz="4" w:space="0" w:color="auto"/>
              <w:right w:val="single" w:sz="4" w:space="0" w:color="auto"/>
            </w:tcBorders>
            <w:shd w:val="clear" w:color="auto" w:fill="auto"/>
            <w:vAlign w:val="center"/>
            <w:hideMark/>
          </w:tcPr>
          <w:p w14:paraId="3F1B71C5"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lang w:val="es-PE"/>
              </w:rPr>
              <w:t>RE2: Disminuir al 5% la desnutrición crónica en niñas y niños menores de 5 años de edad</w:t>
            </w:r>
          </w:p>
        </w:tc>
        <w:tc>
          <w:tcPr>
            <w:tcW w:w="2300" w:type="dxa"/>
            <w:tcBorders>
              <w:top w:val="nil"/>
              <w:left w:val="nil"/>
              <w:bottom w:val="single" w:sz="4" w:space="0" w:color="auto"/>
              <w:right w:val="single" w:sz="4" w:space="0" w:color="auto"/>
            </w:tcBorders>
            <w:shd w:val="clear" w:color="auto" w:fill="auto"/>
            <w:vAlign w:val="center"/>
            <w:hideMark/>
          </w:tcPr>
          <w:p w14:paraId="1AE87327"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lang w:val="es-PE"/>
              </w:rPr>
              <w:t>Porcentaje de desnutrición crónica en menores de 5 años de edad (patrón de referencia NCHS)</w:t>
            </w:r>
          </w:p>
        </w:tc>
        <w:tc>
          <w:tcPr>
            <w:tcW w:w="720" w:type="dxa"/>
            <w:tcBorders>
              <w:top w:val="nil"/>
              <w:left w:val="nil"/>
              <w:bottom w:val="single" w:sz="4" w:space="0" w:color="auto"/>
              <w:right w:val="single" w:sz="4" w:space="0" w:color="auto"/>
            </w:tcBorders>
            <w:shd w:val="clear" w:color="auto" w:fill="auto"/>
            <w:vAlign w:val="center"/>
            <w:hideMark/>
          </w:tcPr>
          <w:p w14:paraId="629657D0"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lang w:val="es-PE"/>
              </w:rPr>
              <w:t>No se cumplió</w:t>
            </w:r>
          </w:p>
        </w:tc>
        <w:tc>
          <w:tcPr>
            <w:tcW w:w="1580" w:type="dxa"/>
            <w:tcBorders>
              <w:top w:val="nil"/>
              <w:left w:val="nil"/>
              <w:bottom w:val="single" w:sz="4" w:space="0" w:color="auto"/>
              <w:right w:val="single" w:sz="4" w:space="0" w:color="auto"/>
            </w:tcBorders>
            <w:shd w:val="clear" w:color="auto" w:fill="auto"/>
            <w:vAlign w:val="center"/>
            <w:hideMark/>
          </w:tcPr>
          <w:p w14:paraId="3CB3ACB1" w14:textId="375B7886" w:rsidR="00591357" w:rsidRPr="006562CC" w:rsidRDefault="00822D4C" w:rsidP="00591357">
            <w:pPr>
              <w:spacing w:after="0" w:line="240" w:lineRule="auto"/>
              <w:jc w:val="right"/>
              <w:rPr>
                <w:rFonts w:ascii="Open Sans Light" w:eastAsia="Times New Roman" w:hAnsi="Open Sans Light" w:cs="Open Sans Light"/>
                <w:color w:val="000000"/>
                <w:sz w:val="16"/>
                <w:szCs w:val="16"/>
                <w:lang w:val="es-PE"/>
              </w:rPr>
            </w:pPr>
            <w:r>
              <w:rPr>
                <w:rFonts w:ascii="Open Sans Light" w:eastAsia="Times New Roman" w:hAnsi="Open Sans Light" w:cs="Open Sans Light"/>
                <w:color w:val="000000"/>
                <w:sz w:val="16"/>
                <w:szCs w:val="16"/>
                <w:lang w:val="es-PE"/>
              </w:rPr>
              <w:t>63.7</w:t>
            </w:r>
            <w:r w:rsidR="00591357" w:rsidRPr="006562CC">
              <w:rPr>
                <w:rFonts w:ascii="Open Sans Light" w:eastAsia="Times New Roman" w:hAnsi="Open Sans Light" w:cs="Open Sans Light"/>
                <w:color w:val="000000"/>
                <w:sz w:val="16"/>
                <w:szCs w:val="16"/>
                <w:lang w:val="es-PE"/>
              </w:rPr>
              <w:t>%</w:t>
            </w:r>
          </w:p>
        </w:tc>
      </w:tr>
      <w:tr w:rsidR="00591357" w:rsidRPr="006562CC" w14:paraId="07F7F505" w14:textId="77777777" w:rsidTr="00591357">
        <w:trPr>
          <w:trHeight w:val="720"/>
        </w:trPr>
        <w:tc>
          <w:tcPr>
            <w:tcW w:w="3840" w:type="dxa"/>
            <w:gridSpan w:val="2"/>
            <w:tcBorders>
              <w:top w:val="single" w:sz="4" w:space="0" w:color="auto"/>
              <w:left w:val="single" w:sz="4" w:space="0" w:color="auto"/>
              <w:bottom w:val="single" w:sz="4" w:space="0" w:color="auto"/>
              <w:right w:val="single" w:sz="4" w:space="0" w:color="auto"/>
            </w:tcBorders>
            <w:shd w:val="clear" w:color="000000" w:fill="000000"/>
            <w:vAlign w:val="center"/>
            <w:hideMark/>
          </w:tcPr>
          <w:p w14:paraId="713E5ED0" w14:textId="77777777" w:rsidR="00591357" w:rsidRPr="006562CC" w:rsidRDefault="00591357" w:rsidP="00591357">
            <w:pPr>
              <w:spacing w:after="0" w:line="240" w:lineRule="auto"/>
              <w:rPr>
                <w:rFonts w:ascii="Open Sans Light" w:eastAsia="Times New Roman" w:hAnsi="Open Sans Light" w:cs="Open Sans Light"/>
                <w:b/>
                <w:bCs/>
                <w:color w:val="FFFFFF"/>
                <w:sz w:val="16"/>
                <w:szCs w:val="16"/>
                <w:lang w:val="es-PE"/>
              </w:rPr>
            </w:pPr>
            <w:r w:rsidRPr="006562CC">
              <w:rPr>
                <w:rFonts w:ascii="Open Sans Light" w:eastAsia="Times New Roman" w:hAnsi="Open Sans Light" w:cs="Open Sans Light"/>
                <w:b/>
                <w:bCs/>
                <w:color w:val="FFFFFF"/>
                <w:sz w:val="16"/>
                <w:szCs w:val="16"/>
                <w:lang w:val="es-PE"/>
              </w:rPr>
              <w:t>Categoría</w:t>
            </w:r>
          </w:p>
        </w:tc>
        <w:tc>
          <w:tcPr>
            <w:tcW w:w="3020" w:type="dxa"/>
            <w:gridSpan w:val="2"/>
            <w:tcBorders>
              <w:top w:val="single" w:sz="4" w:space="0" w:color="auto"/>
              <w:left w:val="nil"/>
              <w:bottom w:val="single" w:sz="4" w:space="0" w:color="auto"/>
              <w:right w:val="single" w:sz="4" w:space="0" w:color="auto"/>
            </w:tcBorders>
            <w:shd w:val="clear" w:color="000000" w:fill="000000"/>
            <w:vAlign w:val="center"/>
            <w:hideMark/>
          </w:tcPr>
          <w:p w14:paraId="00C836DF" w14:textId="77777777" w:rsidR="00591357" w:rsidRPr="006562CC" w:rsidRDefault="00591357" w:rsidP="00591357">
            <w:pPr>
              <w:spacing w:after="0" w:line="240" w:lineRule="auto"/>
              <w:rPr>
                <w:rFonts w:ascii="Open Sans Light" w:eastAsia="Times New Roman" w:hAnsi="Open Sans Light" w:cs="Open Sans Light"/>
                <w:b/>
                <w:bCs/>
                <w:color w:val="FFFFFF"/>
                <w:sz w:val="16"/>
                <w:szCs w:val="16"/>
                <w:lang w:val="es-PE"/>
              </w:rPr>
            </w:pPr>
            <w:r w:rsidRPr="006562CC">
              <w:rPr>
                <w:rFonts w:ascii="Open Sans Light" w:eastAsia="Times New Roman" w:hAnsi="Open Sans Light" w:cs="Open Sans Light"/>
                <w:b/>
                <w:bCs/>
                <w:color w:val="FFFFFF"/>
                <w:sz w:val="16"/>
                <w:szCs w:val="16"/>
                <w:lang w:val="es-PE"/>
              </w:rPr>
              <w:t xml:space="preserve">Medio de verificación </w:t>
            </w:r>
          </w:p>
        </w:tc>
        <w:tc>
          <w:tcPr>
            <w:tcW w:w="1580" w:type="dxa"/>
            <w:tcBorders>
              <w:top w:val="nil"/>
              <w:left w:val="nil"/>
              <w:bottom w:val="single" w:sz="4" w:space="0" w:color="auto"/>
              <w:right w:val="single" w:sz="4" w:space="0" w:color="auto"/>
            </w:tcBorders>
            <w:shd w:val="clear" w:color="000000" w:fill="000000"/>
            <w:vAlign w:val="center"/>
            <w:hideMark/>
          </w:tcPr>
          <w:p w14:paraId="1BEDAC4E" w14:textId="77777777" w:rsidR="00591357" w:rsidRPr="006562CC" w:rsidRDefault="00591357" w:rsidP="00591357">
            <w:pPr>
              <w:spacing w:after="0" w:line="240" w:lineRule="auto"/>
              <w:rPr>
                <w:rFonts w:ascii="Open Sans Light" w:eastAsia="Times New Roman" w:hAnsi="Open Sans Light" w:cs="Open Sans Light"/>
                <w:b/>
                <w:bCs/>
                <w:color w:val="FFFFFF"/>
                <w:sz w:val="16"/>
                <w:szCs w:val="16"/>
                <w:lang w:val="es-PE"/>
              </w:rPr>
            </w:pPr>
            <w:r w:rsidRPr="006562CC">
              <w:rPr>
                <w:rFonts w:ascii="Open Sans Light" w:eastAsia="Times New Roman" w:hAnsi="Open Sans Light" w:cs="Open Sans Light"/>
                <w:b/>
                <w:bCs/>
                <w:color w:val="FFFFFF"/>
                <w:sz w:val="16"/>
                <w:szCs w:val="16"/>
                <w:lang w:val="es-PE"/>
              </w:rPr>
              <w:t>% var. en ejecución presupuestal</w:t>
            </w:r>
          </w:p>
        </w:tc>
      </w:tr>
      <w:tr w:rsidR="00591357" w:rsidRPr="006562CC" w14:paraId="4CCD7420" w14:textId="77777777" w:rsidTr="00591357">
        <w:trPr>
          <w:trHeight w:val="444"/>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E7F8723"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Focalización territorial de intervenciones</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0D702265"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S/D</w:t>
            </w:r>
          </w:p>
        </w:tc>
        <w:tc>
          <w:tcPr>
            <w:tcW w:w="1580" w:type="dxa"/>
            <w:tcBorders>
              <w:top w:val="nil"/>
              <w:left w:val="nil"/>
              <w:bottom w:val="single" w:sz="4" w:space="0" w:color="auto"/>
              <w:right w:val="single" w:sz="4" w:space="0" w:color="auto"/>
            </w:tcBorders>
            <w:shd w:val="clear" w:color="auto" w:fill="auto"/>
            <w:vAlign w:val="center"/>
            <w:hideMark/>
          </w:tcPr>
          <w:p w14:paraId="21E4423A" w14:textId="77777777" w:rsidR="00591357" w:rsidRPr="006562CC" w:rsidRDefault="00591357" w:rsidP="00591357">
            <w:pPr>
              <w:spacing w:after="0" w:line="240" w:lineRule="auto"/>
              <w:jc w:val="right"/>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S/D</w:t>
            </w:r>
          </w:p>
        </w:tc>
      </w:tr>
      <w:tr w:rsidR="00591357" w:rsidRPr="006562CC" w14:paraId="217B28C5" w14:textId="77777777" w:rsidTr="00591357">
        <w:trPr>
          <w:trHeight w:val="624"/>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ECCD4A"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Implementación del PAN</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178C454F"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Programa Presupuestal con Enfoque de Resultados - Articulado Nutricional</w:t>
            </w:r>
          </w:p>
        </w:tc>
        <w:tc>
          <w:tcPr>
            <w:tcW w:w="1580" w:type="dxa"/>
            <w:tcBorders>
              <w:top w:val="nil"/>
              <w:left w:val="nil"/>
              <w:bottom w:val="single" w:sz="4" w:space="0" w:color="auto"/>
              <w:right w:val="single" w:sz="4" w:space="0" w:color="auto"/>
            </w:tcBorders>
            <w:shd w:val="clear" w:color="auto" w:fill="auto"/>
            <w:vAlign w:val="center"/>
            <w:hideMark/>
          </w:tcPr>
          <w:p w14:paraId="7B4BAEBB" w14:textId="77777777" w:rsidR="00591357" w:rsidRPr="006562CC" w:rsidRDefault="00591357" w:rsidP="00591357">
            <w:pPr>
              <w:spacing w:after="0" w:line="240" w:lineRule="auto"/>
              <w:jc w:val="right"/>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57%</w:t>
            </w:r>
          </w:p>
        </w:tc>
      </w:tr>
      <w:tr w:rsidR="00591357" w:rsidRPr="006562CC" w14:paraId="7C8B7BB0" w14:textId="77777777" w:rsidTr="00591357">
        <w:trPr>
          <w:trHeight w:val="444"/>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CD7CDEF"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Intervenciones en el periodo perinatal</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4E03FE6C"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Programa Presupuestal de Salud Materno Neonatal</w:t>
            </w:r>
          </w:p>
        </w:tc>
        <w:tc>
          <w:tcPr>
            <w:tcW w:w="1580" w:type="dxa"/>
            <w:tcBorders>
              <w:top w:val="nil"/>
              <w:left w:val="nil"/>
              <w:bottom w:val="single" w:sz="4" w:space="0" w:color="auto"/>
              <w:right w:val="single" w:sz="4" w:space="0" w:color="auto"/>
            </w:tcBorders>
            <w:shd w:val="clear" w:color="auto" w:fill="auto"/>
            <w:vAlign w:val="center"/>
            <w:hideMark/>
          </w:tcPr>
          <w:p w14:paraId="0A4462B5" w14:textId="77777777" w:rsidR="00591357" w:rsidRPr="006562CC" w:rsidRDefault="00591357" w:rsidP="00591357">
            <w:pPr>
              <w:spacing w:after="0" w:line="240" w:lineRule="auto"/>
              <w:jc w:val="right"/>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32%</w:t>
            </w:r>
          </w:p>
        </w:tc>
      </w:tr>
      <w:tr w:rsidR="00591357" w:rsidRPr="006562CC" w14:paraId="218400FA" w14:textId="77777777" w:rsidTr="00591357">
        <w:trPr>
          <w:trHeight w:val="1164"/>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150926"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Intervenciones de sensibilización</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580CB42B"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Producto: “Familias saludables con conocimientos para el cuidado infantil, lactancia materna exclusiva y la adecuada alimentación y protección del menor de 36 meses” del PAN</w:t>
            </w:r>
          </w:p>
        </w:tc>
        <w:tc>
          <w:tcPr>
            <w:tcW w:w="1580" w:type="dxa"/>
            <w:tcBorders>
              <w:top w:val="nil"/>
              <w:left w:val="nil"/>
              <w:bottom w:val="single" w:sz="4" w:space="0" w:color="auto"/>
              <w:right w:val="single" w:sz="4" w:space="0" w:color="auto"/>
            </w:tcBorders>
            <w:shd w:val="clear" w:color="auto" w:fill="auto"/>
            <w:vAlign w:val="center"/>
            <w:hideMark/>
          </w:tcPr>
          <w:p w14:paraId="7A68CCC1" w14:textId="77777777" w:rsidR="00591357" w:rsidRPr="006562CC" w:rsidRDefault="00591357" w:rsidP="00591357">
            <w:pPr>
              <w:spacing w:after="0" w:line="240" w:lineRule="auto"/>
              <w:jc w:val="right"/>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-42%</w:t>
            </w:r>
          </w:p>
        </w:tc>
      </w:tr>
      <w:tr w:rsidR="00591357" w:rsidRPr="00591357" w14:paraId="60D18DDE" w14:textId="77777777" w:rsidTr="00591357">
        <w:trPr>
          <w:trHeight w:val="444"/>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2629D8"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Intervenciones en el ámbito educativo</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3320380F" w14:textId="77777777" w:rsidR="00591357" w:rsidRPr="006562CC" w:rsidRDefault="00591357" w:rsidP="00591357">
            <w:pPr>
              <w:spacing w:after="0" w:line="240" w:lineRule="auto"/>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color w:val="000000"/>
                <w:sz w:val="16"/>
                <w:szCs w:val="16"/>
              </w:rPr>
              <w:t>Programa de Alimentación Escolar</w:t>
            </w:r>
          </w:p>
        </w:tc>
        <w:tc>
          <w:tcPr>
            <w:tcW w:w="1580" w:type="dxa"/>
            <w:tcBorders>
              <w:top w:val="nil"/>
              <w:left w:val="nil"/>
              <w:bottom w:val="single" w:sz="4" w:space="0" w:color="auto"/>
              <w:right w:val="single" w:sz="4" w:space="0" w:color="auto"/>
            </w:tcBorders>
            <w:shd w:val="clear" w:color="auto" w:fill="auto"/>
            <w:vAlign w:val="center"/>
            <w:hideMark/>
          </w:tcPr>
          <w:p w14:paraId="76136333" w14:textId="77777777" w:rsidR="00591357" w:rsidRPr="00591357" w:rsidRDefault="00591357" w:rsidP="00591357">
            <w:pPr>
              <w:spacing w:after="0" w:line="240" w:lineRule="auto"/>
              <w:jc w:val="right"/>
              <w:rPr>
                <w:rFonts w:ascii="Open Sans Light" w:eastAsia="Times New Roman" w:hAnsi="Open Sans Light" w:cs="Open Sans Light"/>
                <w:color w:val="000000"/>
                <w:sz w:val="16"/>
                <w:szCs w:val="16"/>
                <w:lang w:val="es-PE"/>
              </w:rPr>
            </w:pPr>
            <w:r w:rsidRPr="006562CC">
              <w:rPr>
                <w:rFonts w:ascii="Open Sans Light" w:eastAsia="Times New Roman" w:hAnsi="Open Sans Light" w:cs="Open Sans Light"/>
                <w:sz w:val="16"/>
                <w:szCs w:val="16"/>
              </w:rPr>
              <w:t>25%</w:t>
            </w:r>
          </w:p>
        </w:tc>
      </w:tr>
    </w:tbl>
    <w:p w14:paraId="7E472FCE" w14:textId="3ABD49AB" w:rsidR="00BC2848" w:rsidRPr="00716166" w:rsidRDefault="00BC2848" w:rsidP="00577C55">
      <w:pPr>
        <w:spacing w:before="240"/>
        <w:jc w:val="both"/>
        <w:rPr>
          <w:rFonts w:ascii="Open Sans Light" w:hAnsi="Open Sans Light" w:cs="Open Sans Light"/>
          <w:sz w:val="24"/>
          <w:szCs w:val="24"/>
          <w:lang w:val="es-ES"/>
        </w:rPr>
      </w:pPr>
      <w:r w:rsidRPr="00716166">
        <w:rPr>
          <w:rFonts w:ascii="Open Sans Light" w:hAnsi="Open Sans Light" w:cs="Open Sans Light"/>
          <w:sz w:val="24"/>
          <w:szCs w:val="24"/>
          <w:lang w:val="es-ES"/>
        </w:rPr>
        <w:t xml:space="preserve">La primera meta está vinculada al Resultado Esperado 2 del </w:t>
      </w:r>
      <w:r w:rsidR="00D979D4" w:rsidRPr="00716166">
        <w:rPr>
          <w:rFonts w:ascii="Open Sans Light" w:hAnsi="Open Sans Light" w:cs="Open Sans Light"/>
          <w:sz w:val="24"/>
          <w:szCs w:val="24"/>
          <w:lang w:val="es-ES"/>
        </w:rPr>
        <w:t>PNAIA 2012 – 2021</w:t>
      </w:r>
      <w:r w:rsidRPr="00716166">
        <w:rPr>
          <w:rFonts w:ascii="Open Sans Light" w:hAnsi="Open Sans Light" w:cs="Open Sans Light"/>
          <w:sz w:val="24"/>
          <w:szCs w:val="24"/>
          <w:lang w:val="es-ES"/>
        </w:rPr>
        <w:t xml:space="preserve">, el cual busca disminuir al 5% la desnutrición crónica en niñas y niños menores de 5 años. Para lograrlo se plantearon 10 estrategias </w:t>
      </w:r>
      <w:r w:rsidRPr="009C1BBA">
        <w:rPr>
          <w:rFonts w:ascii="Open Sans Light" w:hAnsi="Open Sans Light" w:cs="Open Sans Light"/>
          <w:sz w:val="24"/>
          <w:szCs w:val="24"/>
          <w:lang w:val="es-ES"/>
        </w:rPr>
        <w:t>de implementación agrupadas en 5 categorías (</w:t>
      </w:r>
      <w:r w:rsidRPr="00E1753D">
        <w:rPr>
          <w:rFonts w:ascii="Open Sans Light" w:hAnsi="Open Sans Light" w:cs="Open Sans Light"/>
          <w:sz w:val="24"/>
          <w:szCs w:val="24"/>
          <w:lang w:val="es-ES"/>
        </w:rPr>
        <w:t xml:space="preserve">véase detalle en Anexo, </w:t>
      </w:r>
      <w:r w:rsidR="005136F1" w:rsidRPr="00E1753D">
        <w:rPr>
          <w:rFonts w:ascii="Open Sans Light" w:hAnsi="Open Sans Light" w:cs="Open Sans Light"/>
          <w:sz w:val="24"/>
          <w:szCs w:val="24"/>
          <w:lang w:val="es-ES"/>
        </w:rPr>
        <w:t>Tabla</w:t>
      </w:r>
      <w:r w:rsidRPr="00E1753D">
        <w:rPr>
          <w:rFonts w:ascii="Open Sans Light" w:hAnsi="Open Sans Light" w:cs="Open Sans Light"/>
          <w:sz w:val="24"/>
          <w:szCs w:val="24"/>
          <w:lang w:val="es-ES"/>
        </w:rPr>
        <w:t xml:space="preserve"> </w:t>
      </w:r>
      <w:r w:rsidR="00E1753D">
        <w:rPr>
          <w:rFonts w:ascii="Open Sans Light" w:hAnsi="Open Sans Light" w:cs="Open Sans Light"/>
          <w:sz w:val="24"/>
          <w:szCs w:val="24"/>
          <w:lang w:val="es-ES"/>
        </w:rPr>
        <w:t>A</w:t>
      </w:r>
      <w:r w:rsidR="00D14279">
        <w:rPr>
          <w:rFonts w:ascii="Open Sans Light" w:hAnsi="Open Sans Light" w:cs="Open Sans Light"/>
          <w:sz w:val="24"/>
          <w:szCs w:val="24"/>
          <w:lang w:val="es-ES"/>
        </w:rPr>
        <w:t>.</w:t>
      </w:r>
      <w:r w:rsidR="00E1753D">
        <w:rPr>
          <w:rFonts w:ascii="Open Sans Light" w:hAnsi="Open Sans Light" w:cs="Open Sans Light"/>
          <w:sz w:val="24"/>
          <w:szCs w:val="24"/>
          <w:lang w:val="es-ES"/>
        </w:rPr>
        <w:t>1</w:t>
      </w:r>
      <w:r w:rsidRPr="009C1BBA">
        <w:rPr>
          <w:rFonts w:ascii="Open Sans Light" w:hAnsi="Open Sans Light" w:cs="Open Sans Light"/>
          <w:sz w:val="24"/>
          <w:szCs w:val="24"/>
          <w:lang w:val="es-ES"/>
        </w:rPr>
        <w:t>).</w:t>
      </w:r>
      <w:r w:rsidRPr="00716166">
        <w:rPr>
          <w:rFonts w:ascii="Open Sans Light" w:hAnsi="Open Sans Light" w:cs="Open Sans Light"/>
          <w:sz w:val="24"/>
          <w:szCs w:val="24"/>
          <w:lang w:val="es-ES"/>
        </w:rPr>
        <w:t xml:space="preserve"> </w:t>
      </w:r>
    </w:p>
    <w:p w14:paraId="0C01F09E" w14:textId="352D5062" w:rsidR="00BC2848" w:rsidRPr="00A61DFC" w:rsidRDefault="00BC2848" w:rsidP="00BC2848">
      <w:pPr>
        <w:jc w:val="both"/>
        <w:rPr>
          <w:rFonts w:ascii="Open Sans Light" w:hAnsi="Open Sans Light" w:cs="Open Sans Light"/>
          <w:sz w:val="24"/>
          <w:szCs w:val="24"/>
          <w:lang w:val="es-ES"/>
        </w:rPr>
      </w:pPr>
      <w:r w:rsidRPr="00716166">
        <w:rPr>
          <w:rFonts w:ascii="Open Sans Light" w:hAnsi="Open Sans Light" w:cs="Open Sans Light"/>
          <w:sz w:val="24"/>
          <w:szCs w:val="24"/>
          <w:lang w:val="es-ES"/>
        </w:rPr>
        <w:t>Respecto a las 5 categorías –</w:t>
      </w:r>
      <w:r w:rsidRPr="00716166">
        <w:rPr>
          <w:rFonts w:ascii="Open Sans Light" w:hAnsi="Open Sans Light" w:cs="Open Sans Light"/>
          <w:i/>
          <w:iCs/>
          <w:sz w:val="24"/>
          <w:szCs w:val="24"/>
          <w:lang w:val="es-ES"/>
        </w:rPr>
        <w:t>(i) focalización territorial de intervenciones, (ii) implementación del PAN, (iii) intervenciones en el periodo perinatal, (iv) intervenciones de sensibilización, (v) intervenciones en el ámbito educativo</w:t>
      </w:r>
      <w:r w:rsidRPr="00716166">
        <w:rPr>
          <w:rFonts w:ascii="Open Sans Light" w:hAnsi="Open Sans Light" w:cs="Open Sans Light"/>
          <w:sz w:val="24"/>
          <w:szCs w:val="24"/>
          <w:lang w:val="es-ES"/>
        </w:rPr>
        <w:t>– se evidenció que se cumplieron con la implementación de los ejes</w:t>
      </w:r>
      <w:r w:rsidRPr="00A61DFC">
        <w:rPr>
          <w:rFonts w:ascii="Open Sans Light" w:hAnsi="Open Sans Light" w:cs="Open Sans Light"/>
          <w:sz w:val="24"/>
          <w:szCs w:val="24"/>
          <w:lang w:val="es-ES"/>
        </w:rPr>
        <w:t xml:space="preserve">-categorías (ii), (iii) y (v). Por otro lado, no se cumplió con la implementación del eje-categoría (iv) debido a una reducción en la ejecución presupuestal. No se tiene información equivalente para el eje-categoría (i). La variación porcentual en los niveles de ejecución presupuestal entre los años 2012 y 2020 fue de 57%, 32%, -42% y 25% para los ejes-categoría (ii), </w:t>
      </w:r>
      <w:r w:rsidRPr="00D26390">
        <w:rPr>
          <w:rFonts w:ascii="Open Sans Light" w:hAnsi="Open Sans Light" w:cs="Open Sans Light"/>
          <w:sz w:val="24"/>
          <w:szCs w:val="24"/>
          <w:lang w:val="es-ES"/>
        </w:rPr>
        <w:t>(iii), (iv) y (v), respectivamente. Para el eje-categoría (i) no se tiene información similar (</w:t>
      </w:r>
      <w:r w:rsidRPr="00BA20F3">
        <w:rPr>
          <w:rFonts w:ascii="Open Sans Light" w:hAnsi="Open Sans Light" w:cs="Open Sans Light"/>
          <w:sz w:val="24"/>
          <w:szCs w:val="24"/>
          <w:lang w:val="es-ES"/>
        </w:rPr>
        <w:t xml:space="preserve">véase detalle en Anexo, </w:t>
      </w:r>
      <w:r w:rsidR="00503829" w:rsidRPr="00BA20F3">
        <w:rPr>
          <w:rFonts w:ascii="Open Sans Light" w:hAnsi="Open Sans Light" w:cs="Open Sans Light"/>
          <w:sz w:val="24"/>
          <w:szCs w:val="24"/>
          <w:lang w:val="es-ES"/>
        </w:rPr>
        <w:t xml:space="preserve">Tabla </w:t>
      </w:r>
      <w:r w:rsidR="00BA20F3">
        <w:rPr>
          <w:rFonts w:ascii="Open Sans Light" w:hAnsi="Open Sans Light" w:cs="Open Sans Light"/>
          <w:sz w:val="24"/>
          <w:szCs w:val="24"/>
          <w:lang w:val="es-ES"/>
        </w:rPr>
        <w:t>A.2</w:t>
      </w:r>
      <w:r w:rsidRPr="00D26390">
        <w:rPr>
          <w:rFonts w:ascii="Open Sans Light" w:hAnsi="Open Sans Light" w:cs="Open Sans Light"/>
          <w:sz w:val="24"/>
          <w:szCs w:val="24"/>
          <w:lang w:val="es-ES"/>
        </w:rPr>
        <w:t xml:space="preserve">). No obstante, hasta </w:t>
      </w:r>
      <w:r w:rsidRPr="00D26390">
        <w:rPr>
          <w:rFonts w:ascii="Open Sans Light" w:hAnsi="Open Sans Light" w:cs="Open Sans Light"/>
          <w:sz w:val="24"/>
          <w:szCs w:val="24"/>
          <w:lang w:val="es-ES"/>
        </w:rPr>
        <w:lastRenderedPageBreak/>
        <w:t>el año 2020 el porcentaje de desnutrición crónica en menores</w:t>
      </w:r>
      <w:r w:rsidRPr="00A61DFC">
        <w:rPr>
          <w:rFonts w:ascii="Open Sans Light" w:hAnsi="Open Sans Light" w:cs="Open Sans Light"/>
          <w:sz w:val="24"/>
          <w:szCs w:val="24"/>
          <w:lang w:val="es-ES"/>
        </w:rPr>
        <w:t xml:space="preserve"> de 5 años solo bajó hasta </w:t>
      </w:r>
      <w:r w:rsidR="00C6754A">
        <w:rPr>
          <w:rFonts w:ascii="Open Sans Light" w:hAnsi="Open Sans Light" w:cs="Open Sans Light"/>
          <w:sz w:val="24"/>
          <w:szCs w:val="24"/>
          <w:lang w:val="es-ES"/>
        </w:rPr>
        <w:t>7</w:t>
      </w:r>
      <w:r w:rsidRPr="00A61DFC">
        <w:rPr>
          <w:rFonts w:ascii="Open Sans Light" w:hAnsi="Open Sans Light" w:cs="Open Sans Light"/>
          <w:sz w:val="24"/>
          <w:szCs w:val="24"/>
          <w:lang w:val="es-ES"/>
        </w:rPr>
        <w:t>.1%, teniendo mayores niveles en los</w:t>
      </w:r>
      <w:r w:rsidR="000A4C48" w:rsidRPr="00A61DFC">
        <w:rPr>
          <w:rFonts w:ascii="Open Sans Light" w:hAnsi="Open Sans Light" w:cs="Open Sans Light"/>
          <w:sz w:val="24"/>
          <w:szCs w:val="24"/>
          <w:lang w:val="es-ES"/>
        </w:rPr>
        <w:softHyphen/>
      </w:r>
      <w:r w:rsidRPr="00A61DFC">
        <w:rPr>
          <w:rFonts w:ascii="Open Sans Light" w:hAnsi="Open Sans Light" w:cs="Open Sans Light"/>
          <w:sz w:val="24"/>
          <w:szCs w:val="24"/>
          <w:lang w:val="es-ES"/>
        </w:rPr>
        <w:t xml:space="preserve"> años 2011, 2012 y 2013; con </w:t>
      </w:r>
      <w:r w:rsidR="00C6754A">
        <w:rPr>
          <w:rFonts w:ascii="Open Sans Light" w:hAnsi="Open Sans Light" w:cs="Open Sans Light"/>
          <w:sz w:val="24"/>
          <w:szCs w:val="24"/>
          <w:lang w:val="es-ES"/>
        </w:rPr>
        <w:t>15.2</w:t>
      </w:r>
      <w:r w:rsidRPr="00A61DFC">
        <w:rPr>
          <w:rFonts w:ascii="Open Sans Light" w:hAnsi="Open Sans Light" w:cs="Open Sans Light"/>
          <w:sz w:val="24"/>
          <w:szCs w:val="24"/>
          <w:lang w:val="es-ES"/>
        </w:rPr>
        <w:t xml:space="preserve">%, </w:t>
      </w:r>
      <w:r w:rsidR="00C6754A">
        <w:rPr>
          <w:rFonts w:ascii="Open Sans Light" w:hAnsi="Open Sans Light" w:cs="Open Sans Light"/>
          <w:sz w:val="24"/>
          <w:szCs w:val="24"/>
          <w:lang w:val="es-ES"/>
        </w:rPr>
        <w:t>13.5</w:t>
      </w:r>
      <w:r w:rsidRPr="00A61DFC">
        <w:rPr>
          <w:rFonts w:ascii="Open Sans Light" w:hAnsi="Open Sans Light" w:cs="Open Sans Light"/>
          <w:sz w:val="24"/>
          <w:szCs w:val="24"/>
          <w:lang w:val="es-ES"/>
        </w:rPr>
        <w:t xml:space="preserve">% y </w:t>
      </w:r>
      <w:r w:rsidR="00C6754A">
        <w:rPr>
          <w:rFonts w:ascii="Open Sans Light" w:hAnsi="Open Sans Light" w:cs="Open Sans Light"/>
          <w:sz w:val="24"/>
          <w:szCs w:val="24"/>
          <w:lang w:val="es-ES"/>
        </w:rPr>
        <w:t>13.1</w:t>
      </w:r>
      <w:r w:rsidRPr="00A61DFC">
        <w:rPr>
          <w:rFonts w:ascii="Open Sans Light" w:hAnsi="Open Sans Light" w:cs="Open Sans Light"/>
          <w:sz w:val="24"/>
          <w:szCs w:val="24"/>
          <w:lang w:val="es-ES"/>
        </w:rPr>
        <w:t>%</w:t>
      </w:r>
      <w:r w:rsidR="000E327A" w:rsidRPr="00A61DFC">
        <w:rPr>
          <w:rFonts w:ascii="Open Sans Light" w:hAnsi="Open Sans Light" w:cs="Open Sans Light"/>
          <w:sz w:val="24"/>
          <w:szCs w:val="24"/>
          <w:lang w:val="es-ES"/>
        </w:rPr>
        <w:t xml:space="preserve"> (véase detalle gráfico 7)</w:t>
      </w:r>
      <w:r w:rsidR="00EB4DA0" w:rsidRPr="00A61DFC">
        <w:rPr>
          <w:rFonts w:ascii="Open Sans Light" w:hAnsi="Open Sans Light" w:cs="Open Sans Light"/>
          <w:sz w:val="24"/>
          <w:szCs w:val="24"/>
          <w:lang w:val="es-ES"/>
        </w:rPr>
        <w:t>.</w:t>
      </w:r>
    </w:p>
    <w:p w14:paraId="4C8483F0" w14:textId="547DECAC" w:rsidR="006C3B69" w:rsidRDefault="00BC2848" w:rsidP="00D26390">
      <w:pPr>
        <w:jc w:val="both"/>
        <w:rPr>
          <w:rStyle w:val="ESTILOTABLACar"/>
          <w:i w:val="0"/>
        </w:rPr>
      </w:pPr>
      <w:r w:rsidRPr="00A61DFC">
        <w:rPr>
          <w:rFonts w:ascii="Open Sans Light" w:hAnsi="Open Sans Light" w:cs="Open Sans Light"/>
          <w:sz w:val="24"/>
          <w:szCs w:val="24"/>
          <w:lang w:val="es-ES"/>
        </w:rPr>
        <w:t>En relación con la variación positiva de 57% en los niveles de ejecución presupuestal en el eje-categoría (ii) –</w:t>
      </w:r>
      <w:r w:rsidRPr="00A61DFC">
        <w:rPr>
          <w:rFonts w:ascii="Open Sans Light" w:hAnsi="Open Sans Light" w:cs="Open Sans Light"/>
          <w:i/>
          <w:iCs/>
          <w:sz w:val="24"/>
          <w:szCs w:val="24"/>
          <w:lang w:val="es-ES"/>
        </w:rPr>
        <w:t>implementación del PAN</w:t>
      </w:r>
      <w:r w:rsidRPr="00A61DFC">
        <w:rPr>
          <w:rFonts w:ascii="Open Sans Light" w:hAnsi="Open Sans Light" w:cs="Open Sans Light"/>
          <w:sz w:val="24"/>
          <w:szCs w:val="24"/>
          <w:lang w:val="es-ES"/>
        </w:rPr>
        <w:t xml:space="preserve">– cabe resaltar que se pasó de 1,466,845,374 soles ejecutados en 2012, a 2,310,34,927 soles ejecutados en 2020. Cabe mencionar además que para el año 2019 la variación positiva alcanzaba el 71% tomando como base el 2012, sin embargo, los efectos de la pandemia por COVID-19 redujeron esta cifra a 57% para el 2020. Luego, es necesario considerar que estas variaciones positivas no fueron homogéneas a nivel nacional. Así, tenemos por un lado departamentos como Arequipa, Piura y Amazonas, con variaciones de 110%, 99% y 97% respectivamente; mientras por otro lado tenemos departamentos como Pasco y Moquegua, y la provincia constitucional </w:t>
      </w:r>
      <w:r w:rsidRPr="00D26390">
        <w:rPr>
          <w:rFonts w:ascii="Open Sans Light" w:hAnsi="Open Sans Light" w:cs="Open Sans Light"/>
          <w:sz w:val="24"/>
          <w:szCs w:val="24"/>
          <w:lang w:val="es-ES"/>
        </w:rPr>
        <w:t>del Callao, con variaciones de 26%, 18% y 21%, respectivamente (</w:t>
      </w:r>
      <w:r w:rsidRPr="004D0E60">
        <w:rPr>
          <w:rFonts w:ascii="Open Sans Light" w:hAnsi="Open Sans Light" w:cs="Open Sans Light"/>
          <w:sz w:val="24"/>
          <w:szCs w:val="24"/>
          <w:lang w:val="es-ES"/>
        </w:rPr>
        <w:t xml:space="preserve">véase detalle en Anexo, </w:t>
      </w:r>
      <w:r w:rsidR="001278F0" w:rsidRPr="004D0E60">
        <w:rPr>
          <w:rFonts w:ascii="Open Sans Light" w:hAnsi="Open Sans Light" w:cs="Open Sans Light"/>
          <w:sz w:val="24"/>
          <w:szCs w:val="24"/>
          <w:lang w:val="es-ES"/>
        </w:rPr>
        <w:t xml:space="preserve">Tabla </w:t>
      </w:r>
      <w:r w:rsidR="00BA20F3">
        <w:rPr>
          <w:rFonts w:ascii="Open Sans Light" w:hAnsi="Open Sans Light" w:cs="Open Sans Light"/>
          <w:sz w:val="24"/>
          <w:szCs w:val="24"/>
          <w:lang w:val="es-ES"/>
        </w:rPr>
        <w:t>A.</w:t>
      </w:r>
      <w:r w:rsidR="00BA20F3" w:rsidRPr="004D0E60">
        <w:rPr>
          <w:rFonts w:ascii="Open Sans Light" w:hAnsi="Open Sans Light" w:cs="Open Sans Light"/>
          <w:sz w:val="24"/>
          <w:szCs w:val="24"/>
          <w:lang w:val="es-ES"/>
        </w:rPr>
        <w:t>3</w:t>
      </w:r>
      <w:r w:rsidRPr="00D26390">
        <w:rPr>
          <w:rFonts w:ascii="Open Sans Light" w:hAnsi="Open Sans Light" w:cs="Open Sans Light"/>
          <w:sz w:val="24"/>
          <w:szCs w:val="24"/>
          <w:lang w:val="es-ES"/>
        </w:rPr>
        <w:t>).</w:t>
      </w:r>
      <w:r w:rsidR="00E01F72" w:rsidRPr="00A61DFC">
        <w:rPr>
          <w:rFonts w:ascii="Open Sans Light" w:hAnsi="Open Sans Light" w:cs="Open Sans Light"/>
          <w:sz w:val="24"/>
          <w:szCs w:val="24"/>
          <w:lang w:val="es-ES"/>
        </w:rPr>
        <w:t xml:space="preserve"> </w:t>
      </w:r>
      <w:r w:rsidR="006C3B69">
        <w:rPr>
          <w:rStyle w:val="ESTILOTABLACar"/>
        </w:rPr>
        <w:br w:type="page"/>
      </w:r>
    </w:p>
    <w:p w14:paraId="1F548D2E" w14:textId="34F30B29" w:rsidR="00E01F72" w:rsidRPr="00677C6D" w:rsidRDefault="00E01F72" w:rsidP="007671F8">
      <w:pPr>
        <w:pStyle w:val="ESTILOTABLA"/>
        <w:rPr>
          <w:lang w:val="es-PE"/>
        </w:rPr>
      </w:pPr>
      <w:r w:rsidRPr="00C57238">
        <w:rPr>
          <w:rStyle w:val="ESTILOTABLACar"/>
        </w:rPr>
        <w:lastRenderedPageBreak/>
        <w:t>Figura</w:t>
      </w:r>
      <w:r>
        <w:t xml:space="preserve"> </w:t>
      </w:r>
      <w:r w:rsidR="00A31AEE">
        <w:rPr>
          <w:noProof/>
        </w:rPr>
        <w:fldChar w:fldCharType="begin"/>
      </w:r>
      <w:r w:rsidR="00A31AEE">
        <w:rPr>
          <w:noProof/>
        </w:rPr>
        <w:instrText xml:space="preserve"> SEQ Figura \* ARABIC </w:instrText>
      </w:r>
      <w:r w:rsidR="00A31AEE">
        <w:rPr>
          <w:noProof/>
        </w:rPr>
        <w:fldChar w:fldCharType="separate"/>
      </w:r>
      <w:r w:rsidR="00846FB2">
        <w:rPr>
          <w:noProof/>
        </w:rPr>
        <w:t>2</w:t>
      </w:r>
      <w:r w:rsidR="00A31AEE">
        <w:rPr>
          <w:noProof/>
        </w:rPr>
        <w:fldChar w:fldCharType="end"/>
      </w:r>
      <w:r>
        <w:t xml:space="preserve">. </w:t>
      </w:r>
      <w:r w:rsidRPr="00677C6D">
        <w:rPr>
          <w:b/>
          <w:bCs/>
          <w:i w:val="0"/>
          <w:iCs/>
          <w:lang w:val="es-PE"/>
        </w:rPr>
        <w:t xml:space="preserve">Variación porcentual en los niveles de ejecución presupuestal </w:t>
      </w:r>
      <w:r w:rsidR="00860A2F">
        <w:rPr>
          <w:b/>
          <w:bCs/>
          <w:i w:val="0"/>
          <w:iCs/>
          <w:lang w:val="es-PE"/>
        </w:rPr>
        <w:t>(</w:t>
      </w:r>
      <w:r w:rsidR="00860A2F" w:rsidRPr="00860A2F">
        <w:rPr>
          <w:b/>
          <w:bCs/>
          <w:i w:val="0"/>
          <w:iCs/>
          <w:lang w:val="es-PE"/>
        </w:rPr>
        <w:t>implementación del PAN</w:t>
      </w:r>
      <w:r w:rsidR="00860A2F">
        <w:rPr>
          <w:b/>
          <w:bCs/>
          <w:i w:val="0"/>
          <w:iCs/>
          <w:lang w:val="es-PE"/>
        </w:rPr>
        <w:t>)</w:t>
      </w:r>
      <w:r w:rsidR="0061309C">
        <w:rPr>
          <w:b/>
          <w:bCs/>
          <w:i w:val="0"/>
          <w:iCs/>
          <w:lang w:val="es-PE"/>
        </w:rPr>
        <w:t xml:space="preserve">, </w:t>
      </w:r>
      <w:r w:rsidRPr="00677C6D">
        <w:rPr>
          <w:b/>
          <w:bCs/>
          <w:i w:val="0"/>
          <w:iCs/>
          <w:lang w:val="es-PE"/>
        </w:rPr>
        <w:t>entre los años 2012 y 2020 por departamento</w:t>
      </w:r>
    </w:p>
    <w:p w14:paraId="40BCA00B" w14:textId="79EDC3E0" w:rsidR="00E01F72" w:rsidRDefault="00E01F72" w:rsidP="004524D3">
      <w:pPr>
        <w:jc w:val="center"/>
        <w:rPr>
          <w:rFonts w:ascii="Open Sans Light" w:hAnsi="Open Sans Light" w:cs="Open Sans Light"/>
          <w:color w:val="00B050"/>
          <w:sz w:val="24"/>
          <w:szCs w:val="24"/>
          <w:lang w:val="es-ES"/>
        </w:rPr>
      </w:pPr>
      <w:r>
        <w:rPr>
          <w:noProof/>
          <w:lang w:val="en-GB" w:eastAsia="en-GB"/>
        </w:rPr>
        <w:drawing>
          <wp:inline distT="0" distB="0" distL="0" distR="0" wp14:anchorId="15740B20" wp14:editId="62484DDE">
            <wp:extent cx="5525770" cy="3808675"/>
            <wp:effectExtent l="0" t="0" r="0" b="1905"/>
            <wp:docPr id="46" name="Gráfico 46">
              <a:extLst xmlns:a="http://schemas.openxmlformats.org/drawingml/2006/main">
                <a:ext uri="{FF2B5EF4-FFF2-40B4-BE49-F238E27FC236}">
                  <a16:creationId xmlns:a16="http://schemas.microsoft.com/office/drawing/2014/main" id="{53089D92-E479-45C4-8AB0-510B6C5846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1789DC3" w14:textId="2417D114" w:rsidR="00BC2848" w:rsidRPr="00A61DFC" w:rsidRDefault="00BC2848" w:rsidP="000E447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Finalmente, un mayor detalle en el análisis nos da indicios de que el eje-categoría (i) –</w:t>
      </w:r>
      <w:r w:rsidRPr="00A61DFC">
        <w:rPr>
          <w:rFonts w:ascii="Open Sans Light" w:hAnsi="Open Sans Light" w:cs="Open Sans Light"/>
          <w:i/>
          <w:iCs/>
          <w:sz w:val="24"/>
          <w:szCs w:val="24"/>
          <w:lang w:val="es-ES"/>
        </w:rPr>
        <w:t>focalización territorial de intervenciones</w:t>
      </w:r>
      <w:r w:rsidRPr="00A61DFC">
        <w:rPr>
          <w:rFonts w:ascii="Open Sans Light" w:hAnsi="Open Sans Light" w:cs="Open Sans Light"/>
          <w:sz w:val="24"/>
          <w:szCs w:val="24"/>
          <w:lang w:val="es-ES"/>
        </w:rPr>
        <w:t xml:space="preserve">– no estaría teniendo éxito en su implementación, pues resulta que los departamentos con mayores tasas de desnutrición en los años 2011 y 2012 no coinciden con aquellos departamentos con mayores variaciones positivas en sus niveles de presupuestos ejecutados. </w:t>
      </w:r>
    </w:p>
    <w:p w14:paraId="4B491CCD" w14:textId="1837BF8E" w:rsidR="00BC2848" w:rsidRPr="00A61DFC" w:rsidRDefault="00BC2848" w:rsidP="000E447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 xml:space="preserve">En lo concerniente a la variación positiva de 32% en los niveles de ejecución presupuestal en el eje-categoría (iii) </w:t>
      </w:r>
      <w:r w:rsidRPr="00A61DFC">
        <w:rPr>
          <w:rFonts w:ascii="Open Sans Light" w:hAnsi="Open Sans Light" w:cs="Open Sans Light"/>
          <w:i/>
          <w:iCs/>
          <w:sz w:val="24"/>
          <w:szCs w:val="24"/>
          <w:lang w:val="es-ES"/>
        </w:rPr>
        <w:t>–intervenciones en el periodo perinatal–</w:t>
      </w:r>
      <w:r w:rsidRPr="00A61DFC">
        <w:rPr>
          <w:rFonts w:ascii="Open Sans Light" w:hAnsi="Open Sans Light" w:cs="Open Sans Light"/>
          <w:sz w:val="24"/>
          <w:szCs w:val="24"/>
          <w:lang w:val="es-ES"/>
        </w:rPr>
        <w:t xml:space="preserve"> la evidencia muestra distintas variaciones positivas en ejecución presupuestal </w:t>
      </w:r>
      <w:r w:rsidR="00EF0CCC" w:rsidRPr="00A61DFC">
        <w:rPr>
          <w:rFonts w:ascii="Open Sans Light" w:hAnsi="Open Sans Light" w:cs="Open Sans Light"/>
          <w:sz w:val="24"/>
          <w:szCs w:val="24"/>
          <w:lang w:val="es-ES"/>
        </w:rPr>
        <w:t>de acuerdo</w:t>
      </w:r>
      <w:r w:rsidR="00EF0CCC">
        <w:rPr>
          <w:rFonts w:ascii="Open Sans Light" w:hAnsi="Open Sans Light" w:cs="Open Sans Light"/>
          <w:sz w:val="24"/>
          <w:szCs w:val="24"/>
          <w:lang w:val="es-ES"/>
        </w:rPr>
        <w:t xml:space="preserve"> con</w:t>
      </w:r>
      <w:r w:rsidRPr="00A61DFC">
        <w:rPr>
          <w:rFonts w:ascii="Open Sans Light" w:hAnsi="Open Sans Light" w:cs="Open Sans Light"/>
          <w:sz w:val="24"/>
          <w:szCs w:val="24"/>
          <w:lang w:val="es-ES"/>
        </w:rPr>
        <w:t xml:space="preserve"> las 3 categorías de parto. Así, la atención del parto normal tuvo un 31% de variación en sus niveles de ejecución presupuestal entre el 2012 y el 2020; la atención de parto complicado no quirúrgico </w:t>
      </w:r>
      <w:r w:rsidRPr="00D26390">
        <w:rPr>
          <w:rFonts w:ascii="Open Sans Light" w:hAnsi="Open Sans Light" w:cs="Open Sans Light"/>
          <w:sz w:val="24"/>
          <w:szCs w:val="24"/>
          <w:lang w:val="es-ES"/>
        </w:rPr>
        <w:t>hizo lo propio en un 77%, y, por último, la atención de parto complicado quirúrgico tuvo una variación positiva de 20% entre 2012 y 2020 (</w:t>
      </w:r>
      <w:r w:rsidRPr="004D0E60">
        <w:rPr>
          <w:rFonts w:ascii="Open Sans Light" w:hAnsi="Open Sans Light" w:cs="Open Sans Light"/>
          <w:sz w:val="24"/>
          <w:szCs w:val="24"/>
          <w:lang w:val="es-ES"/>
        </w:rPr>
        <w:t xml:space="preserve">véase detalle en Anexo, </w:t>
      </w:r>
      <w:r w:rsidR="0016686B" w:rsidRPr="004D0E60">
        <w:rPr>
          <w:rFonts w:ascii="Open Sans Light" w:hAnsi="Open Sans Light" w:cs="Open Sans Light"/>
          <w:sz w:val="24"/>
          <w:szCs w:val="24"/>
          <w:lang w:val="es-ES"/>
        </w:rPr>
        <w:t xml:space="preserve">Tabla </w:t>
      </w:r>
      <w:r w:rsidR="00BA20F3" w:rsidRPr="004D0E60">
        <w:rPr>
          <w:rFonts w:ascii="Open Sans Light" w:hAnsi="Open Sans Light" w:cs="Open Sans Light"/>
          <w:sz w:val="24"/>
          <w:szCs w:val="24"/>
          <w:lang w:val="es-ES"/>
        </w:rPr>
        <w:t>A.4</w:t>
      </w:r>
      <w:r w:rsidRPr="00D26390">
        <w:rPr>
          <w:rFonts w:ascii="Open Sans Light" w:hAnsi="Open Sans Light" w:cs="Open Sans Light"/>
          <w:sz w:val="24"/>
          <w:szCs w:val="24"/>
          <w:lang w:val="es-ES"/>
        </w:rPr>
        <w:t>)</w:t>
      </w:r>
      <w:r w:rsidR="000C6F0A" w:rsidRPr="00D26390">
        <w:rPr>
          <w:rFonts w:ascii="Open Sans Light" w:hAnsi="Open Sans Light" w:cs="Open Sans Light"/>
          <w:sz w:val="24"/>
          <w:szCs w:val="24"/>
          <w:lang w:val="es-ES"/>
        </w:rPr>
        <w:t>.</w:t>
      </w:r>
    </w:p>
    <w:p w14:paraId="4EE2D1F1" w14:textId="30C74296" w:rsidR="00BC2848" w:rsidRPr="00A61DFC" w:rsidRDefault="00BC2848" w:rsidP="000E447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En cuanto a la variación negativa de -42% en los niveles de ejecución presupuestal en el eje-categoría (iv) –</w:t>
      </w:r>
      <w:r w:rsidRPr="00A61DFC">
        <w:rPr>
          <w:rFonts w:ascii="Open Sans Light" w:hAnsi="Open Sans Light" w:cs="Open Sans Light"/>
          <w:i/>
          <w:iCs/>
          <w:sz w:val="24"/>
          <w:szCs w:val="24"/>
          <w:lang w:val="es-ES"/>
        </w:rPr>
        <w:t>intervenciones de sensibilización</w:t>
      </w:r>
      <w:r w:rsidRPr="00A61DFC">
        <w:rPr>
          <w:rFonts w:ascii="Open Sans Light" w:hAnsi="Open Sans Light" w:cs="Open Sans Light"/>
          <w:sz w:val="24"/>
          <w:szCs w:val="24"/>
          <w:lang w:val="es-ES"/>
        </w:rPr>
        <w:t xml:space="preserve">– se resalta que el origen de dicho cálculo encuentra origen en la reducción del presupuesto </w:t>
      </w:r>
      <w:r w:rsidR="003A7893">
        <w:rPr>
          <w:rFonts w:ascii="Open Sans Light" w:hAnsi="Open Sans Light" w:cs="Open Sans Light"/>
          <w:sz w:val="24"/>
          <w:szCs w:val="24"/>
          <w:lang w:val="es-ES"/>
        </w:rPr>
        <w:lastRenderedPageBreak/>
        <w:t xml:space="preserve">dirigido </w:t>
      </w:r>
      <w:r w:rsidRPr="00A61DFC">
        <w:rPr>
          <w:rFonts w:ascii="Open Sans Light" w:hAnsi="Open Sans Light" w:cs="Open Sans Light"/>
          <w:sz w:val="24"/>
          <w:szCs w:val="24"/>
          <w:lang w:val="es-ES"/>
        </w:rPr>
        <w:t>al producto ‘Familias saludables con conocimientos para el cuidado infantil, lactancia materna exclusiva y adecuada alimentación y protección del menor de 36 meses’, desde 22,763,766 soles</w:t>
      </w:r>
      <w:r w:rsidR="003A7893">
        <w:rPr>
          <w:rFonts w:ascii="Open Sans Light" w:hAnsi="Open Sans Light" w:cs="Open Sans Light"/>
          <w:sz w:val="24"/>
          <w:szCs w:val="24"/>
          <w:lang w:val="es-ES"/>
        </w:rPr>
        <w:t xml:space="preserve"> </w:t>
      </w:r>
      <w:r w:rsidRPr="00A61DFC">
        <w:rPr>
          <w:rFonts w:ascii="Open Sans Light" w:hAnsi="Open Sans Light" w:cs="Open Sans Light"/>
          <w:sz w:val="24"/>
          <w:szCs w:val="24"/>
          <w:lang w:val="es-ES"/>
        </w:rPr>
        <w:t>en 2012 a 13,138,648 soles en 2020. Nuevamente, esta variación no fue homogénea a nivel nacional. Mientras en departamentos como Tacna, Lima y Moquegua se tuvieron variaciones positivas de 1866%, 403% y 352</w:t>
      </w:r>
      <w:r w:rsidRPr="00D26390">
        <w:rPr>
          <w:rFonts w:ascii="Open Sans Light" w:hAnsi="Open Sans Light" w:cs="Open Sans Light"/>
          <w:sz w:val="24"/>
          <w:szCs w:val="24"/>
          <w:lang w:val="es-ES"/>
        </w:rPr>
        <w:t>%; en departamentos como Apurímac, La Libertad y Tumbes se tuvieron variaciones negativas de -98%, -99.7% y -100% respectivamente (</w:t>
      </w:r>
      <w:r w:rsidRPr="004D0E60">
        <w:rPr>
          <w:rFonts w:ascii="Open Sans Light" w:hAnsi="Open Sans Light" w:cs="Open Sans Light"/>
          <w:sz w:val="24"/>
          <w:szCs w:val="24"/>
          <w:lang w:val="es-ES"/>
        </w:rPr>
        <w:t xml:space="preserve">véase detalle en Anexo, </w:t>
      </w:r>
      <w:r w:rsidR="00350CDD" w:rsidRPr="004D0E60">
        <w:rPr>
          <w:rFonts w:ascii="Open Sans Light" w:hAnsi="Open Sans Light" w:cs="Open Sans Light"/>
          <w:sz w:val="24"/>
          <w:szCs w:val="24"/>
          <w:lang w:val="es-ES"/>
        </w:rPr>
        <w:t xml:space="preserve">Tabla </w:t>
      </w:r>
      <w:r w:rsidR="00BA20F3" w:rsidRPr="004D0E60">
        <w:rPr>
          <w:rFonts w:ascii="Open Sans Light" w:hAnsi="Open Sans Light" w:cs="Open Sans Light"/>
          <w:sz w:val="24"/>
          <w:szCs w:val="24"/>
          <w:lang w:val="es-ES"/>
        </w:rPr>
        <w:t>A.5</w:t>
      </w:r>
      <w:r w:rsidRPr="008515FE">
        <w:rPr>
          <w:rFonts w:ascii="Open Sans Light" w:hAnsi="Open Sans Light" w:cs="Open Sans Light"/>
          <w:sz w:val="24"/>
          <w:szCs w:val="24"/>
          <w:lang w:val="es-ES"/>
        </w:rPr>
        <w:t>).</w:t>
      </w:r>
    </w:p>
    <w:p w14:paraId="6E9CF2D9" w14:textId="675240B1" w:rsidR="00BC2848" w:rsidRPr="00A61DFC" w:rsidRDefault="00BC2848" w:rsidP="000E447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Finalmente, en referencia a la variación positiva de 25% en los niveles de ejecución presupuestal en el eje-categoría (v) –</w:t>
      </w:r>
      <w:r w:rsidRPr="00A61DFC">
        <w:rPr>
          <w:rFonts w:ascii="Open Sans Light" w:hAnsi="Open Sans Light" w:cs="Open Sans Light"/>
          <w:i/>
          <w:iCs/>
          <w:sz w:val="24"/>
          <w:szCs w:val="24"/>
          <w:lang w:val="es-ES"/>
        </w:rPr>
        <w:t>intervenciones en el ámbito educativo</w:t>
      </w:r>
      <w:r w:rsidRPr="00A61DFC">
        <w:rPr>
          <w:rFonts w:ascii="Open Sans Light" w:hAnsi="Open Sans Light" w:cs="Open Sans Light"/>
          <w:sz w:val="24"/>
          <w:szCs w:val="24"/>
          <w:lang w:val="es-ES"/>
        </w:rPr>
        <w:t xml:space="preserve">– se tomó como referente para el cálculo el incremento observado en el presupuesto </w:t>
      </w:r>
      <w:r w:rsidR="003A7893">
        <w:rPr>
          <w:rFonts w:ascii="Open Sans Light" w:hAnsi="Open Sans Light" w:cs="Open Sans Light"/>
          <w:sz w:val="24"/>
          <w:szCs w:val="24"/>
          <w:lang w:val="es-ES"/>
        </w:rPr>
        <w:t>dirigido</w:t>
      </w:r>
      <w:r w:rsidR="003A7893" w:rsidRPr="00A61DFC">
        <w:rPr>
          <w:rFonts w:ascii="Open Sans Light" w:hAnsi="Open Sans Light" w:cs="Open Sans Light"/>
          <w:sz w:val="24"/>
          <w:szCs w:val="24"/>
          <w:lang w:val="es-ES"/>
        </w:rPr>
        <w:t xml:space="preserve"> </w:t>
      </w:r>
      <w:r w:rsidRPr="00A61DFC">
        <w:rPr>
          <w:rFonts w:ascii="Open Sans Light" w:hAnsi="Open Sans Light" w:cs="Open Sans Light"/>
          <w:sz w:val="24"/>
          <w:szCs w:val="24"/>
          <w:lang w:val="es-ES"/>
        </w:rPr>
        <w:t xml:space="preserve">al Programa de Alimentación Escolar, de 958,755,971 soles en 2012 a 1,202,416,554 soles en 2020. Como es frecuente, la variación no fue homogénea a nivel nacional; teniéndose departamentos como Ucayali, Lima y Moquegua con variaciones positivas del nivel de 161%, 101% y 95% respectivamente, </w:t>
      </w:r>
      <w:r w:rsidR="00EF0CCC" w:rsidRPr="00A61DFC">
        <w:rPr>
          <w:rFonts w:ascii="Open Sans Light" w:hAnsi="Open Sans Light" w:cs="Open Sans Light"/>
          <w:sz w:val="24"/>
          <w:szCs w:val="24"/>
          <w:lang w:val="es-ES"/>
        </w:rPr>
        <w:t>y,</w:t>
      </w:r>
      <w:r w:rsidRPr="00A61DFC">
        <w:rPr>
          <w:rFonts w:ascii="Open Sans Light" w:hAnsi="Open Sans Light" w:cs="Open Sans Light"/>
          <w:sz w:val="24"/>
          <w:szCs w:val="24"/>
          <w:lang w:val="es-ES"/>
        </w:rPr>
        <w:t xml:space="preserve"> por otro lado, departamentos como Apurímac y Huancavelica, así </w:t>
      </w:r>
      <w:r w:rsidRPr="00D26390">
        <w:rPr>
          <w:rFonts w:ascii="Open Sans Light" w:hAnsi="Open Sans Light" w:cs="Open Sans Light"/>
          <w:sz w:val="24"/>
          <w:szCs w:val="24"/>
          <w:lang w:val="es-ES"/>
        </w:rPr>
        <w:t xml:space="preserve">como la provincia constitucional del Callao, con variaciones negativas del nivel de -25%, -27% y -100% respectivamente (véase Anexo, </w:t>
      </w:r>
      <w:r w:rsidR="00503829" w:rsidRPr="00D26390">
        <w:rPr>
          <w:rFonts w:ascii="Open Sans Light" w:hAnsi="Open Sans Light" w:cs="Open Sans Light"/>
          <w:sz w:val="24"/>
          <w:szCs w:val="24"/>
          <w:lang w:val="es-ES"/>
        </w:rPr>
        <w:t xml:space="preserve">Tabla </w:t>
      </w:r>
      <w:r w:rsidR="008515FE">
        <w:rPr>
          <w:rFonts w:ascii="Open Sans Light" w:hAnsi="Open Sans Light" w:cs="Open Sans Light"/>
          <w:sz w:val="24"/>
          <w:szCs w:val="24"/>
          <w:lang w:val="es-ES"/>
        </w:rPr>
        <w:t>A.</w:t>
      </w:r>
      <w:r w:rsidR="00D26390" w:rsidRPr="00D26390">
        <w:rPr>
          <w:rFonts w:ascii="Open Sans Light" w:hAnsi="Open Sans Light" w:cs="Open Sans Light"/>
          <w:sz w:val="24"/>
          <w:szCs w:val="24"/>
          <w:lang w:val="es-ES"/>
        </w:rPr>
        <w:t>6</w:t>
      </w:r>
      <w:r w:rsidRPr="00D26390">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1D5E5907" w14:textId="7B81BBE4" w:rsidR="009C1BBA" w:rsidRPr="004524D3" w:rsidRDefault="00BC2848" w:rsidP="004524D3">
      <w:pPr>
        <w:jc w:val="both"/>
        <w:rPr>
          <w:rFonts w:ascii="Open Sans Light" w:hAnsi="Open Sans Light" w:cs="Open Sans Light"/>
          <w:b/>
          <w:bCs/>
          <w:sz w:val="24"/>
          <w:szCs w:val="24"/>
          <w:lang w:val="es-ES"/>
        </w:rPr>
      </w:pPr>
      <w:r w:rsidRPr="00AB0448">
        <w:rPr>
          <w:rFonts w:ascii="Open Sans Light" w:hAnsi="Open Sans Light" w:cs="Open Sans Light"/>
          <w:b/>
          <w:bCs/>
          <w:sz w:val="24"/>
          <w:szCs w:val="24"/>
          <w:lang w:val="es-ES"/>
        </w:rPr>
        <w:t xml:space="preserve">Segunda Meta Emblemática. El 100% de niñas y niños peruanos de 3 a 5 años de edad accede a educación inicial de calidad. </w:t>
      </w:r>
    </w:p>
    <w:p w14:paraId="13924EF3" w14:textId="09AAAB56" w:rsidR="004524D3" w:rsidRPr="000E064A" w:rsidRDefault="004524D3" w:rsidP="004524D3">
      <w:pPr>
        <w:pStyle w:val="ESTILOTABLA"/>
        <w:rPr>
          <w:i w:val="0"/>
          <w:iCs/>
        </w:rPr>
      </w:pPr>
      <w:r w:rsidRPr="000E064A">
        <w:t xml:space="preserve">Tabla </w:t>
      </w:r>
      <w:fldSimple w:instr=" SEQ Tabla \* ARABIC ">
        <w:r w:rsidR="00846FB2">
          <w:rPr>
            <w:noProof/>
          </w:rPr>
          <w:t>6</w:t>
        </w:r>
      </w:fldSimple>
      <w:r w:rsidRPr="000E064A">
        <w:t xml:space="preserve">. </w:t>
      </w:r>
      <w:r w:rsidRPr="000E064A">
        <w:rPr>
          <w:rFonts w:eastAsia="Open Sans Light"/>
          <w:b/>
          <w:i w:val="0"/>
          <w:iCs/>
          <w:color w:val="000000"/>
          <w:szCs w:val="24"/>
        </w:rPr>
        <w:t xml:space="preserve">Balance para </w:t>
      </w:r>
      <w:r w:rsidR="004D0E60" w:rsidRPr="000E064A">
        <w:rPr>
          <w:rFonts w:eastAsia="Open Sans Light"/>
          <w:b/>
          <w:i w:val="0"/>
          <w:iCs/>
          <w:color w:val="000000"/>
          <w:szCs w:val="24"/>
        </w:rPr>
        <w:t xml:space="preserve">la </w:t>
      </w:r>
      <w:r w:rsidRPr="000E064A">
        <w:rPr>
          <w:rFonts w:eastAsia="Open Sans Light"/>
          <w:b/>
          <w:i w:val="0"/>
          <w:iCs/>
          <w:color w:val="000000"/>
          <w:szCs w:val="24"/>
        </w:rPr>
        <w:t>Segunda Meta Emblemática</w:t>
      </w:r>
    </w:p>
    <w:tbl>
      <w:tblPr>
        <w:tblW w:w="8440" w:type="dxa"/>
        <w:tblCellMar>
          <w:left w:w="70" w:type="dxa"/>
          <w:right w:w="70" w:type="dxa"/>
        </w:tblCellMar>
        <w:tblLook w:val="04A0" w:firstRow="1" w:lastRow="0" w:firstColumn="1" w:lastColumn="0" w:noHBand="0" w:noVBand="1"/>
      </w:tblPr>
      <w:tblGrid>
        <w:gridCol w:w="1020"/>
        <w:gridCol w:w="2820"/>
        <w:gridCol w:w="2300"/>
        <w:gridCol w:w="720"/>
        <w:gridCol w:w="1580"/>
      </w:tblGrid>
      <w:tr w:rsidR="00591357" w:rsidRPr="000E064A" w14:paraId="4B01E40C" w14:textId="77777777" w:rsidTr="00591357">
        <w:trPr>
          <w:trHeight w:val="480"/>
        </w:trPr>
        <w:tc>
          <w:tcPr>
            <w:tcW w:w="102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01817E91" w14:textId="77777777" w:rsidR="00591357" w:rsidRPr="000E064A" w:rsidRDefault="00591357" w:rsidP="00591357">
            <w:pPr>
              <w:spacing w:after="0" w:line="240" w:lineRule="auto"/>
              <w:rPr>
                <w:rFonts w:ascii="Open Sans Light" w:eastAsia="Times New Roman" w:hAnsi="Open Sans Light" w:cs="Open Sans Light"/>
                <w:b/>
                <w:bCs/>
                <w:color w:val="FFFFFF"/>
                <w:sz w:val="16"/>
                <w:szCs w:val="16"/>
                <w:lang w:val="es-PE"/>
              </w:rPr>
            </w:pPr>
            <w:r w:rsidRPr="000E064A">
              <w:rPr>
                <w:rFonts w:ascii="Open Sans Light" w:eastAsia="Times New Roman" w:hAnsi="Open Sans Light" w:cs="Open Sans Light"/>
                <w:b/>
                <w:bCs/>
                <w:color w:val="FFFFFF"/>
                <w:sz w:val="16"/>
                <w:szCs w:val="16"/>
                <w:lang w:val="es-PE"/>
              </w:rPr>
              <w:t>Objetivo Estratégico</w:t>
            </w:r>
          </w:p>
        </w:tc>
        <w:tc>
          <w:tcPr>
            <w:tcW w:w="2820" w:type="dxa"/>
            <w:tcBorders>
              <w:top w:val="single" w:sz="4" w:space="0" w:color="auto"/>
              <w:left w:val="nil"/>
              <w:bottom w:val="single" w:sz="4" w:space="0" w:color="auto"/>
              <w:right w:val="single" w:sz="4" w:space="0" w:color="auto"/>
            </w:tcBorders>
            <w:shd w:val="clear" w:color="000000" w:fill="000000"/>
            <w:vAlign w:val="center"/>
            <w:hideMark/>
          </w:tcPr>
          <w:p w14:paraId="5FE12324" w14:textId="77777777" w:rsidR="00591357" w:rsidRPr="000E064A" w:rsidRDefault="00591357" w:rsidP="00591357">
            <w:pPr>
              <w:spacing w:after="0" w:line="240" w:lineRule="auto"/>
              <w:rPr>
                <w:rFonts w:ascii="Open Sans Light" w:eastAsia="Times New Roman" w:hAnsi="Open Sans Light" w:cs="Open Sans Light"/>
                <w:b/>
                <w:bCs/>
                <w:color w:val="FFFFFF"/>
                <w:sz w:val="16"/>
                <w:szCs w:val="16"/>
                <w:lang w:val="es-PE"/>
              </w:rPr>
            </w:pPr>
            <w:r w:rsidRPr="000E064A">
              <w:rPr>
                <w:rFonts w:ascii="Open Sans Light" w:eastAsia="Times New Roman" w:hAnsi="Open Sans Light" w:cs="Open Sans Light"/>
                <w:b/>
                <w:bCs/>
                <w:color w:val="FFFFFF"/>
                <w:sz w:val="16"/>
                <w:szCs w:val="16"/>
                <w:lang w:val="es-PE"/>
              </w:rPr>
              <w:t>Resultado Esperado y Meta PNAIA 2012-2021</w:t>
            </w:r>
          </w:p>
        </w:tc>
        <w:tc>
          <w:tcPr>
            <w:tcW w:w="2300" w:type="dxa"/>
            <w:tcBorders>
              <w:top w:val="single" w:sz="4" w:space="0" w:color="auto"/>
              <w:left w:val="nil"/>
              <w:bottom w:val="single" w:sz="4" w:space="0" w:color="auto"/>
              <w:right w:val="single" w:sz="4" w:space="0" w:color="auto"/>
            </w:tcBorders>
            <w:shd w:val="clear" w:color="000000" w:fill="000000"/>
            <w:vAlign w:val="center"/>
            <w:hideMark/>
          </w:tcPr>
          <w:p w14:paraId="5B0E0B32" w14:textId="77777777" w:rsidR="00591357" w:rsidRPr="000E064A" w:rsidRDefault="00591357" w:rsidP="00591357">
            <w:pPr>
              <w:spacing w:after="0" w:line="240" w:lineRule="auto"/>
              <w:rPr>
                <w:rFonts w:ascii="Open Sans Light" w:eastAsia="Times New Roman" w:hAnsi="Open Sans Light" w:cs="Open Sans Light"/>
                <w:b/>
                <w:bCs/>
                <w:color w:val="FFFFFF"/>
                <w:sz w:val="16"/>
                <w:szCs w:val="16"/>
                <w:lang w:val="es-PE"/>
              </w:rPr>
            </w:pPr>
            <w:r w:rsidRPr="000E064A">
              <w:rPr>
                <w:rFonts w:ascii="Open Sans Light" w:eastAsia="Times New Roman" w:hAnsi="Open Sans Light" w:cs="Open Sans Light"/>
                <w:b/>
                <w:bCs/>
                <w:color w:val="FFFFFF"/>
                <w:sz w:val="16"/>
                <w:szCs w:val="16"/>
                <w:lang w:val="es-PE"/>
              </w:rPr>
              <w:t>Indicador priorizado</w:t>
            </w:r>
          </w:p>
        </w:tc>
        <w:tc>
          <w:tcPr>
            <w:tcW w:w="720" w:type="dxa"/>
            <w:tcBorders>
              <w:top w:val="single" w:sz="4" w:space="0" w:color="auto"/>
              <w:left w:val="nil"/>
              <w:bottom w:val="single" w:sz="4" w:space="0" w:color="auto"/>
              <w:right w:val="single" w:sz="4" w:space="0" w:color="auto"/>
            </w:tcBorders>
            <w:shd w:val="clear" w:color="000000" w:fill="000000"/>
            <w:vAlign w:val="center"/>
            <w:hideMark/>
          </w:tcPr>
          <w:p w14:paraId="44D070C7" w14:textId="77777777" w:rsidR="00591357" w:rsidRPr="000E064A" w:rsidRDefault="00591357" w:rsidP="00591357">
            <w:pPr>
              <w:spacing w:after="0" w:line="240" w:lineRule="auto"/>
              <w:rPr>
                <w:rFonts w:ascii="Open Sans Light" w:eastAsia="Times New Roman" w:hAnsi="Open Sans Light" w:cs="Open Sans Light"/>
                <w:b/>
                <w:bCs/>
                <w:color w:val="FFFFFF"/>
                <w:sz w:val="16"/>
                <w:szCs w:val="16"/>
                <w:lang w:val="es-PE"/>
              </w:rPr>
            </w:pPr>
            <w:r w:rsidRPr="000E064A">
              <w:rPr>
                <w:rFonts w:ascii="Open Sans Light" w:eastAsia="Times New Roman" w:hAnsi="Open Sans Light" w:cs="Open Sans Light"/>
                <w:b/>
                <w:bCs/>
                <w:color w:val="FFFFFF"/>
                <w:sz w:val="16"/>
                <w:szCs w:val="16"/>
                <w:lang w:val="es-PE"/>
              </w:rPr>
              <w:t>Estado</w:t>
            </w:r>
          </w:p>
        </w:tc>
        <w:tc>
          <w:tcPr>
            <w:tcW w:w="1580" w:type="dxa"/>
            <w:tcBorders>
              <w:top w:val="single" w:sz="4" w:space="0" w:color="auto"/>
              <w:left w:val="nil"/>
              <w:bottom w:val="single" w:sz="4" w:space="0" w:color="auto"/>
              <w:right w:val="single" w:sz="4" w:space="0" w:color="auto"/>
            </w:tcBorders>
            <w:shd w:val="clear" w:color="000000" w:fill="000000"/>
            <w:vAlign w:val="center"/>
            <w:hideMark/>
          </w:tcPr>
          <w:p w14:paraId="0B83668D" w14:textId="77777777" w:rsidR="00591357" w:rsidRPr="000E064A" w:rsidRDefault="00591357" w:rsidP="00591357">
            <w:pPr>
              <w:spacing w:after="0" w:line="240" w:lineRule="auto"/>
              <w:rPr>
                <w:rFonts w:ascii="Open Sans Light" w:eastAsia="Times New Roman" w:hAnsi="Open Sans Light" w:cs="Open Sans Light"/>
                <w:b/>
                <w:bCs/>
                <w:color w:val="FFFFFF"/>
                <w:sz w:val="16"/>
                <w:szCs w:val="16"/>
                <w:lang w:val="es-PE"/>
              </w:rPr>
            </w:pPr>
            <w:r w:rsidRPr="000E064A">
              <w:rPr>
                <w:rFonts w:ascii="Open Sans Light" w:eastAsia="Times New Roman" w:hAnsi="Open Sans Light" w:cs="Open Sans Light"/>
                <w:b/>
                <w:bCs/>
                <w:color w:val="FFFFFF"/>
                <w:sz w:val="16"/>
                <w:szCs w:val="16"/>
                <w:lang w:val="es-PE"/>
              </w:rPr>
              <w:t>% de avance</w:t>
            </w:r>
          </w:p>
        </w:tc>
      </w:tr>
      <w:tr w:rsidR="00591357" w:rsidRPr="000E064A" w14:paraId="1D1A96CE" w14:textId="77777777" w:rsidTr="00591357">
        <w:trPr>
          <w:trHeight w:val="960"/>
        </w:trPr>
        <w:tc>
          <w:tcPr>
            <w:tcW w:w="1020" w:type="dxa"/>
            <w:tcBorders>
              <w:top w:val="nil"/>
              <w:left w:val="single" w:sz="4" w:space="0" w:color="auto"/>
              <w:bottom w:val="single" w:sz="4" w:space="0" w:color="auto"/>
              <w:right w:val="single" w:sz="4" w:space="0" w:color="auto"/>
            </w:tcBorders>
            <w:shd w:val="clear" w:color="auto" w:fill="auto"/>
            <w:vAlign w:val="center"/>
            <w:hideMark/>
          </w:tcPr>
          <w:p w14:paraId="22967C60"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OE1</w:t>
            </w:r>
          </w:p>
        </w:tc>
        <w:tc>
          <w:tcPr>
            <w:tcW w:w="2820" w:type="dxa"/>
            <w:tcBorders>
              <w:top w:val="nil"/>
              <w:left w:val="nil"/>
              <w:bottom w:val="single" w:sz="4" w:space="0" w:color="auto"/>
              <w:right w:val="single" w:sz="4" w:space="0" w:color="auto"/>
            </w:tcBorders>
            <w:shd w:val="clear" w:color="auto" w:fill="auto"/>
            <w:vAlign w:val="center"/>
            <w:hideMark/>
          </w:tcPr>
          <w:p w14:paraId="022E2474"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RE4: Universalizar el acceso de niñas y niños de 3 a 5 años de edad a la educación inicial a la edad correspondiente, priorizando el ámbito rural</w:t>
            </w:r>
          </w:p>
        </w:tc>
        <w:tc>
          <w:tcPr>
            <w:tcW w:w="2300" w:type="dxa"/>
            <w:tcBorders>
              <w:top w:val="nil"/>
              <w:left w:val="nil"/>
              <w:bottom w:val="single" w:sz="4" w:space="0" w:color="auto"/>
              <w:right w:val="single" w:sz="4" w:space="0" w:color="auto"/>
            </w:tcBorders>
            <w:shd w:val="clear" w:color="auto" w:fill="auto"/>
            <w:vAlign w:val="center"/>
            <w:hideMark/>
          </w:tcPr>
          <w:p w14:paraId="3F3924BF" w14:textId="5F95C2BC"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Tasa neta de matrícula en educación inicial, del grupo de 3 a 5 años</w:t>
            </w:r>
          </w:p>
        </w:tc>
        <w:tc>
          <w:tcPr>
            <w:tcW w:w="720" w:type="dxa"/>
            <w:tcBorders>
              <w:top w:val="nil"/>
              <w:left w:val="nil"/>
              <w:bottom w:val="single" w:sz="4" w:space="0" w:color="auto"/>
              <w:right w:val="single" w:sz="4" w:space="0" w:color="auto"/>
            </w:tcBorders>
            <w:shd w:val="clear" w:color="auto" w:fill="auto"/>
            <w:vAlign w:val="center"/>
            <w:hideMark/>
          </w:tcPr>
          <w:p w14:paraId="0E438C7B"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No se cumplió</w:t>
            </w:r>
          </w:p>
        </w:tc>
        <w:tc>
          <w:tcPr>
            <w:tcW w:w="1580" w:type="dxa"/>
            <w:tcBorders>
              <w:top w:val="nil"/>
              <w:left w:val="nil"/>
              <w:bottom w:val="single" w:sz="4" w:space="0" w:color="auto"/>
              <w:right w:val="single" w:sz="4" w:space="0" w:color="auto"/>
            </w:tcBorders>
            <w:shd w:val="clear" w:color="auto" w:fill="auto"/>
            <w:vAlign w:val="center"/>
            <w:hideMark/>
          </w:tcPr>
          <w:p w14:paraId="5071140A" w14:textId="77777777" w:rsidR="00591357" w:rsidRPr="000E064A" w:rsidRDefault="00591357" w:rsidP="00591357">
            <w:pPr>
              <w:spacing w:after="0" w:line="240" w:lineRule="auto"/>
              <w:jc w:val="right"/>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11.1%</w:t>
            </w:r>
          </w:p>
        </w:tc>
      </w:tr>
      <w:tr w:rsidR="00591357" w:rsidRPr="000E064A" w14:paraId="0E1FADA5" w14:textId="77777777" w:rsidTr="00591357">
        <w:trPr>
          <w:trHeight w:val="720"/>
        </w:trPr>
        <w:tc>
          <w:tcPr>
            <w:tcW w:w="3840" w:type="dxa"/>
            <w:gridSpan w:val="2"/>
            <w:tcBorders>
              <w:top w:val="single" w:sz="4" w:space="0" w:color="auto"/>
              <w:left w:val="single" w:sz="4" w:space="0" w:color="auto"/>
              <w:bottom w:val="single" w:sz="4" w:space="0" w:color="auto"/>
              <w:right w:val="single" w:sz="4" w:space="0" w:color="auto"/>
            </w:tcBorders>
            <w:shd w:val="clear" w:color="000000" w:fill="000000"/>
            <w:vAlign w:val="center"/>
            <w:hideMark/>
          </w:tcPr>
          <w:p w14:paraId="20182824" w14:textId="77777777" w:rsidR="00591357" w:rsidRPr="000E064A" w:rsidRDefault="00591357" w:rsidP="00591357">
            <w:pPr>
              <w:spacing w:after="0" w:line="240" w:lineRule="auto"/>
              <w:rPr>
                <w:rFonts w:ascii="Open Sans Light" w:eastAsia="Times New Roman" w:hAnsi="Open Sans Light" w:cs="Open Sans Light"/>
                <w:b/>
                <w:bCs/>
                <w:color w:val="FFFFFF"/>
                <w:sz w:val="16"/>
                <w:szCs w:val="16"/>
                <w:lang w:val="es-PE"/>
              </w:rPr>
            </w:pPr>
            <w:r w:rsidRPr="000E064A">
              <w:rPr>
                <w:rFonts w:ascii="Open Sans Light" w:eastAsia="Times New Roman" w:hAnsi="Open Sans Light" w:cs="Open Sans Light"/>
                <w:b/>
                <w:bCs/>
                <w:color w:val="FFFFFF"/>
                <w:sz w:val="16"/>
                <w:szCs w:val="16"/>
                <w:lang w:val="es-PE"/>
              </w:rPr>
              <w:t>Categoría</w:t>
            </w:r>
          </w:p>
        </w:tc>
        <w:tc>
          <w:tcPr>
            <w:tcW w:w="3020" w:type="dxa"/>
            <w:gridSpan w:val="2"/>
            <w:tcBorders>
              <w:top w:val="single" w:sz="4" w:space="0" w:color="auto"/>
              <w:left w:val="nil"/>
              <w:bottom w:val="single" w:sz="4" w:space="0" w:color="auto"/>
              <w:right w:val="single" w:sz="4" w:space="0" w:color="auto"/>
            </w:tcBorders>
            <w:shd w:val="clear" w:color="000000" w:fill="000000"/>
            <w:vAlign w:val="center"/>
            <w:hideMark/>
          </w:tcPr>
          <w:p w14:paraId="59C8B59C" w14:textId="77777777" w:rsidR="00591357" w:rsidRPr="000E064A" w:rsidRDefault="00591357" w:rsidP="00591357">
            <w:pPr>
              <w:spacing w:after="0" w:line="240" w:lineRule="auto"/>
              <w:rPr>
                <w:rFonts w:ascii="Open Sans Light" w:eastAsia="Times New Roman" w:hAnsi="Open Sans Light" w:cs="Open Sans Light"/>
                <w:b/>
                <w:bCs/>
                <w:color w:val="FFFFFF"/>
                <w:sz w:val="16"/>
                <w:szCs w:val="16"/>
                <w:lang w:val="es-PE"/>
              </w:rPr>
            </w:pPr>
            <w:r w:rsidRPr="000E064A">
              <w:rPr>
                <w:rFonts w:ascii="Open Sans Light" w:eastAsia="Times New Roman" w:hAnsi="Open Sans Light" w:cs="Open Sans Light"/>
                <w:b/>
                <w:bCs/>
                <w:color w:val="FFFFFF"/>
                <w:sz w:val="16"/>
                <w:szCs w:val="16"/>
                <w:lang w:val="es-PE"/>
              </w:rPr>
              <w:t xml:space="preserve">Medio de verificación </w:t>
            </w:r>
          </w:p>
        </w:tc>
        <w:tc>
          <w:tcPr>
            <w:tcW w:w="1580" w:type="dxa"/>
            <w:tcBorders>
              <w:top w:val="nil"/>
              <w:left w:val="nil"/>
              <w:bottom w:val="single" w:sz="4" w:space="0" w:color="auto"/>
              <w:right w:val="single" w:sz="4" w:space="0" w:color="auto"/>
            </w:tcBorders>
            <w:shd w:val="clear" w:color="000000" w:fill="000000"/>
            <w:vAlign w:val="center"/>
            <w:hideMark/>
          </w:tcPr>
          <w:p w14:paraId="03EBF4EC" w14:textId="77777777" w:rsidR="00591357" w:rsidRPr="000E064A" w:rsidRDefault="00591357" w:rsidP="00591357">
            <w:pPr>
              <w:spacing w:after="0" w:line="240" w:lineRule="auto"/>
              <w:rPr>
                <w:rFonts w:ascii="Open Sans Light" w:eastAsia="Times New Roman" w:hAnsi="Open Sans Light" w:cs="Open Sans Light"/>
                <w:b/>
                <w:bCs/>
                <w:color w:val="FFFFFF"/>
                <w:sz w:val="16"/>
                <w:szCs w:val="16"/>
                <w:lang w:val="es-PE"/>
              </w:rPr>
            </w:pPr>
            <w:r w:rsidRPr="000E064A">
              <w:rPr>
                <w:rFonts w:ascii="Open Sans Light" w:eastAsia="Times New Roman" w:hAnsi="Open Sans Light" w:cs="Open Sans Light"/>
                <w:b/>
                <w:bCs/>
                <w:color w:val="FFFFFF"/>
                <w:sz w:val="16"/>
                <w:szCs w:val="16"/>
                <w:lang w:val="es-PE"/>
              </w:rPr>
              <w:t>% var. en ejecución presupuestal</w:t>
            </w:r>
          </w:p>
        </w:tc>
      </w:tr>
      <w:tr w:rsidR="00591357" w:rsidRPr="000E064A" w14:paraId="1E6B0185" w14:textId="77777777" w:rsidTr="00591357">
        <w:trPr>
          <w:trHeight w:val="408"/>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0555759"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Promoción de normativa y lineamientos</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1504EB51"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Informes Anuales del PNAIA 2012 – 2021</w:t>
            </w:r>
          </w:p>
        </w:tc>
        <w:tc>
          <w:tcPr>
            <w:tcW w:w="1580" w:type="dxa"/>
            <w:tcBorders>
              <w:top w:val="nil"/>
              <w:left w:val="nil"/>
              <w:bottom w:val="single" w:sz="4" w:space="0" w:color="auto"/>
              <w:right w:val="single" w:sz="4" w:space="0" w:color="auto"/>
            </w:tcBorders>
            <w:shd w:val="clear" w:color="auto" w:fill="auto"/>
            <w:vAlign w:val="center"/>
            <w:hideMark/>
          </w:tcPr>
          <w:p w14:paraId="78C4512C" w14:textId="77777777" w:rsidR="00591357" w:rsidRPr="000E064A" w:rsidRDefault="00591357" w:rsidP="00591357">
            <w:pPr>
              <w:spacing w:after="0" w:line="240" w:lineRule="auto"/>
              <w:jc w:val="right"/>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no aplica</w:t>
            </w:r>
          </w:p>
        </w:tc>
      </w:tr>
      <w:tr w:rsidR="00591357" w:rsidRPr="000E064A" w14:paraId="0499424A" w14:textId="77777777" w:rsidTr="00591357">
        <w:trPr>
          <w:trHeight w:val="408"/>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A25FA9A"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Promoción de la Salud</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6E0B8AA8"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Programa de Alimentación Escolar</w:t>
            </w:r>
          </w:p>
        </w:tc>
        <w:tc>
          <w:tcPr>
            <w:tcW w:w="1580" w:type="dxa"/>
            <w:tcBorders>
              <w:top w:val="nil"/>
              <w:left w:val="nil"/>
              <w:bottom w:val="single" w:sz="4" w:space="0" w:color="auto"/>
              <w:right w:val="single" w:sz="4" w:space="0" w:color="auto"/>
            </w:tcBorders>
            <w:shd w:val="clear" w:color="auto" w:fill="auto"/>
            <w:vAlign w:val="center"/>
            <w:hideMark/>
          </w:tcPr>
          <w:p w14:paraId="4BD34F62" w14:textId="77777777" w:rsidR="00591357" w:rsidRPr="000E064A" w:rsidRDefault="00591357" w:rsidP="00591357">
            <w:pPr>
              <w:spacing w:after="0" w:line="240" w:lineRule="auto"/>
              <w:jc w:val="right"/>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25%</w:t>
            </w:r>
          </w:p>
        </w:tc>
      </w:tr>
      <w:tr w:rsidR="00591357" w:rsidRPr="004D0E60" w14:paraId="6C61BCE1" w14:textId="77777777" w:rsidTr="00591357">
        <w:trPr>
          <w:trHeight w:val="732"/>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90C2A4"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Promoción de la Salud</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7A87B211"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Programa Presupuestal “Acceso de la población a los servicios educativos públicos de la educación básica”</w:t>
            </w:r>
          </w:p>
        </w:tc>
        <w:tc>
          <w:tcPr>
            <w:tcW w:w="1580" w:type="dxa"/>
            <w:tcBorders>
              <w:top w:val="nil"/>
              <w:left w:val="nil"/>
              <w:bottom w:val="single" w:sz="4" w:space="0" w:color="auto"/>
              <w:right w:val="single" w:sz="4" w:space="0" w:color="auto"/>
            </w:tcBorders>
            <w:shd w:val="clear" w:color="auto" w:fill="auto"/>
            <w:vAlign w:val="center"/>
            <w:hideMark/>
          </w:tcPr>
          <w:p w14:paraId="42C721A0" w14:textId="77777777" w:rsidR="00591357" w:rsidRPr="000E064A" w:rsidRDefault="00591357" w:rsidP="00591357">
            <w:pPr>
              <w:spacing w:after="0" w:line="240" w:lineRule="auto"/>
              <w:jc w:val="right"/>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-22%</w:t>
            </w:r>
          </w:p>
        </w:tc>
      </w:tr>
      <w:tr w:rsidR="00591357" w:rsidRPr="004D0E60" w14:paraId="25D18630" w14:textId="77777777" w:rsidTr="00591357">
        <w:trPr>
          <w:trHeight w:val="1164"/>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98080F"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lastRenderedPageBreak/>
              <w:t>Fortalecimiento de la calidad del servicio en la educación inicial</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6F7A1F42"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PP 0090 “Logros de aprendizaje de estudiantes de la educación básica regular”: Producto “Docentes preparados implementan el currículo”</w:t>
            </w:r>
          </w:p>
        </w:tc>
        <w:tc>
          <w:tcPr>
            <w:tcW w:w="1580" w:type="dxa"/>
            <w:tcBorders>
              <w:top w:val="nil"/>
              <w:left w:val="nil"/>
              <w:bottom w:val="single" w:sz="4" w:space="0" w:color="auto"/>
              <w:right w:val="single" w:sz="4" w:space="0" w:color="auto"/>
            </w:tcBorders>
            <w:shd w:val="clear" w:color="auto" w:fill="auto"/>
            <w:vAlign w:val="center"/>
            <w:hideMark/>
          </w:tcPr>
          <w:p w14:paraId="3B0E11E6" w14:textId="77777777" w:rsidR="00591357" w:rsidRPr="000E064A" w:rsidRDefault="00591357" w:rsidP="00591357">
            <w:pPr>
              <w:spacing w:after="0" w:line="240" w:lineRule="auto"/>
              <w:jc w:val="right"/>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-52%</w:t>
            </w:r>
          </w:p>
        </w:tc>
      </w:tr>
      <w:tr w:rsidR="00591357" w:rsidRPr="004D0E60" w14:paraId="72B18066" w14:textId="77777777" w:rsidTr="00591357">
        <w:trPr>
          <w:trHeight w:val="1332"/>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215ACE9"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Incrementar la asistencia y matrícula en educación inicial</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44975FCE"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Programa Presupuestal Cuna Mas – PP 0098: Producto “Familias acceden a acompañamiento en cuidado y aprendizaje de sus niños y niñas menores de 36 meses, que viven en situación de pobreza y extrema pobreza en zonas rurales”</w:t>
            </w:r>
          </w:p>
        </w:tc>
        <w:tc>
          <w:tcPr>
            <w:tcW w:w="1580" w:type="dxa"/>
            <w:tcBorders>
              <w:top w:val="nil"/>
              <w:left w:val="nil"/>
              <w:bottom w:val="single" w:sz="4" w:space="0" w:color="auto"/>
              <w:right w:val="single" w:sz="4" w:space="0" w:color="auto"/>
            </w:tcBorders>
            <w:shd w:val="clear" w:color="auto" w:fill="auto"/>
            <w:vAlign w:val="center"/>
            <w:hideMark/>
          </w:tcPr>
          <w:p w14:paraId="7E4330BB" w14:textId="77777777" w:rsidR="00591357" w:rsidRPr="000E064A" w:rsidRDefault="00591357" w:rsidP="00591357">
            <w:pPr>
              <w:spacing w:after="0" w:line="240" w:lineRule="auto"/>
              <w:jc w:val="right"/>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542%</w:t>
            </w:r>
          </w:p>
        </w:tc>
      </w:tr>
      <w:tr w:rsidR="00591357" w:rsidRPr="00591357" w14:paraId="41F781B7" w14:textId="77777777" w:rsidTr="00591357">
        <w:trPr>
          <w:trHeight w:val="408"/>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E97BCAC"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Prevención de la violencia entre pares</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3E2DD073" w14:textId="77777777" w:rsidR="00591357" w:rsidRPr="000E064A" w:rsidRDefault="00591357" w:rsidP="00591357">
            <w:pPr>
              <w:spacing w:after="0" w:line="240" w:lineRule="auto"/>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rPr>
              <w:t>S/D</w:t>
            </w:r>
          </w:p>
        </w:tc>
        <w:tc>
          <w:tcPr>
            <w:tcW w:w="1580" w:type="dxa"/>
            <w:tcBorders>
              <w:top w:val="nil"/>
              <w:left w:val="nil"/>
              <w:bottom w:val="single" w:sz="4" w:space="0" w:color="auto"/>
              <w:right w:val="single" w:sz="4" w:space="0" w:color="auto"/>
            </w:tcBorders>
            <w:shd w:val="clear" w:color="auto" w:fill="auto"/>
            <w:vAlign w:val="center"/>
            <w:hideMark/>
          </w:tcPr>
          <w:p w14:paraId="7EA2ADEE" w14:textId="77777777" w:rsidR="00591357" w:rsidRPr="000E064A" w:rsidRDefault="00591357" w:rsidP="00591357">
            <w:pPr>
              <w:spacing w:after="0" w:line="240" w:lineRule="auto"/>
              <w:jc w:val="right"/>
              <w:rPr>
                <w:rFonts w:ascii="Open Sans Light" w:eastAsia="Times New Roman" w:hAnsi="Open Sans Light" w:cs="Open Sans Light"/>
                <w:color w:val="000000"/>
                <w:sz w:val="16"/>
                <w:szCs w:val="16"/>
                <w:lang w:val="es-PE"/>
              </w:rPr>
            </w:pPr>
            <w:r w:rsidRPr="000E064A">
              <w:rPr>
                <w:rFonts w:ascii="Open Sans Light" w:eastAsia="Times New Roman" w:hAnsi="Open Sans Light" w:cs="Open Sans Light"/>
                <w:color w:val="000000"/>
                <w:sz w:val="16"/>
                <w:szCs w:val="16"/>
                <w:lang w:val="es-PE"/>
              </w:rPr>
              <w:t>S/D</w:t>
            </w:r>
          </w:p>
        </w:tc>
      </w:tr>
    </w:tbl>
    <w:p w14:paraId="0153885E" w14:textId="6DA48682" w:rsidR="00BC2848" w:rsidRPr="00A61DFC" w:rsidRDefault="00BC2848" w:rsidP="004524D3">
      <w:pPr>
        <w:spacing w:before="240"/>
        <w:jc w:val="both"/>
        <w:rPr>
          <w:rFonts w:ascii="Open Sans Light" w:hAnsi="Open Sans Light" w:cs="Open Sans Light"/>
          <w:sz w:val="24"/>
          <w:szCs w:val="24"/>
          <w:lang w:val="es-ES"/>
        </w:rPr>
      </w:pPr>
      <w:r w:rsidRPr="00AB0448">
        <w:rPr>
          <w:rFonts w:ascii="Open Sans Light" w:hAnsi="Open Sans Light" w:cs="Open Sans Light"/>
          <w:sz w:val="24"/>
          <w:szCs w:val="24"/>
          <w:lang w:val="es-ES"/>
        </w:rPr>
        <w:t xml:space="preserve">La segunda meta está vinculada al Resultado Esperado 4 del </w:t>
      </w:r>
      <w:r w:rsidR="00D979D4" w:rsidRPr="00AB0448">
        <w:rPr>
          <w:rFonts w:ascii="Open Sans Light" w:hAnsi="Open Sans Light" w:cs="Open Sans Light"/>
          <w:sz w:val="24"/>
          <w:szCs w:val="24"/>
          <w:lang w:val="es-ES"/>
        </w:rPr>
        <w:t>PNAIA 2012 – 2021</w:t>
      </w:r>
      <w:r w:rsidRPr="00AB0448">
        <w:rPr>
          <w:rFonts w:ascii="Open Sans Light" w:hAnsi="Open Sans Light" w:cs="Open Sans Light"/>
          <w:sz w:val="24"/>
          <w:szCs w:val="24"/>
          <w:lang w:val="es-ES"/>
        </w:rPr>
        <w:t xml:space="preserve">, el cual busca universalizar el acceso de niñas y niños de 3 a 5 años de edad a la educación inicial a la edad correspondiente, priorizando el ámbito rural. Para lograrlo se plantearon 11 estrategias de </w:t>
      </w:r>
      <w:r w:rsidRPr="00D26390">
        <w:rPr>
          <w:rFonts w:ascii="Open Sans Light" w:hAnsi="Open Sans Light" w:cs="Open Sans Light"/>
          <w:sz w:val="24"/>
          <w:szCs w:val="24"/>
          <w:lang w:val="es-ES"/>
        </w:rPr>
        <w:t xml:space="preserve">implementación agrupadas en 6 categorías </w:t>
      </w:r>
      <w:r w:rsidRPr="008515FE">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w:t>
      </w:r>
      <w:r w:rsidR="000E3104" w:rsidRPr="004D0E60">
        <w:rPr>
          <w:rFonts w:ascii="Open Sans Light" w:hAnsi="Open Sans Light" w:cs="Open Sans Light"/>
          <w:sz w:val="24"/>
          <w:szCs w:val="24"/>
          <w:lang w:val="es-ES"/>
        </w:rPr>
        <w:t xml:space="preserve">Tabla </w:t>
      </w:r>
      <w:r w:rsidR="008515FE">
        <w:rPr>
          <w:rFonts w:ascii="Open Sans Light" w:hAnsi="Open Sans Light" w:cs="Open Sans Light"/>
          <w:sz w:val="24"/>
          <w:szCs w:val="24"/>
          <w:lang w:val="es-ES"/>
        </w:rPr>
        <w:t>A.</w:t>
      </w:r>
      <w:r w:rsidR="008515FE" w:rsidRPr="004D0E60">
        <w:rPr>
          <w:rFonts w:ascii="Open Sans Light" w:hAnsi="Open Sans Light" w:cs="Open Sans Light"/>
          <w:sz w:val="24"/>
          <w:szCs w:val="24"/>
          <w:lang w:val="es-ES"/>
        </w:rPr>
        <w:t>7</w:t>
      </w:r>
      <w:r w:rsidRPr="008515FE">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7CA3288E" w14:textId="4ED15816" w:rsidR="00BC2848" w:rsidRPr="00A61DFC" w:rsidRDefault="00BC2848" w:rsidP="00BC284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Respecto a los 6 ejes-categoría –</w:t>
      </w:r>
      <w:r w:rsidRPr="00A61DFC">
        <w:rPr>
          <w:rFonts w:ascii="Open Sans Light" w:hAnsi="Open Sans Light" w:cs="Open Sans Light"/>
          <w:i/>
          <w:iCs/>
          <w:sz w:val="24"/>
          <w:szCs w:val="24"/>
          <w:lang w:val="es-ES"/>
        </w:rPr>
        <w:t>(i) promoción de normativa y lineamientos, (ii) promoción de la salud, (iii) incremento de la cobertura del servicio de educación inicial, (iv) fortalecimiento de la calidad del servicio en la educación inicial, (v) incrementar la asistencia y matrícula en educación inicial y (vi) prevención de la violencia entre pares</w:t>
      </w:r>
      <w:r w:rsidRPr="00A61DFC">
        <w:rPr>
          <w:rFonts w:ascii="Open Sans Light" w:hAnsi="Open Sans Light" w:cs="Open Sans Light"/>
          <w:sz w:val="24"/>
          <w:szCs w:val="24"/>
          <w:lang w:val="es-ES"/>
        </w:rPr>
        <w:t>–, la información disponible sugiere que se cumplió con los ejes-categoría (i), (ii) y (v). Por el contrario, no se habrían cumplido con los ejes-categoría (iii) y (iv) debido a reducciones en la ejecución presupuestaria. Finalmente, no se tiene suficiente información para realizar afirmaciones respecto al eje-categoría (vi). Los niveles de variación en la ejecución presupuestal entre los años 2012 y 2020 para los ejes-categoría (ii), (iii), (iv) y (v) son de 25%, -22%, -52% y 542% res</w:t>
      </w:r>
      <w:r w:rsidRPr="00D26390">
        <w:rPr>
          <w:rFonts w:ascii="Open Sans Light" w:hAnsi="Open Sans Light" w:cs="Open Sans Light"/>
          <w:sz w:val="24"/>
          <w:szCs w:val="24"/>
          <w:lang w:val="es-ES"/>
        </w:rPr>
        <w:t xml:space="preserve">pectivamente (véase detalle en Anexo, </w:t>
      </w:r>
      <w:r w:rsidR="0013245C" w:rsidRPr="00D26390">
        <w:rPr>
          <w:rFonts w:ascii="Open Sans Light" w:hAnsi="Open Sans Light" w:cs="Open Sans Light"/>
          <w:sz w:val="24"/>
          <w:szCs w:val="24"/>
          <w:lang w:val="es-ES"/>
        </w:rPr>
        <w:t xml:space="preserve">Tabla </w:t>
      </w:r>
      <w:r w:rsidR="008515FE">
        <w:rPr>
          <w:rFonts w:ascii="Open Sans Light" w:hAnsi="Open Sans Light" w:cs="Open Sans Light"/>
          <w:sz w:val="24"/>
          <w:szCs w:val="24"/>
          <w:lang w:val="es-ES"/>
        </w:rPr>
        <w:t>A.</w:t>
      </w:r>
      <w:r w:rsidR="008515FE" w:rsidRPr="00D26390">
        <w:rPr>
          <w:rFonts w:ascii="Open Sans Light" w:hAnsi="Open Sans Light" w:cs="Open Sans Light"/>
          <w:sz w:val="24"/>
          <w:szCs w:val="24"/>
          <w:lang w:val="es-ES"/>
        </w:rPr>
        <w:t>8</w:t>
      </w:r>
      <w:r w:rsidRPr="00D26390">
        <w:rPr>
          <w:rFonts w:ascii="Open Sans Light" w:hAnsi="Open Sans Light" w:cs="Open Sans Light"/>
          <w:sz w:val="24"/>
          <w:szCs w:val="24"/>
          <w:lang w:val="es-ES"/>
        </w:rPr>
        <w:t>). Finalmente, la tasa neta de matrícula</w:t>
      </w:r>
      <w:r w:rsidRPr="00A61DFC">
        <w:rPr>
          <w:rFonts w:ascii="Open Sans Light" w:hAnsi="Open Sans Light" w:cs="Open Sans Light"/>
          <w:sz w:val="24"/>
          <w:szCs w:val="24"/>
          <w:lang w:val="es-ES"/>
        </w:rPr>
        <w:t xml:space="preserve"> en educación inicial, del grupo de 3 a 5 </w:t>
      </w:r>
      <w:r w:rsidR="000B0A56" w:rsidRPr="00A61DFC">
        <w:rPr>
          <w:rFonts w:ascii="Open Sans Light" w:hAnsi="Open Sans Light" w:cs="Open Sans Light"/>
          <w:sz w:val="24"/>
          <w:szCs w:val="24"/>
          <w:lang w:val="es-ES"/>
        </w:rPr>
        <w:t>años</w:t>
      </w:r>
      <w:r w:rsidRPr="00A61DFC">
        <w:rPr>
          <w:rFonts w:ascii="Open Sans Light" w:hAnsi="Open Sans Light" w:cs="Open Sans Light"/>
          <w:sz w:val="24"/>
          <w:szCs w:val="24"/>
          <w:lang w:val="es-ES"/>
        </w:rPr>
        <w:t>, ha tenido un</w:t>
      </w:r>
      <w:r w:rsidR="00A216EF">
        <w:rPr>
          <w:rFonts w:ascii="Open Sans Light" w:hAnsi="Open Sans Light" w:cs="Open Sans Light"/>
          <w:sz w:val="24"/>
          <w:szCs w:val="24"/>
          <w:lang w:val="es-ES"/>
        </w:rPr>
        <w:t>a</w:t>
      </w:r>
      <w:r w:rsidRPr="00A61DFC">
        <w:rPr>
          <w:rFonts w:ascii="Open Sans Light" w:hAnsi="Open Sans Light" w:cs="Open Sans Light"/>
          <w:sz w:val="24"/>
          <w:szCs w:val="24"/>
          <w:lang w:val="es-ES"/>
        </w:rPr>
        <w:t xml:space="preserve"> fuerte </w:t>
      </w:r>
      <w:r w:rsidR="00A216EF">
        <w:rPr>
          <w:rFonts w:ascii="Open Sans Light" w:hAnsi="Open Sans Light" w:cs="Open Sans Light"/>
          <w:sz w:val="24"/>
          <w:szCs w:val="24"/>
          <w:lang w:val="es-ES"/>
        </w:rPr>
        <w:t>reducción</w:t>
      </w:r>
      <w:r w:rsidRPr="00A61DFC">
        <w:rPr>
          <w:rFonts w:ascii="Open Sans Light" w:hAnsi="Open Sans Light" w:cs="Open Sans Light"/>
          <w:sz w:val="24"/>
          <w:szCs w:val="24"/>
          <w:lang w:val="es-ES"/>
        </w:rPr>
        <w:t>; desde 84.3% en 2019 hasta 74.3% en 2020</w:t>
      </w:r>
      <w:r w:rsidR="005C2651" w:rsidRPr="00A61DFC">
        <w:rPr>
          <w:rFonts w:ascii="Open Sans Light" w:hAnsi="Open Sans Light" w:cs="Open Sans Light"/>
          <w:sz w:val="24"/>
          <w:szCs w:val="24"/>
          <w:lang w:val="es-ES"/>
        </w:rPr>
        <w:t xml:space="preserve"> (véase detalle gráfico 15).</w:t>
      </w:r>
    </w:p>
    <w:p w14:paraId="34B1A258" w14:textId="0BF9909B"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En referencia al primer eje-categoría –</w:t>
      </w:r>
      <w:r w:rsidRPr="00A61DFC">
        <w:rPr>
          <w:rFonts w:ascii="Open Sans Light" w:hAnsi="Open Sans Light" w:cs="Open Sans Light"/>
          <w:i/>
          <w:iCs/>
          <w:sz w:val="24"/>
          <w:szCs w:val="24"/>
          <w:lang w:val="es-ES"/>
        </w:rPr>
        <w:t>promoción de normativa y lineamientos</w:t>
      </w:r>
      <w:r w:rsidRPr="00A61DFC">
        <w:rPr>
          <w:rFonts w:ascii="Open Sans Light" w:hAnsi="Open Sans Light" w:cs="Open Sans Light"/>
          <w:sz w:val="24"/>
          <w:szCs w:val="24"/>
          <w:lang w:val="es-ES"/>
        </w:rPr>
        <w:t>– se resalta la emisión de 22 normas vinculadas a la implementación y ordenamiento de servicios en la educación inicial</w:t>
      </w:r>
      <w:r w:rsidR="000A4C48" w:rsidRPr="00A61DFC">
        <w:rPr>
          <w:rFonts w:ascii="Open Sans Light" w:hAnsi="Open Sans Light" w:cs="Open Sans Light"/>
          <w:sz w:val="24"/>
          <w:szCs w:val="24"/>
          <w:lang w:val="es-ES"/>
        </w:rPr>
        <w:t>.</w:t>
      </w:r>
    </w:p>
    <w:p w14:paraId="1DADD726" w14:textId="0E9C9CA1"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Con relación a la variación positiva de 25% en el presupuesto ejecutado entre los años 2012 y 2020 para el eje categoría (ii) –</w:t>
      </w:r>
      <w:r w:rsidRPr="00A61DFC">
        <w:rPr>
          <w:rFonts w:ascii="Open Sans Light" w:hAnsi="Open Sans Light" w:cs="Open Sans Light"/>
          <w:i/>
          <w:iCs/>
          <w:sz w:val="24"/>
          <w:szCs w:val="24"/>
          <w:lang w:val="es-ES"/>
        </w:rPr>
        <w:t>promoción de la salud</w:t>
      </w:r>
      <w:r w:rsidRPr="00A61DFC">
        <w:rPr>
          <w:rFonts w:ascii="Open Sans Light" w:hAnsi="Open Sans Light" w:cs="Open Sans Light"/>
          <w:sz w:val="24"/>
          <w:szCs w:val="24"/>
          <w:lang w:val="es-ES"/>
        </w:rPr>
        <w:t xml:space="preserve">– se resalta que este eje-categoría </w:t>
      </w:r>
      <w:r w:rsidR="00A216EF">
        <w:rPr>
          <w:rFonts w:ascii="Open Sans Light" w:hAnsi="Open Sans Light" w:cs="Open Sans Light"/>
          <w:sz w:val="24"/>
          <w:szCs w:val="24"/>
          <w:lang w:val="es-ES"/>
        </w:rPr>
        <w:t>se relaciona</w:t>
      </w:r>
      <w:r w:rsidR="00A216EF" w:rsidRPr="00A61DFC">
        <w:rPr>
          <w:rFonts w:ascii="Open Sans Light" w:hAnsi="Open Sans Light" w:cs="Open Sans Light"/>
          <w:sz w:val="24"/>
          <w:szCs w:val="24"/>
          <w:lang w:val="es-ES"/>
        </w:rPr>
        <w:t xml:space="preserve"> </w:t>
      </w:r>
      <w:r w:rsidRPr="00A61DFC">
        <w:rPr>
          <w:rFonts w:ascii="Open Sans Light" w:hAnsi="Open Sans Light" w:cs="Open Sans Light"/>
          <w:sz w:val="24"/>
          <w:szCs w:val="24"/>
          <w:lang w:val="es-ES"/>
        </w:rPr>
        <w:t xml:space="preserve">perfectamente con el eje-categoría (v) de la Meta Emblemática 1. </w:t>
      </w:r>
    </w:p>
    <w:p w14:paraId="2E4E49C5" w14:textId="502D1477" w:rsidR="00254CC9"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lastRenderedPageBreak/>
        <w:t>En torno a la variación negativa de -22% en la ejecución presupuestal entre los años 2013 y 2020 para el eje-categoría (iii) –</w:t>
      </w:r>
      <w:r w:rsidRPr="00A61DFC">
        <w:rPr>
          <w:rFonts w:ascii="Open Sans Light" w:hAnsi="Open Sans Light" w:cs="Open Sans Light"/>
          <w:i/>
          <w:iCs/>
          <w:sz w:val="24"/>
          <w:szCs w:val="24"/>
          <w:lang w:val="es-ES"/>
        </w:rPr>
        <w:t>incremento de la cobertura del servicio de educación inicial</w:t>
      </w:r>
      <w:r w:rsidRPr="00A61DFC">
        <w:rPr>
          <w:rFonts w:ascii="Open Sans Light" w:hAnsi="Open Sans Light" w:cs="Open Sans Light"/>
          <w:sz w:val="24"/>
          <w:szCs w:val="24"/>
          <w:lang w:val="es-ES"/>
        </w:rPr>
        <w:t>– es necesario resaltar que se consideró el Programa Presupuestal “Acceso de la población a los servicios educativos públicos de la educación básica”. Así, se tiene que, de 8,700,490 soles</w:t>
      </w:r>
      <w:r w:rsidR="003A7893">
        <w:rPr>
          <w:rFonts w:ascii="Open Sans Light" w:hAnsi="Open Sans Light" w:cs="Open Sans Light"/>
          <w:sz w:val="24"/>
          <w:szCs w:val="24"/>
          <w:lang w:val="es-ES"/>
        </w:rPr>
        <w:t xml:space="preserve"> </w:t>
      </w:r>
      <w:r w:rsidRPr="00A61DFC">
        <w:rPr>
          <w:rFonts w:ascii="Open Sans Light" w:hAnsi="Open Sans Light" w:cs="Open Sans Light"/>
          <w:sz w:val="24"/>
          <w:szCs w:val="24"/>
          <w:lang w:val="es-ES"/>
        </w:rPr>
        <w:t>ejecutados en 2013, se pasó a 6,790,947 soles ejecutados en 2020. Desde luego, los niveles de variaciones no fueron homogéneos a nivel nacional. Por un lado, tenemos a departamentos como Tumbes, Pasco y Junín, con niveles de variación porcentual de 403%, 345% y 147% entre 2013 y 2020. Por otro lado, tenemos a departamentos como Huancavelica, Lambayeque y La Libertad con niveles negativos de variaciones pre</w:t>
      </w:r>
      <w:r w:rsidRPr="00D26390">
        <w:rPr>
          <w:rFonts w:ascii="Open Sans Light" w:hAnsi="Open Sans Light" w:cs="Open Sans Light"/>
          <w:sz w:val="24"/>
          <w:szCs w:val="24"/>
          <w:lang w:val="es-ES"/>
        </w:rPr>
        <w:t>supuestales de -70%, -75% y -91% (</w:t>
      </w:r>
      <w:r w:rsidRPr="003D1F78">
        <w:rPr>
          <w:rFonts w:ascii="Open Sans Light" w:hAnsi="Open Sans Light" w:cs="Open Sans Light"/>
          <w:sz w:val="24"/>
          <w:szCs w:val="24"/>
          <w:lang w:val="es-ES"/>
        </w:rPr>
        <w:t xml:space="preserve">véase detalle en Anexo, </w:t>
      </w:r>
      <w:r w:rsidR="000E3104" w:rsidRPr="003D1F78">
        <w:rPr>
          <w:rFonts w:ascii="Open Sans Light" w:hAnsi="Open Sans Light" w:cs="Open Sans Light"/>
          <w:sz w:val="24"/>
          <w:szCs w:val="24"/>
          <w:lang w:val="es-ES"/>
        </w:rPr>
        <w:t xml:space="preserve">Tabla </w:t>
      </w:r>
      <w:r w:rsidR="00CA5C7C" w:rsidRPr="003D1F78">
        <w:rPr>
          <w:rFonts w:ascii="Open Sans Light" w:hAnsi="Open Sans Light" w:cs="Open Sans Light"/>
          <w:sz w:val="24"/>
          <w:szCs w:val="24"/>
          <w:lang w:val="es-ES"/>
        </w:rPr>
        <w:t>A.9</w:t>
      </w:r>
      <w:r w:rsidRPr="003D1F78">
        <w:rPr>
          <w:rFonts w:ascii="Open Sans Light" w:hAnsi="Open Sans Light" w:cs="Open Sans Light"/>
          <w:sz w:val="24"/>
          <w:szCs w:val="24"/>
          <w:lang w:val="es-ES"/>
        </w:rPr>
        <w:t>).</w:t>
      </w:r>
    </w:p>
    <w:p w14:paraId="34F9A29B" w14:textId="77777777" w:rsidR="00615D6E" w:rsidRPr="00A61DFC" w:rsidRDefault="00615D6E" w:rsidP="00BC2848">
      <w:pPr>
        <w:ind w:left="708"/>
        <w:jc w:val="both"/>
        <w:rPr>
          <w:rFonts w:ascii="Open Sans Light" w:hAnsi="Open Sans Light" w:cs="Open Sans Light"/>
          <w:sz w:val="24"/>
          <w:szCs w:val="24"/>
          <w:lang w:val="es-ES"/>
        </w:rPr>
      </w:pPr>
    </w:p>
    <w:p w14:paraId="4EE13A94" w14:textId="3947990B" w:rsidR="00887590" w:rsidRPr="001A76FF" w:rsidRDefault="00887590" w:rsidP="001A76FF">
      <w:pPr>
        <w:pStyle w:val="ESTILOTABLA"/>
        <w:rPr>
          <w:lang w:val="es-PE"/>
        </w:rPr>
      </w:pPr>
      <w:r>
        <w:t xml:space="preserve">Figura </w:t>
      </w:r>
      <w:r w:rsidR="00A31AEE">
        <w:rPr>
          <w:noProof/>
        </w:rPr>
        <w:fldChar w:fldCharType="begin"/>
      </w:r>
      <w:r w:rsidR="00A31AEE">
        <w:rPr>
          <w:noProof/>
        </w:rPr>
        <w:instrText xml:space="preserve"> SEQ Figura \* ARABIC </w:instrText>
      </w:r>
      <w:r w:rsidR="00A31AEE">
        <w:rPr>
          <w:noProof/>
        </w:rPr>
        <w:fldChar w:fldCharType="separate"/>
      </w:r>
      <w:r w:rsidR="00846FB2">
        <w:rPr>
          <w:noProof/>
        </w:rPr>
        <w:t>3</w:t>
      </w:r>
      <w:r w:rsidR="00A31AEE">
        <w:rPr>
          <w:noProof/>
        </w:rPr>
        <w:fldChar w:fldCharType="end"/>
      </w:r>
      <w:r>
        <w:t xml:space="preserve">. </w:t>
      </w:r>
      <w:r w:rsidRPr="00677C6D">
        <w:rPr>
          <w:b/>
          <w:bCs/>
          <w:i w:val="0"/>
          <w:iCs/>
          <w:lang w:val="es-PE"/>
        </w:rPr>
        <w:t xml:space="preserve">Variación porcentual en los niveles de ejecución presupuestal </w:t>
      </w:r>
      <w:r>
        <w:rPr>
          <w:b/>
          <w:bCs/>
          <w:i w:val="0"/>
          <w:iCs/>
          <w:lang w:val="es-PE"/>
        </w:rPr>
        <w:t>(</w:t>
      </w:r>
      <w:r w:rsidRPr="00887590">
        <w:rPr>
          <w:b/>
          <w:bCs/>
          <w:i w:val="0"/>
          <w:iCs/>
          <w:lang w:val="es-PE"/>
        </w:rPr>
        <w:t>incremento de la cobertura del servicio de educación inicial</w:t>
      </w:r>
      <w:r>
        <w:rPr>
          <w:b/>
          <w:bCs/>
          <w:i w:val="0"/>
          <w:iCs/>
          <w:lang w:val="es-PE"/>
        </w:rPr>
        <w:t xml:space="preserve">), </w:t>
      </w:r>
      <w:r w:rsidRPr="00677C6D">
        <w:rPr>
          <w:b/>
          <w:bCs/>
          <w:i w:val="0"/>
          <w:iCs/>
          <w:lang w:val="es-PE"/>
        </w:rPr>
        <w:t>entre los años 201</w:t>
      </w:r>
      <w:r w:rsidR="001B3063">
        <w:rPr>
          <w:b/>
          <w:bCs/>
          <w:i w:val="0"/>
          <w:iCs/>
          <w:lang w:val="es-PE"/>
        </w:rPr>
        <w:t>3</w:t>
      </w:r>
      <w:r w:rsidRPr="00677C6D">
        <w:rPr>
          <w:b/>
          <w:bCs/>
          <w:i w:val="0"/>
          <w:iCs/>
          <w:lang w:val="es-PE"/>
        </w:rPr>
        <w:t xml:space="preserve"> y 2020 por departamento</w:t>
      </w:r>
    </w:p>
    <w:p w14:paraId="60BB09AD" w14:textId="7FB26470" w:rsidR="00254CC9" w:rsidRDefault="00F76517" w:rsidP="00254CC9">
      <w:pPr>
        <w:jc w:val="both"/>
        <w:rPr>
          <w:rFonts w:ascii="Open Sans Light" w:hAnsi="Open Sans Light" w:cs="Open Sans Light"/>
          <w:color w:val="00B050"/>
          <w:sz w:val="24"/>
          <w:szCs w:val="24"/>
          <w:lang w:val="es-ES"/>
        </w:rPr>
      </w:pPr>
      <w:r>
        <w:rPr>
          <w:noProof/>
          <w:lang w:val="en-GB" w:eastAsia="en-GB"/>
        </w:rPr>
        <w:drawing>
          <wp:inline distT="0" distB="0" distL="0" distR="0" wp14:anchorId="79C42667" wp14:editId="0DF9E612">
            <wp:extent cx="5400040" cy="2657475"/>
            <wp:effectExtent l="0" t="0" r="0" b="0"/>
            <wp:docPr id="60" name="Gráfico 60">
              <a:extLst xmlns:a="http://schemas.openxmlformats.org/drawingml/2006/main">
                <a:ext uri="{FF2B5EF4-FFF2-40B4-BE49-F238E27FC236}">
                  <a16:creationId xmlns:a16="http://schemas.microsoft.com/office/drawing/2014/main" id="{65083D88-EFB5-4F7D-92DA-A83C56FD1D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12383BA" w14:textId="5244A3D7" w:rsidR="00BC2848" w:rsidRPr="00A61DFC" w:rsidRDefault="000B0A56"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Por último, es necesario resaltar</w:t>
      </w:r>
      <w:r w:rsidR="00CE5F50" w:rsidRPr="00A61DFC">
        <w:rPr>
          <w:rFonts w:ascii="Open Sans Light" w:hAnsi="Open Sans Light" w:cs="Open Sans Light"/>
          <w:sz w:val="24"/>
          <w:szCs w:val="24"/>
          <w:lang w:val="es-ES"/>
        </w:rPr>
        <w:t xml:space="preserve"> que, entre los departamentos con menor tasa neta de matrícula en educación inicial del grupo de 3 a 5 años, sólo se estaría teniendo éxito en Loreto, Tacna, Madre de Dios, Ucayali y Junín; siendo necesario coadyuvar una mayor ejecución presupuestaria en los departamentos de Puno, Lambayeque, Arequipa, Lima y Moquegua</w:t>
      </w:r>
      <w:r w:rsidR="00291C02" w:rsidRPr="00A61DFC">
        <w:rPr>
          <w:rFonts w:ascii="Open Sans Light" w:hAnsi="Open Sans Light" w:cs="Open Sans Light"/>
          <w:sz w:val="24"/>
          <w:szCs w:val="24"/>
          <w:lang w:val="es-ES"/>
        </w:rPr>
        <w:t xml:space="preserve"> (véase detalle gráfico 1</w:t>
      </w:r>
      <w:r w:rsidR="000A4C48" w:rsidRPr="00A61DFC">
        <w:rPr>
          <w:rFonts w:ascii="Open Sans Light" w:hAnsi="Open Sans Light" w:cs="Open Sans Light"/>
          <w:sz w:val="24"/>
          <w:szCs w:val="24"/>
          <w:lang w:val="es-ES"/>
        </w:rPr>
        <w:t>9</w:t>
      </w:r>
      <w:r w:rsidR="00291C02" w:rsidRPr="00A61DFC">
        <w:rPr>
          <w:rFonts w:ascii="Open Sans Light" w:hAnsi="Open Sans Light" w:cs="Open Sans Light"/>
          <w:sz w:val="24"/>
          <w:szCs w:val="24"/>
          <w:lang w:val="es-ES"/>
        </w:rPr>
        <w:t>)</w:t>
      </w:r>
      <w:r w:rsidR="00CE5F50" w:rsidRPr="00A61DFC">
        <w:rPr>
          <w:rFonts w:ascii="Open Sans Light" w:hAnsi="Open Sans Light" w:cs="Open Sans Light"/>
          <w:sz w:val="24"/>
          <w:szCs w:val="24"/>
          <w:lang w:val="es-ES"/>
        </w:rPr>
        <w:t xml:space="preserve">. </w:t>
      </w:r>
      <w:r w:rsidRPr="00A61DFC">
        <w:rPr>
          <w:rFonts w:ascii="Open Sans Light" w:hAnsi="Open Sans Light" w:cs="Open Sans Light"/>
          <w:sz w:val="24"/>
          <w:szCs w:val="24"/>
          <w:lang w:val="es-ES"/>
        </w:rPr>
        <w:t xml:space="preserve"> </w:t>
      </w:r>
    </w:p>
    <w:p w14:paraId="3A8155E1" w14:textId="6C76F637"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lastRenderedPageBreak/>
        <w:t>En relación con la variación negativa de -52% en la ejecución presupuestal entre los años 2014 y 2020 para el eje-categoría (iv) –</w:t>
      </w:r>
      <w:r w:rsidRPr="00A61DFC">
        <w:rPr>
          <w:rFonts w:ascii="Open Sans Light" w:hAnsi="Open Sans Light" w:cs="Open Sans Light"/>
          <w:i/>
          <w:iCs/>
          <w:sz w:val="24"/>
          <w:szCs w:val="24"/>
          <w:lang w:val="es-ES"/>
        </w:rPr>
        <w:t>fortalecimiento de la calidad del servicio en la educación inicial</w:t>
      </w:r>
      <w:r w:rsidRPr="00A61DFC">
        <w:rPr>
          <w:rFonts w:ascii="Open Sans Light" w:hAnsi="Open Sans Light" w:cs="Open Sans Light"/>
          <w:sz w:val="24"/>
          <w:szCs w:val="24"/>
          <w:lang w:val="es-ES"/>
        </w:rPr>
        <w:t xml:space="preserve">– se consideró el presupuesto </w:t>
      </w:r>
      <w:r w:rsidR="003A7893">
        <w:rPr>
          <w:rFonts w:ascii="Open Sans Light" w:hAnsi="Open Sans Light" w:cs="Open Sans Light"/>
          <w:sz w:val="24"/>
          <w:szCs w:val="24"/>
          <w:lang w:val="es-ES"/>
        </w:rPr>
        <w:t>dirigido</w:t>
      </w:r>
      <w:r w:rsidR="003A7893" w:rsidRPr="00A61DFC">
        <w:rPr>
          <w:rFonts w:ascii="Open Sans Light" w:hAnsi="Open Sans Light" w:cs="Open Sans Light"/>
          <w:sz w:val="24"/>
          <w:szCs w:val="24"/>
          <w:lang w:val="es-ES"/>
        </w:rPr>
        <w:t xml:space="preserve"> </w:t>
      </w:r>
      <w:r w:rsidRPr="00A61DFC">
        <w:rPr>
          <w:rFonts w:ascii="Open Sans Light" w:hAnsi="Open Sans Light" w:cs="Open Sans Light"/>
          <w:sz w:val="24"/>
          <w:szCs w:val="24"/>
          <w:lang w:val="es-ES"/>
        </w:rPr>
        <w:t xml:space="preserve">al producto ‘Docentes preparados implementan el currículo’, que cayó de 43,200,509 soles en 2013 a 20,573,091 soles en 2020. Debido a que la data indicaba contracciones del nivel de -42% en el 2019, no es responsable atribuir la variación negativa en este indicador a la pandemia por COVID-19. Las variaciones no fueron homogéneas a nivel nacional. Departamentos como Amazonas, Ucayali y Lambayeque experimentaron buenos niveles de variación positiva del orden de 146%, 79% y 23% respectivamente. Por el contrario, departamentos como Cajamarca, Madre de Dios y Tumbes presentaron </w:t>
      </w:r>
      <w:r w:rsidRPr="00D26390">
        <w:rPr>
          <w:rFonts w:ascii="Open Sans Light" w:hAnsi="Open Sans Light" w:cs="Open Sans Light"/>
          <w:sz w:val="24"/>
          <w:szCs w:val="24"/>
          <w:lang w:val="es-ES"/>
        </w:rPr>
        <w:t>variaciones negativas del orden de -87%, -90% y -100% (</w:t>
      </w:r>
      <w:r w:rsidRPr="004D0E60">
        <w:rPr>
          <w:rFonts w:ascii="Open Sans Light" w:hAnsi="Open Sans Light" w:cs="Open Sans Light"/>
          <w:sz w:val="24"/>
          <w:szCs w:val="24"/>
          <w:lang w:val="es-ES"/>
        </w:rPr>
        <w:t xml:space="preserve">véase detalle en Anexo, </w:t>
      </w:r>
      <w:r w:rsidR="002B67C9" w:rsidRPr="004D0E60">
        <w:rPr>
          <w:rFonts w:ascii="Open Sans Light" w:hAnsi="Open Sans Light" w:cs="Open Sans Light"/>
          <w:sz w:val="24"/>
          <w:szCs w:val="24"/>
          <w:lang w:val="es-ES"/>
        </w:rPr>
        <w:t xml:space="preserve">Tabla </w:t>
      </w:r>
      <w:r w:rsidR="00475F8C" w:rsidRPr="004D0E60">
        <w:rPr>
          <w:rFonts w:ascii="Open Sans Light" w:hAnsi="Open Sans Light" w:cs="Open Sans Light"/>
          <w:sz w:val="24"/>
          <w:szCs w:val="24"/>
          <w:lang w:val="es-ES"/>
        </w:rPr>
        <w:t>A.10</w:t>
      </w:r>
      <w:r w:rsidRPr="00475F8C">
        <w:rPr>
          <w:rFonts w:ascii="Open Sans Light" w:hAnsi="Open Sans Light" w:cs="Open Sans Light"/>
          <w:sz w:val="24"/>
          <w:szCs w:val="24"/>
          <w:lang w:val="es-ES"/>
        </w:rPr>
        <w:t>).</w:t>
      </w:r>
    </w:p>
    <w:p w14:paraId="0EC87461" w14:textId="2AD085C8"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Con respecto a la variación positiva de 542% en ejecución presupuestal entre los años 2013 y 2020 para el eje-categoría (v) –</w:t>
      </w:r>
      <w:r w:rsidRPr="00A61DFC">
        <w:rPr>
          <w:rFonts w:ascii="Open Sans Light" w:hAnsi="Open Sans Light" w:cs="Open Sans Light"/>
          <w:i/>
          <w:iCs/>
          <w:sz w:val="24"/>
          <w:szCs w:val="24"/>
          <w:lang w:val="es-ES"/>
        </w:rPr>
        <w:t>incrementar la asistencia y matrícula en educación inicial</w:t>
      </w:r>
      <w:r w:rsidRPr="00A61DFC">
        <w:rPr>
          <w:rFonts w:ascii="Open Sans Light" w:hAnsi="Open Sans Light" w:cs="Open Sans Light"/>
          <w:sz w:val="24"/>
          <w:szCs w:val="24"/>
          <w:lang w:val="es-ES"/>
        </w:rPr>
        <w:t xml:space="preserve">– se tiene que el producto ‘Familias acceden a acompañamiento en cuidado y aprendizaje de sus niños y niñas menores de 36 meses, que viven en situación de pobreza y extrema pobreza en zonas rurales’ ha pasado de tener un presupuesto de 25,416,536 soles en 2013, a tener uno de 163,272,309 soles en 2020. Naturalmente, las variaciones en las ejecuciones presupuestarias no son homogéneas a nivel nacional. Mientras algunos departamentos experimentaron variaciones positivas inmensas, como Ucayali, Loreto y Ancash, con niveles de variación de 4253%, 2651% y 2519%; otros departamentos como La Libertad, Huancavelica y Ayacucho experimentaron variaciones positivas no </w:t>
      </w:r>
      <w:r w:rsidRPr="00D26390">
        <w:rPr>
          <w:rFonts w:ascii="Open Sans Light" w:hAnsi="Open Sans Light" w:cs="Open Sans Light"/>
          <w:sz w:val="24"/>
          <w:szCs w:val="24"/>
          <w:lang w:val="es-ES"/>
        </w:rPr>
        <w:t xml:space="preserve">tan elevadas del orden de 304%, 271% y 117% </w:t>
      </w:r>
      <w:r w:rsidRPr="0063671F">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w:t>
      </w:r>
      <w:r w:rsidR="002B67C9" w:rsidRPr="004D0E60">
        <w:rPr>
          <w:rFonts w:ascii="Open Sans Light" w:hAnsi="Open Sans Light" w:cs="Open Sans Light"/>
          <w:sz w:val="24"/>
          <w:szCs w:val="24"/>
          <w:lang w:val="es-ES"/>
        </w:rPr>
        <w:t xml:space="preserve">Tabla </w:t>
      </w:r>
      <w:r w:rsidR="0063671F">
        <w:rPr>
          <w:rFonts w:ascii="Open Sans Light" w:hAnsi="Open Sans Light" w:cs="Open Sans Light"/>
          <w:sz w:val="24"/>
          <w:szCs w:val="24"/>
          <w:lang w:val="es-ES"/>
        </w:rPr>
        <w:t>A.1</w:t>
      </w:r>
      <w:r w:rsidR="00D26390" w:rsidRPr="004D0E60">
        <w:rPr>
          <w:rFonts w:ascii="Open Sans Light" w:hAnsi="Open Sans Light" w:cs="Open Sans Light"/>
          <w:sz w:val="24"/>
          <w:szCs w:val="24"/>
          <w:lang w:val="es-ES"/>
        </w:rPr>
        <w:t>1</w:t>
      </w:r>
      <w:r w:rsidRPr="00D26390">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43098209" w14:textId="56D346F0" w:rsidR="009C1BBA" w:rsidRPr="00A663A7" w:rsidRDefault="00BC2848" w:rsidP="00A663A7">
      <w:pPr>
        <w:jc w:val="both"/>
        <w:rPr>
          <w:rFonts w:ascii="Open Sans Light" w:hAnsi="Open Sans Light" w:cs="Open Sans Light"/>
          <w:b/>
          <w:bCs/>
          <w:sz w:val="24"/>
          <w:szCs w:val="24"/>
          <w:lang w:val="es-ES"/>
        </w:rPr>
      </w:pPr>
      <w:r w:rsidRPr="00A61DFC">
        <w:rPr>
          <w:rFonts w:ascii="Open Sans Light" w:hAnsi="Open Sans Light" w:cs="Open Sans Light"/>
          <w:b/>
          <w:bCs/>
          <w:sz w:val="24"/>
          <w:szCs w:val="24"/>
          <w:lang w:val="es-ES"/>
        </w:rPr>
        <w:t xml:space="preserve">Tercera Meta Emblemática. El 70% de </w:t>
      </w:r>
      <w:r w:rsidR="002B67C9" w:rsidRPr="00A61DFC">
        <w:rPr>
          <w:rFonts w:ascii="Open Sans Light" w:hAnsi="Open Sans Light" w:cs="Open Sans Light"/>
          <w:b/>
          <w:bCs/>
          <w:sz w:val="24"/>
          <w:szCs w:val="24"/>
          <w:lang w:val="es-ES"/>
        </w:rPr>
        <w:t xml:space="preserve">las </w:t>
      </w:r>
      <w:r w:rsidRPr="00A61DFC">
        <w:rPr>
          <w:rFonts w:ascii="Open Sans Light" w:hAnsi="Open Sans Light" w:cs="Open Sans Light"/>
          <w:b/>
          <w:bCs/>
          <w:sz w:val="24"/>
          <w:szCs w:val="24"/>
          <w:lang w:val="es-ES"/>
        </w:rPr>
        <w:t>niñas y niños peruanos de segundo grado de primaria alcanza un nivel suficiente de comprensión lectora y razonamiento matemático</w:t>
      </w:r>
    </w:p>
    <w:p w14:paraId="3F8BB54D" w14:textId="0CBBF83A" w:rsidR="00A663A7" w:rsidRPr="003D1F78" w:rsidRDefault="00A663A7" w:rsidP="00A663A7">
      <w:pPr>
        <w:pStyle w:val="ESTILOTABLA"/>
      </w:pPr>
      <w:r w:rsidRPr="003D1F78">
        <w:t xml:space="preserve">Tabla </w:t>
      </w:r>
      <w:fldSimple w:instr=" SEQ Tabla \* ARABIC ">
        <w:r w:rsidR="00846FB2">
          <w:rPr>
            <w:noProof/>
          </w:rPr>
          <w:t>7</w:t>
        </w:r>
      </w:fldSimple>
      <w:r w:rsidRPr="003D1F78">
        <w:t xml:space="preserve">. </w:t>
      </w:r>
      <w:r w:rsidRPr="003D1F78">
        <w:rPr>
          <w:rFonts w:eastAsia="Open Sans Light"/>
          <w:b/>
          <w:i w:val="0"/>
          <w:iCs/>
          <w:color w:val="000000"/>
          <w:szCs w:val="24"/>
        </w:rPr>
        <w:t xml:space="preserve">Balance para </w:t>
      </w:r>
      <w:r w:rsidR="004D0E60" w:rsidRPr="003D1F78">
        <w:rPr>
          <w:rFonts w:eastAsia="Open Sans Light"/>
          <w:b/>
          <w:i w:val="0"/>
          <w:iCs/>
          <w:color w:val="000000"/>
          <w:szCs w:val="24"/>
        </w:rPr>
        <w:t xml:space="preserve">la </w:t>
      </w:r>
      <w:r w:rsidRPr="003D1F78">
        <w:rPr>
          <w:rFonts w:eastAsia="Open Sans Light"/>
          <w:b/>
          <w:i w:val="0"/>
          <w:iCs/>
          <w:color w:val="000000"/>
          <w:szCs w:val="24"/>
        </w:rPr>
        <w:t>Tercera Meta Emblemática</w:t>
      </w:r>
    </w:p>
    <w:tbl>
      <w:tblPr>
        <w:tblW w:w="8440" w:type="dxa"/>
        <w:tblCellMar>
          <w:left w:w="70" w:type="dxa"/>
          <w:right w:w="70" w:type="dxa"/>
        </w:tblCellMar>
        <w:tblLook w:val="04A0" w:firstRow="1" w:lastRow="0" w:firstColumn="1" w:lastColumn="0" w:noHBand="0" w:noVBand="1"/>
      </w:tblPr>
      <w:tblGrid>
        <w:gridCol w:w="1020"/>
        <w:gridCol w:w="2820"/>
        <w:gridCol w:w="2300"/>
        <w:gridCol w:w="720"/>
        <w:gridCol w:w="1580"/>
      </w:tblGrid>
      <w:tr w:rsidR="001677FC" w:rsidRPr="003D1F78" w14:paraId="0FA582E6" w14:textId="77777777" w:rsidTr="001677FC">
        <w:trPr>
          <w:trHeight w:val="480"/>
        </w:trPr>
        <w:tc>
          <w:tcPr>
            <w:tcW w:w="102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388A77FC"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Objetivo Estratégico</w:t>
            </w:r>
          </w:p>
        </w:tc>
        <w:tc>
          <w:tcPr>
            <w:tcW w:w="2820" w:type="dxa"/>
            <w:tcBorders>
              <w:top w:val="single" w:sz="4" w:space="0" w:color="auto"/>
              <w:left w:val="nil"/>
              <w:bottom w:val="single" w:sz="4" w:space="0" w:color="auto"/>
              <w:right w:val="single" w:sz="4" w:space="0" w:color="auto"/>
            </w:tcBorders>
            <w:shd w:val="clear" w:color="000000" w:fill="000000"/>
            <w:vAlign w:val="center"/>
            <w:hideMark/>
          </w:tcPr>
          <w:p w14:paraId="3329CC40"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Resultado Esperado y Meta PNAIA 2012-2021</w:t>
            </w:r>
          </w:p>
        </w:tc>
        <w:tc>
          <w:tcPr>
            <w:tcW w:w="2300" w:type="dxa"/>
            <w:tcBorders>
              <w:top w:val="single" w:sz="4" w:space="0" w:color="auto"/>
              <w:left w:val="nil"/>
              <w:bottom w:val="single" w:sz="4" w:space="0" w:color="auto"/>
              <w:right w:val="single" w:sz="4" w:space="0" w:color="auto"/>
            </w:tcBorders>
            <w:shd w:val="clear" w:color="000000" w:fill="000000"/>
            <w:vAlign w:val="center"/>
            <w:hideMark/>
          </w:tcPr>
          <w:p w14:paraId="658D7496"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Indicador priorizado</w:t>
            </w:r>
          </w:p>
        </w:tc>
        <w:tc>
          <w:tcPr>
            <w:tcW w:w="720" w:type="dxa"/>
            <w:tcBorders>
              <w:top w:val="single" w:sz="4" w:space="0" w:color="auto"/>
              <w:left w:val="nil"/>
              <w:bottom w:val="single" w:sz="4" w:space="0" w:color="auto"/>
              <w:right w:val="single" w:sz="4" w:space="0" w:color="auto"/>
            </w:tcBorders>
            <w:shd w:val="clear" w:color="000000" w:fill="000000"/>
            <w:vAlign w:val="center"/>
            <w:hideMark/>
          </w:tcPr>
          <w:p w14:paraId="7EBE8750"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Estado</w:t>
            </w:r>
          </w:p>
        </w:tc>
        <w:tc>
          <w:tcPr>
            <w:tcW w:w="1580" w:type="dxa"/>
            <w:tcBorders>
              <w:top w:val="single" w:sz="4" w:space="0" w:color="auto"/>
              <w:left w:val="nil"/>
              <w:bottom w:val="single" w:sz="4" w:space="0" w:color="auto"/>
              <w:right w:val="single" w:sz="4" w:space="0" w:color="auto"/>
            </w:tcBorders>
            <w:shd w:val="clear" w:color="000000" w:fill="000000"/>
            <w:vAlign w:val="center"/>
            <w:hideMark/>
          </w:tcPr>
          <w:p w14:paraId="6E5A0CAF"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 de avance</w:t>
            </w:r>
          </w:p>
        </w:tc>
      </w:tr>
      <w:tr w:rsidR="001677FC" w:rsidRPr="003D1F78" w14:paraId="2F55BE6D" w14:textId="77777777" w:rsidTr="001677FC">
        <w:trPr>
          <w:trHeight w:val="1152"/>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5B9B65A1"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OE2</w:t>
            </w:r>
          </w:p>
        </w:tc>
        <w:tc>
          <w:tcPr>
            <w:tcW w:w="2820" w:type="dxa"/>
            <w:vMerge w:val="restart"/>
            <w:tcBorders>
              <w:top w:val="nil"/>
              <w:left w:val="single" w:sz="4" w:space="0" w:color="auto"/>
              <w:bottom w:val="single" w:sz="4" w:space="0" w:color="auto"/>
              <w:right w:val="single" w:sz="4" w:space="0" w:color="auto"/>
            </w:tcBorders>
            <w:shd w:val="clear" w:color="auto" w:fill="auto"/>
            <w:vAlign w:val="center"/>
            <w:hideMark/>
          </w:tcPr>
          <w:p w14:paraId="7396B48A"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 xml:space="preserve">RE5: El 70% de niñas y niños que cursan el segundo grado de primaria alcanza un nivel suficiente en comprensión de textos y matemática. </w:t>
            </w:r>
          </w:p>
        </w:tc>
        <w:tc>
          <w:tcPr>
            <w:tcW w:w="2300" w:type="dxa"/>
            <w:tcBorders>
              <w:top w:val="nil"/>
              <w:left w:val="nil"/>
              <w:bottom w:val="single" w:sz="4" w:space="0" w:color="auto"/>
              <w:right w:val="single" w:sz="4" w:space="0" w:color="auto"/>
            </w:tcBorders>
            <w:shd w:val="clear" w:color="auto" w:fill="auto"/>
            <w:vAlign w:val="center"/>
            <w:hideMark/>
          </w:tcPr>
          <w:p w14:paraId="77991747"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Porcentaje de niñas y niños que alcanzan suficiencia en el logro de las competencias de comprensión lectora en segundo grado</w:t>
            </w:r>
          </w:p>
        </w:tc>
        <w:tc>
          <w:tcPr>
            <w:tcW w:w="720" w:type="dxa"/>
            <w:tcBorders>
              <w:top w:val="nil"/>
              <w:left w:val="nil"/>
              <w:bottom w:val="single" w:sz="4" w:space="0" w:color="auto"/>
              <w:right w:val="single" w:sz="4" w:space="0" w:color="auto"/>
            </w:tcBorders>
            <w:shd w:val="clear" w:color="auto" w:fill="auto"/>
            <w:vAlign w:val="center"/>
            <w:hideMark/>
          </w:tcPr>
          <w:p w14:paraId="471EF674"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No se cumplió</w:t>
            </w:r>
          </w:p>
        </w:tc>
        <w:tc>
          <w:tcPr>
            <w:tcW w:w="1580" w:type="dxa"/>
            <w:tcBorders>
              <w:top w:val="nil"/>
              <w:left w:val="nil"/>
              <w:bottom w:val="single" w:sz="4" w:space="0" w:color="auto"/>
              <w:right w:val="single" w:sz="4" w:space="0" w:color="auto"/>
            </w:tcBorders>
            <w:shd w:val="clear" w:color="auto" w:fill="auto"/>
            <w:vAlign w:val="center"/>
            <w:hideMark/>
          </w:tcPr>
          <w:p w14:paraId="09E19D21"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19.4%</w:t>
            </w:r>
          </w:p>
        </w:tc>
      </w:tr>
      <w:tr w:rsidR="001677FC" w:rsidRPr="003D1F78" w14:paraId="4B308A03" w14:textId="77777777" w:rsidTr="001677FC">
        <w:trPr>
          <w:trHeight w:val="1200"/>
        </w:trPr>
        <w:tc>
          <w:tcPr>
            <w:tcW w:w="1020" w:type="dxa"/>
            <w:vMerge/>
            <w:tcBorders>
              <w:top w:val="nil"/>
              <w:left w:val="single" w:sz="4" w:space="0" w:color="auto"/>
              <w:bottom w:val="single" w:sz="4" w:space="0" w:color="auto"/>
              <w:right w:val="single" w:sz="4" w:space="0" w:color="auto"/>
            </w:tcBorders>
            <w:vAlign w:val="center"/>
            <w:hideMark/>
          </w:tcPr>
          <w:p w14:paraId="0777215C"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2820" w:type="dxa"/>
            <w:vMerge/>
            <w:tcBorders>
              <w:top w:val="nil"/>
              <w:left w:val="single" w:sz="4" w:space="0" w:color="auto"/>
              <w:bottom w:val="single" w:sz="4" w:space="0" w:color="auto"/>
              <w:right w:val="single" w:sz="4" w:space="0" w:color="auto"/>
            </w:tcBorders>
            <w:vAlign w:val="center"/>
            <w:hideMark/>
          </w:tcPr>
          <w:p w14:paraId="00477E06"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2300" w:type="dxa"/>
            <w:tcBorders>
              <w:top w:val="nil"/>
              <w:left w:val="nil"/>
              <w:bottom w:val="single" w:sz="4" w:space="0" w:color="auto"/>
              <w:right w:val="single" w:sz="4" w:space="0" w:color="auto"/>
            </w:tcBorders>
            <w:shd w:val="clear" w:color="auto" w:fill="auto"/>
            <w:vAlign w:val="center"/>
            <w:hideMark/>
          </w:tcPr>
          <w:p w14:paraId="51BA571D"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Porcentaje de niñas y niños que alcanzan suficiencia en el logro de las competencias de comprensión matemática en segundo grado</w:t>
            </w:r>
          </w:p>
        </w:tc>
        <w:tc>
          <w:tcPr>
            <w:tcW w:w="720" w:type="dxa"/>
            <w:tcBorders>
              <w:top w:val="nil"/>
              <w:left w:val="nil"/>
              <w:bottom w:val="single" w:sz="4" w:space="0" w:color="auto"/>
              <w:right w:val="single" w:sz="4" w:space="0" w:color="auto"/>
            </w:tcBorders>
            <w:shd w:val="clear" w:color="auto" w:fill="auto"/>
            <w:vAlign w:val="center"/>
            <w:hideMark/>
          </w:tcPr>
          <w:p w14:paraId="74ACD072"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No se cumplió</w:t>
            </w:r>
          </w:p>
        </w:tc>
        <w:tc>
          <w:tcPr>
            <w:tcW w:w="1580" w:type="dxa"/>
            <w:tcBorders>
              <w:top w:val="nil"/>
              <w:left w:val="nil"/>
              <w:bottom w:val="single" w:sz="4" w:space="0" w:color="auto"/>
              <w:right w:val="single" w:sz="4" w:space="0" w:color="auto"/>
            </w:tcBorders>
            <w:shd w:val="clear" w:color="auto" w:fill="auto"/>
            <w:vAlign w:val="center"/>
            <w:hideMark/>
          </w:tcPr>
          <w:p w14:paraId="24C596A2"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6.7%</w:t>
            </w:r>
          </w:p>
        </w:tc>
      </w:tr>
      <w:tr w:rsidR="001677FC" w:rsidRPr="003D1F78" w14:paraId="3416E25C" w14:textId="77777777" w:rsidTr="001677FC">
        <w:trPr>
          <w:trHeight w:val="720"/>
        </w:trPr>
        <w:tc>
          <w:tcPr>
            <w:tcW w:w="3840" w:type="dxa"/>
            <w:gridSpan w:val="2"/>
            <w:tcBorders>
              <w:top w:val="single" w:sz="4" w:space="0" w:color="auto"/>
              <w:left w:val="single" w:sz="4" w:space="0" w:color="auto"/>
              <w:bottom w:val="single" w:sz="4" w:space="0" w:color="auto"/>
              <w:right w:val="single" w:sz="4" w:space="0" w:color="auto"/>
            </w:tcBorders>
            <w:shd w:val="clear" w:color="000000" w:fill="000000"/>
            <w:vAlign w:val="center"/>
            <w:hideMark/>
          </w:tcPr>
          <w:p w14:paraId="202B61AB"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Categoría</w:t>
            </w:r>
          </w:p>
        </w:tc>
        <w:tc>
          <w:tcPr>
            <w:tcW w:w="3020" w:type="dxa"/>
            <w:gridSpan w:val="2"/>
            <w:tcBorders>
              <w:top w:val="single" w:sz="4" w:space="0" w:color="auto"/>
              <w:left w:val="nil"/>
              <w:bottom w:val="single" w:sz="4" w:space="0" w:color="auto"/>
              <w:right w:val="single" w:sz="4" w:space="0" w:color="auto"/>
            </w:tcBorders>
            <w:shd w:val="clear" w:color="000000" w:fill="000000"/>
            <w:vAlign w:val="center"/>
            <w:hideMark/>
          </w:tcPr>
          <w:p w14:paraId="3B4EA906"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 xml:space="preserve">Medio de verificación </w:t>
            </w:r>
          </w:p>
        </w:tc>
        <w:tc>
          <w:tcPr>
            <w:tcW w:w="1580" w:type="dxa"/>
            <w:tcBorders>
              <w:top w:val="nil"/>
              <w:left w:val="nil"/>
              <w:bottom w:val="single" w:sz="4" w:space="0" w:color="auto"/>
              <w:right w:val="single" w:sz="4" w:space="0" w:color="auto"/>
            </w:tcBorders>
            <w:shd w:val="clear" w:color="000000" w:fill="000000"/>
            <w:vAlign w:val="center"/>
            <w:hideMark/>
          </w:tcPr>
          <w:p w14:paraId="53B72518"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 var. en ejecución presupuestal</w:t>
            </w:r>
          </w:p>
        </w:tc>
      </w:tr>
      <w:tr w:rsidR="001677FC" w:rsidRPr="003D1F78" w14:paraId="13E8096A" w14:textId="77777777" w:rsidTr="001677FC">
        <w:trPr>
          <w:trHeight w:val="852"/>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CF6B8B0"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Promoción de la comprensión lectora y razonamiento matemático</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50182CE6"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Programa Presupuestal Logros de Aprendizaje – PP 0090</w:t>
            </w:r>
          </w:p>
        </w:tc>
        <w:tc>
          <w:tcPr>
            <w:tcW w:w="1580" w:type="dxa"/>
            <w:tcBorders>
              <w:top w:val="nil"/>
              <w:left w:val="nil"/>
              <w:bottom w:val="single" w:sz="4" w:space="0" w:color="auto"/>
              <w:right w:val="single" w:sz="4" w:space="0" w:color="auto"/>
            </w:tcBorders>
            <w:shd w:val="clear" w:color="auto" w:fill="auto"/>
            <w:vAlign w:val="center"/>
            <w:hideMark/>
          </w:tcPr>
          <w:p w14:paraId="4A7F6239"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100%</w:t>
            </w:r>
          </w:p>
        </w:tc>
      </w:tr>
      <w:tr w:rsidR="001677FC" w:rsidRPr="003D1F78" w14:paraId="30BF6F80" w14:textId="77777777" w:rsidTr="001677FC">
        <w:trPr>
          <w:trHeight w:val="852"/>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7BDDFC7"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Formación de docentes con pertinencia cultural y de género</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5A3EBEF1"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PP 0090: “Docentes preparados implementan el currículo”.</w:t>
            </w:r>
          </w:p>
        </w:tc>
        <w:tc>
          <w:tcPr>
            <w:tcW w:w="1580" w:type="dxa"/>
            <w:tcBorders>
              <w:top w:val="nil"/>
              <w:left w:val="nil"/>
              <w:bottom w:val="single" w:sz="4" w:space="0" w:color="auto"/>
              <w:right w:val="single" w:sz="4" w:space="0" w:color="auto"/>
            </w:tcBorders>
            <w:shd w:val="clear" w:color="auto" w:fill="auto"/>
            <w:vAlign w:val="center"/>
            <w:hideMark/>
          </w:tcPr>
          <w:p w14:paraId="343001BD"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7%</w:t>
            </w:r>
          </w:p>
        </w:tc>
      </w:tr>
      <w:tr w:rsidR="001677FC" w:rsidRPr="003D1F78" w14:paraId="71022327" w14:textId="77777777" w:rsidTr="001677FC">
        <w:trPr>
          <w:trHeight w:val="1428"/>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25520C"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Promoción de la Educación Bilingüe</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21C97A51"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 xml:space="preserve">PP 0090: “Docentes preparados implementan el currículo” / Producto “Docentes preparados implementan el currículo” / Actividad “Acompañamiento pedagógico a instituciones educativas de educación intercultural bilingüe” </w:t>
            </w:r>
          </w:p>
        </w:tc>
        <w:tc>
          <w:tcPr>
            <w:tcW w:w="1580" w:type="dxa"/>
            <w:tcBorders>
              <w:top w:val="nil"/>
              <w:left w:val="nil"/>
              <w:bottom w:val="single" w:sz="4" w:space="0" w:color="auto"/>
              <w:right w:val="single" w:sz="4" w:space="0" w:color="auto"/>
            </w:tcBorders>
            <w:shd w:val="clear" w:color="auto" w:fill="auto"/>
            <w:vAlign w:val="center"/>
            <w:hideMark/>
          </w:tcPr>
          <w:p w14:paraId="496634BD"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67%</w:t>
            </w:r>
          </w:p>
        </w:tc>
      </w:tr>
      <w:tr w:rsidR="001677FC" w:rsidRPr="003D1F78" w14:paraId="68620BD6" w14:textId="77777777" w:rsidTr="001677FC">
        <w:trPr>
          <w:trHeight w:val="1272"/>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A0B8FF7"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Fortalecimiento de la educación desde la familia</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289F003A"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Programa Presupuestal de “Inclusión de niños, niñas, y jóvenes con discapacidad en la educación básica y técnico productiva” – PP 0106: Producto: “Familias asistidas para su participación efectiva en el proceso educativo”</w:t>
            </w:r>
          </w:p>
        </w:tc>
        <w:tc>
          <w:tcPr>
            <w:tcW w:w="1580" w:type="dxa"/>
            <w:tcBorders>
              <w:top w:val="nil"/>
              <w:left w:val="nil"/>
              <w:bottom w:val="single" w:sz="4" w:space="0" w:color="auto"/>
              <w:right w:val="single" w:sz="4" w:space="0" w:color="auto"/>
            </w:tcBorders>
            <w:shd w:val="clear" w:color="auto" w:fill="auto"/>
            <w:vAlign w:val="center"/>
            <w:hideMark/>
          </w:tcPr>
          <w:p w14:paraId="76D87088"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232%</w:t>
            </w:r>
          </w:p>
        </w:tc>
      </w:tr>
      <w:tr w:rsidR="001677FC" w:rsidRPr="001677FC" w14:paraId="77324C0C" w14:textId="77777777" w:rsidTr="001677FC">
        <w:trPr>
          <w:trHeight w:val="1320"/>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46D0974"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Intervenciones vinculadas a la violencia en el ámbito educativo</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36107285"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Programa Presupuestal de “Lucha contra la Violencia Familiar” – PP 0080: Actividad presupuestal “Prevención de la violencia familiar en la comunidad educativa de educación básica regular y superior”</w:t>
            </w:r>
          </w:p>
        </w:tc>
        <w:tc>
          <w:tcPr>
            <w:tcW w:w="1580" w:type="dxa"/>
            <w:tcBorders>
              <w:top w:val="nil"/>
              <w:left w:val="nil"/>
              <w:bottom w:val="single" w:sz="4" w:space="0" w:color="auto"/>
              <w:right w:val="single" w:sz="4" w:space="0" w:color="auto"/>
            </w:tcBorders>
            <w:shd w:val="clear" w:color="auto" w:fill="auto"/>
            <w:vAlign w:val="center"/>
            <w:hideMark/>
          </w:tcPr>
          <w:p w14:paraId="300627D1" w14:textId="77777777" w:rsidR="001677FC" w:rsidRPr="001677FC"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-25%</w:t>
            </w:r>
          </w:p>
        </w:tc>
      </w:tr>
    </w:tbl>
    <w:p w14:paraId="24D3B474" w14:textId="1CA90F6B" w:rsidR="00BC2848" w:rsidRPr="00A61DFC" w:rsidRDefault="00BC2848" w:rsidP="00A663A7">
      <w:pPr>
        <w:spacing w:before="240"/>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 xml:space="preserve">La tercera meta está vinculada al Resultado Esperado 5 del </w:t>
      </w:r>
      <w:r w:rsidR="00D979D4">
        <w:rPr>
          <w:rFonts w:ascii="Open Sans Light" w:hAnsi="Open Sans Light" w:cs="Open Sans Light"/>
          <w:sz w:val="24"/>
          <w:szCs w:val="24"/>
          <w:lang w:val="es-ES"/>
        </w:rPr>
        <w:t>PNAIA 2012 – 2021</w:t>
      </w:r>
      <w:r w:rsidRPr="00A61DFC">
        <w:rPr>
          <w:rFonts w:ascii="Open Sans Light" w:hAnsi="Open Sans Light" w:cs="Open Sans Light"/>
          <w:sz w:val="24"/>
          <w:szCs w:val="24"/>
          <w:lang w:val="es-ES"/>
        </w:rPr>
        <w:t>, el cual busca que el 70% de niñas y niños que cursan el segundo grado de primaria alcancen un nivel suficiente de comprensión lectora y matemática. Para lograrlo se plantearon 14 estrategias de imp</w:t>
      </w:r>
      <w:r w:rsidRPr="00D26390">
        <w:rPr>
          <w:rFonts w:ascii="Open Sans Light" w:hAnsi="Open Sans Light" w:cs="Open Sans Light"/>
          <w:sz w:val="24"/>
          <w:szCs w:val="24"/>
          <w:lang w:val="es-ES"/>
        </w:rPr>
        <w:t xml:space="preserve">lementación agrupadas en 5 categorías </w:t>
      </w:r>
      <w:r w:rsidRPr="00272563">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cuadro </w:t>
      </w:r>
      <w:r w:rsidR="004D0B82" w:rsidRPr="004D0E60">
        <w:rPr>
          <w:rFonts w:ascii="Open Sans Light" w:hAnsi="Open Sans Light" w:cs="Open Sans Light"/>
          <w:sz w:val="24"/>
          <w:szCs w:val="24"/>
          <w:lang w:val="es-ES"/>
        </w:rPr>
        <w:t xml:space="preserve">Tabla </w:t>
      </w:r>
      <w:r w:rsidR="003B5596" w:rsidRPr="004D0E60">
        <w:rPr>
          <w:rFonts w:ascii="Open Sans Light" w:hAnsi="Open Sans Light" w:cs="Open Sans Light"/>
          <w:sz w:val="24"/>
          <w:szCs w:val="24"/>
          <w:lang w:val="es-ES"/>
        </w:rPr>
        <w:t>A.1</w:t>
      </w:r>
      <w:r w:rsidR="00D26390" w:rsidRPr="004D0E60">
        <w:rPr>
          <w:rFonts w:ascii="Open Sans Light" w:hAnsi="Open Sans Light" w:cs="Open Sans Light"/>
          <w:sz w:val="24"/>
          <w:szCs w:val="24"/>
          <w:lang w:val="es-ES"/>
        </w:rPr>
        <w:t>2</w:t>
      </w:r>
      <w:r w:rsidRPr="00272563">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68BE9D5B" w14:textId="3AE053E4" w:rsidR="00BC2848" w:rsidRPr="00A61DFC" w:rsidRDefault="00BC2848" w:rsidP="00BC284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 xml:space="preserve">Respecto a los 5 ejes-categoría </w:t>
      </w:r>
      <w:r w:rsidRPr="00A61DFC">
        <w:rPr>
          <w:rFonts w:ascii="Open Sans Light" w:hAnsi="Open Sans Light" w:cs="Open Sans Light"/>
          <w:i/>
          <w:iCs/>
          <w:sz w:val="24"/>
          <w:szCs w:val="24"/>
          <w:lang w:val="es-ES"/>
        </w:rPr>
        <w:t xml:space="preserve">–(i) promoción de la comprensión lectora y razonamiento matemático, (ii) formación de docentes con pertinencia cultural y de género, (iii) promoción de la educación bilingüe, (iv) fortalecimiento de la educación desde la familia </w:t>
      </w:r>
      <w:r w:rsidR="009017CB">
        <w:rPr>
          <w:rFonts w:ascii="Open Sans Light" w:hAnsi="Open Sans Light" w:cs="Open Sans Light"/>
          <w:i/>
          <w:iCs/>
          <w:sz w:val="24"/>
          <w:szCs w:val="24"/>
          <w:lang w:val="es-ES"/>
        </w:rPr>
        <w:t>e</w:t>
      </w:r>
      <w:r w:rsidR="009017CB" w:rsidRPr="00A61DFC">
        <w:rPr>
          <w:rFonts w:ascii="Open Sans Light" w:hAnsi="Open Sans Light" w:cs="Open Sans Light"/>
          <w:i/>
          <w:iCs/>
          <w:sz w:val="24"/>
          <w:szCs w:val="24"/>
          <w:lang w:val="es-ES"/>
        </w:rPr>
        <w:t xml:space="preserve"> </w:t>
      </w:r>
      <w:r w:rsidRPr="00A61DFC">
        <w:rPr>
          <w:rFonts w:ascii="Open Sans Light" w:hAnsi="Open Sans Light" w:cs="Open Sans Light"/>
          <w:i/>
          <w:iCs/>
          <w:sz w:val="24"/>
          <w:szCs w:val="24"/>
          <w:lang w:val="es-ES"/>
        </w:rPr>
        <w:t>(v) intervenciones vinculadas a la violencia en el ámbito educativo</w:t>
      </w:r>
      <w:r w:rsidRPr="00A61DFC">
        <w:rPr>
          <w:rFonts w:ascii="Open Sans Light" w:hAnsi="Open Sans Light" w:cs="Open Sans Light"/>
          <w:sz w:val="24"/>
          <w:szCs w:val="24"/>
          <w:lang w:val="es-ES"/>
        </w:rPr>
        <w:t xml:space="preserve">– los medios de verificación permiten afirmar que se cumplieron con los ejes-categoría (i), (ii), (iii) y (iv). </w:t>
      </w:r>
      <w:r w:rsidRPr="00F03883">
        <w:rPr>
          <w:rFonts w:ascii="Open Sans Light" w:hAnsi="Open Sans Light" w:cs="Open Sans Light"/>
          <w:sz w:val="24"/>
          <w:szCs w:val="24"/>
          <w:lang w:val="es-ES"/>
        </w:rPr>
        <w:t xml:space="preserve">Debido a una reducción en los niveles de ejecución presupuestaria no se cumplió con el eje-categoría (v). Los niveles de variación en ejecución presupuestal entre 2012 y 2020 son de 100%, 7%, 67%, </w:t>
      </w:r>
      <w:r w:rsidR="000B0205" w:rsidRPr="00F03883">
        <w:rPr>
          <w:rFonts w:ascii="Open Sans Light" w:hAnsi="Open Sans Light" w:cs="Open Sans Light"/>
          <w:sz w:val="24"/>
          <w:szCs w:val="24"/>
          <w:lang w:val="es-ES"/>
        </w:rPr>
        <w:t>232</w:t>
      </w:r>
      <w:r w:rsidRPr="00F03883">
        <w:rPr>
          <w:rFonts w:ascii="Open Sans Light" w:hAnsi="Open Sans Light" w:cs="Open Sans Light"/>
          <w:sz w:val="24"/>
          <w:szCs w:val="24"/>
          <w:lang w:val="es-ES"/>
        </w:rPr>
        <w:t>% y -</w:t>
      </w:r>
      <w:r w:rsidRPr="00F03883">
        <w:rPr>
          <w:rFonts w:ascii="Open Sans Light" w:hAnsi="Open Sans Light" w:cs="Open Sans Light"/>
          <w:sz w:val="24"/>
          <w:szCs w:val="24"/>
          <w:lang w:val="es-ES"/>
        </w:rPr>
        <w:lastRenderedPageBreak/>
        <w:t>25% para los ejes-</w:t>
      </w:r>
      <w:r w:rsidRPr="00D26390">
        <w:rPr>
          <w:rFonts w:ascii="Open Sans Light" w:hAnsi="Open Sans Light" w:cs="Open Sans Light"/>
          <w:sz w:val="24"/>
          <w:szCs w:val="24"/>
          <w:lang w:val="es-ES"/>
        </w:rPr>
        <w:t xml:space="preserve">categoría (i), (ii), (iii), (iv) y (v) respectivamente </w:t>
      </w:r>
      <w:r w:rsidRPr="00272563">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w:t>
      </w:r>
      <w:r w:rsidR="002B67C9" w:rsidRPr="004D0E60">
        <w:rPr>
          <w:rFonts w:ascii="Open Sans Light" w:hAnsi="Open Sans Light" w:cs="Open Sans Light"/>
          <w:sz w:val="24"/>
          <w:szCs w:val="24"/>
          <w:lang w:val="es-ES"/>
        </w:rPr>
        <w:t xml:space="preserve">Tabla </w:t>
      </w:r>
      <w:r w:rsidR="00272563" w:rsidRPr="004D0E60">
        <w:rPr>
          <w:rFonts w:ascii="Open Sans Light" w:hAnsi="Open Sans Light" w:cs="Open Sans Light"/>
          <w:sz w:val="24"/>
          <w:szCs w:val="24"/>
          <w:lang w:val="es-ES"/>
        </w:rPr>
        <w:t>A.13</w:t>
      </w:r>
      <w:r w:rsidRPr="004D0E60">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73A79661" w14:textId="4AFF2EBD"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Con relación a la variación positiva en ejecución presupuestal de 100% para el eje-categoría (i) –</w:t>
      </w:r>
      <w:r w:rsidRPr="00A61DFC">
        <w:rPr>
          <w:rFonts w:ascii="Open Sans Light" w:hAnsi="Open Sans Light" w:cs="Open Sans Light"/>
          <w:i/>
          <w:iCs/>
          <w:sz w:val="24"/>
          <w:szCs w:val="24"/>
          <w:lang w:val="es-ES"/>
        </w:rPr>
        <w:t>promoción de la comprensión lectora y razonamiento matemático</w:t>
      </w:r>
      <w:r w:rsidRPr="00A61DFC">
        <w:rPr>
          <w:rFonts w:ascii="Open Sans Light" w:hAnsi="Open Sans Light" w:cs="Open Sans Light"/>
          <w:sz w:val="24"/>
          <w:szCs w:val="24"/>
          <w:lang w:val="es-ES"/>
        </w:rPr>
        <w:t>– vale mencionar que se utilizaron los niveles de ejecución presupuestal del Programa Presupuestal Logros del Aprendizaje – PP0090 en el nivel primario, los cuales pasaron de 3,417,786,884 soles en 2012 a 6</w:t>
      </w:r>
      <w:r w:rsidR="008756F1">
        <w:rPr>
          <w:rFonts w:ascii="Open Sans Light" w:hAnsi="Open Sans Light" w:cs="Open Sans Light"/>
          <w:sz w:val="24"/>
          <w:szCs w:val="24"/>
          <w:lang w:val="es-ES"/>
        </w:rPr>
        <w:t>,</w:t>
      </w:r>
      <w:r w:rsidRPr="00A61DFC">
        <w:rPr>
          <w:rFonts w:ascii="Open Sans Light" w:hAnsi="Open Sans Light" w:cs="Open Sans Light"/>
          <w:sz w:val="24"/>
          <w:szCs w:val="24"/>
          <w:lang w:val="es-ES"/>
        </w:rPr>
        <w:t>829</w:t>
      </w:r>
      <w:r w:rsidR="008756F1">
        <w:rPr>
          <w:rFonts w:ascii="Open Sans Light" w:hAnsi="Open Sans Light" w:cs="Open Sans Light"/>
          <w:sz w:val="24"/>
          <w:szCs w:val="24"/>
          <w:lang w:val="es-ES"/>
        </w:rPr>
        <w:t>,</w:t>
      </w:r>
      <w:r w:rsidRPr="00A61DFC">
        <w:rPr>
          <w:rFonts w:ascii="Open Sans Light" w:hAnsi="Open Sans Light" w:cs="Open Sans Light"/>
          <w:sz w:val="24"/>
          <w:szCs w:val="24"/>
          <w:lang w:val="es-ES"/>
        </w:rPr>
        <w:t>974</w:t>
      </w:r>
      <w:r w:rsidR="008756F1">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273 soles en 2020. Luego tenemos que los niveles de variación no fueron homogéneos a nivel nacional. Así, tenemos departamentos como Amazonas, Cajamarca y Ucayali, con niveles positivos y elevados de variación en ejecución presupuestal de 140%, 137% y 131% respectivamente. Por otro lado, departamentos como Moquegua y Lima, y la provincia constitucional de Callao, donde los niveles de variación en </w:t>
      </w:r>
      <w:r w:rsidRPr="00D26390">
        <w:rPr>
          <w:rFonts w:ascii="Open Sans Light" w:hAnsi="Open Sans Light" w:cs="Open Sans Light"/>
          <w:sz w:val="24"/>
          <w:szCs w:val="24"/>
          <w:lang w:val="es-ES"/>
        </w:rPr>
        <w:t xml:space="preserve">ejecución presupuestal son 84%, </w:t>
      </w:r>
      <w:r w:rsidR="00C45552" w:rsidRPr="00D26390">
        <w:rPr>
          <w:rFonts w:ascii="Open Sans Light" w:hAnsi="Open Sans Light" w:cs="Open Sans Light"/>
          <w:sz w:val="24"/>
          <w:szCs w:val="24"/>
          <w:lang w:val="es-ES"/>
        </w:rPr>
        <w:t>59%</w:t>
      </w:r>
      <w:r w:rsidRPr="00D26390">
        <w:rPr>
          <w:rFonts w:ascii="Open Sans Light" w:hAnsi="Open Sans Light" w:cs="Open Sans Light"/>
          <w:sz w:val="24"/>
          <w:szCs w:val="24"/>
          <w:lang w:val="es-ES"/>
        </w:rPr>
        <w:t xml:space="preserve"> y </w:t>
      </w:r>
      <w:r w:rsidR="00C45552" w:rsidRPr="00D26390">
        <w:rPr>
          <w:rFonts w:ascii="Open Sans Light" w:hAnsi="Open Sans Light" w:cs="Open Sans Light"/>
          <w:sz w:val="24"/>
          <w:szCs w:val="24"/>
          <w:lang w:val="es-ES"/>
        </w:rPr>
        <w:t xml:space="preserve">82% </w:t>
      </w:r>
      <w:r w:rsidRPr="00D26390">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w:t>
      </w:r>
      <w:r w:rsidR="002B67C9" w:rsidRPr="004D0E60">
        <w:rPr>
          <w:rFonts w:ascii="Open Sans Light" w:hAnsi="Open Sans Light" w:cs="Open Sans Light"/>
          <w:sz w:val="24"/>
          <w:szCs w:val="24"/>
          <w:lang w:val="es-ES"/>
        </w:rPr>
        <w:t xml:space="preserve">Tabla </w:t>
      </w:r>
      <w:r w:rsidR="0000685B" w:rsidRPr="004D0E60">
        <w:rPr>
          <w:rFonts w:ascii="Open Sans Light" w:hAnsi="Open Sans Light" w:cs="Open Sans Light"/>
          <w:sz w:val="24"/>
          <w:szCs w:val="24"/>
          <w:lang w:val="es-ES"/>
        </w:rPr>
        <w:t>A.1</w:t>
      </w:r>
      <w:r w:rsidR="00D26390" w:rsidRPr="004D0E60">
        <w:rPr>
          <w:rFonts w:ascii="Open Sans Light" w:hAnsi="Open Sans Light" w:cs="Open Sans Light"/>
          <w:sz w:val="24"/>
          <w:szCs w:val="24"/>
          <w:lang w:val="es-ES"/>
        </w:rPr>
        <w:t>4</w:t>
      </w:r>
      <w:r w:rsidRPr="0000685B">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6C1AEA8C" w14:textId="2981BC9F" w:rsidR="00C45552" w:rsidRPr="00C45552" w:rsidRDefault="00C45552" w:rsidP="00C45552">
      <w:pPr>
        <w:pStyle w:val="ESTILOTABLA"/>
        <w:rPr>
          <w:i w:val="0"/>
          <w:iCs/>
        </w:rPr>
      </w:pPr>
      <w:r>
        <w:t xml:space="preserve">Figura </w:t>
      </w:r>
      <w:r w:rsidR="00A31AEE">
        <w:rPr>
          <w:noProof/>
        </w:rPr>
        <w:fldChar w:fldCharType="begin"/>
      </w:r>
      <w:r w:rsidR="00A31AEE">
        <w:rPr>
          <w:noProof/>
        </w:rPr>
        <w:instrText xml:space="preserve"> SEQ Figura \* ARABIC </w:instrText>
      </w:r>
      <w:r w:rsidR="00A31AEE">
        <w:rPr>
          <w:noProof/>
        </w:rPr>
        <w:fldChar w:fldCharType="separate"/>
      </w:r>
      <w:r w:rsidR="00846FB2">
        <w:rPr>
          <w:noProof/>
        </w:rPr>
        <w:t>4</w:t>
      </w:r>
      <w:r w:rsidR="00A31AEE">
        <w:rPr>
          <w:noProof/>
        </w:rPr>
        <w:fldChar w:fldCharType="end"/>
      </w:r>
      <w:r>
        <w:t xml:space="preserve">. </w:t>
      </w:r>
      <w:r w:rsidRPr="00677C6D">
        <w:rPr>
          <w:b/>
          <w:bCs/>
          <w:i w:val="0"/>
          <w:iCs/>
          <w:lang w:val="es-PE"/>
        </w:rPr>
        <w:t xml:space="preserve">Variación porcentual en los niveles de ejecución presupuestal </w:t>
      </w:r>
      <w:r>
        <w:rPr>
          <w:b/>
          <w:bCs/>
          <w:i w:val="0"/>
          <w:iCs/>
          <w:lang w:val="es-PE"/>
        </w:rPr>
        <w:t>(</w:t>
      </w:r>
      <w:r w:rsidR="00DD43F2" w:rsidRPr="00DD43F2">
        <w:rPr>
          <w:b/>
          <w:bCs/>
          <w:i w:val="0"/>
          <w:iCs/>
          <w:lang w:val="es-PE"/>
        </w:rPr>
        <w:t>Logros del Aprendizaje – PP0090 en el nivel primario</w:t>
      </w:r>
      <w:r>
        <w:rPr>
          <w:b/>
          <w:bCs/>
          <w:i w:val="0"/>
          <w:iCs/>
          <w:lang w:val="es-PE"/>
        </w:rPr>
        <w:t xml:space="preserve">), </w:t>
      </w:r>
      <w:r w:rsidRPr="00677C6D">
        <w:rPr>
          <w:b/>
          <w:bCs/>
          <w:i w:val="0"/>
          <w:iCs/>
          <w:lang w:val="es-PE"/>
        </w:rPr>
        <w:t>entre los años 2012 y 2020 por departamento</w:t>
      </w:r>
    </w:p>
    <w:p w14:paraId="79EEF032" w14:textId="635FB9E8" w:rsidR="00C45552" w:rsidRPr="002E39FC" w:rsidRDefault="00C45552" w:rsidP="00C45552">
      <w:pPr>
        <w:jc w:val="both"/>
        <w:rPr>
          <w:rFonts w:ascii="Open Sans Light" w:hAnsi="Open Sans Light" w:cs="Open Sans Light"/>
          <w:color w:val="00B050"/>
          <w:sz w:val="24"/>
          <w:szCs w:val="24"/>
          <w:lang w:val="es-ES"/>
        </w:rPr>
      </w:pPr>
      <w:r>
        <w:rPr>
          <w:noProof/>
          <w:lang w:val="en-GB" w:eastAsia="en-GB"/>
        </w:rPr>
        <w:drawing>
          <wp:inline distT="0" distB="0" distL="0" distR="0" wp14:anchorId="6A6BD48B" wp14:editId="6BB5FC1D">
            <wp:extent cx="5227320" cy="3407434"/>
            <wp:effectExtent l="0" t="0" r="0" b="2540"/>
            <wp:docPr id="65" name="Gráfico 65">
              <a:extLst xmlns:a="http://schemas.openxmlformats.org/drawingml/2006/main">
                <a:ext uri="{FF2B5EF4-FFF2-40B4-BE49-F238E27FC236}">
                  <a16:creationId xmlns:a16="http://schemas.microsoft.com/office/drawing/2014/main" id="{02BBD862-4DCF-4079-A8E5-26EF012D50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F40FDC5" w14:textId="3AB0EB7E"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En lo que concierne a la variación de 7% para el eje-categoría (ii) –</w:t>
      </w:r>
      <w:r w:rsidRPr="00A61DFC">
        <w:rPr>
          <w:rFonts w:ascii="Open Sans Light" w:hAnsi="Open Sans Light" w:cs="Open Sans Light"/>
          <w:i/>
          <w:iCs/>
          <w:sz w:val="24"/>
          <w:szCs w:val="24"/>
          <w:lang w:val="es-ES"/>
        </w:rPr>
        <w:t>formación de docentes con pertinencia cultural y de género</w:t>
      </w:r>
      <w:r w:rsidRPr="00A61DFC">
        <w:rPr>
          <w:rFonts w:ascii="Open Sans Light" w:hAnsi="Open Sans Light" w:cs="Open Sans Light"/>
          <w:sz w:val="24"/>
          <w:szCs w:val="24"/>
          <w:lang w:val="es-ES"/>
        </w:rPr>
        <w:t xml:space="preserve">– se recalca que se utilizó el producto del PP 0090 “Docentes preparados implementan el </w:t>
      </w:r>
      <w:r w:rsidRPr="00A61DFC">
        <w:rPr>
          <w:rFonts w:ascii="Open Sans Light" w:hAnsi="Open Sans Light" w:cs="Open Sans Light"/>
          <w:sz w:val="24"/>
          <w:szCs w:val="24"/>
          <w:lang w:val="es-ES"/>
        </w:rPr>
        <w:lastRenderedPageBreak/>
        <w:t xml:space="preserve">currículo” cuyo presupuesto ejecutado pasó de 114,786,430 soles en 2013 a 123,215,587 soles en 2020. A nivel nacional se observaron diferentes variaciones entre 2013 y 2020 en cuanto a los presupuestos ejecutados. Así se tiene departamentos como Amazonas, Piura y Cajamarca con variaciones en presupuesto ejecutado de 404%, 301% y 203% respectivamente. De manera opuesta, tenemos departamentos como Madre de Dios, Moquegua y Tumbes, donde la </w:t>
      </w:r>
      <w:r w:rsidRPr="00D26390">
        <w:rPr>
          <w:rFonts w:ascii="Open Sans Light" w:hAnsi="Open Sans Light" w:cs="Open Sans Light"/>
          <w:sz w:val="24"/>
          <w:szCs w:val="24"/>
          <w:lang w:val="es-ES"/>
        </w:rPr>
        <w:t>variación alcanzó niveles negativos de -61%, -63% y -85% (</w:t>
      </w:r>
      <w:r w:rsidRPr="004D0E60">
        <w:rPr>
          <w:rFonts w:ascii="Open Sans Light" w:hAnsi="Open Sans Light" w:cs="Open Sans Light"/>
          <w:sz w:val="24"/>
          <w:szCs w:val="24"/>
          <w:lang w:val="es-ES"/>
        </w:rPr>
        <w:t>véase detalle en</w:t>
      </w:r>
      <w:r w:rsidRPr="00013557">
        <w:rPr>
          <w:rFonts w:ascii="Open Sans Light" w:hAnsi="Open Sans Light" w:cs="Open Sans Light"/>
          <w:sz w:val="24"/>
          <w:szCs w:val="24"/>
          <w:lang w:val="es-ES"/>
        </w:rPr>
        <w:t xml:space="preserve"> Anexo, </w:t>
      </w:r>
      <w:r w:rsidR="002B67C9" w:rsidRPr="00013557">
        <w:rPr>
          <w:rFonts w:ascii="Open Sans Light" w:hAnsi="Open Sans Light" w:cs="Open Sans Light"/>
          <w:sz w:val="24"/>
          <w:szCs w:val="24"/>
          <w:lang w:val="es-ES"/>
        </w:rPr>
        <w:t xml:space="preserve">Tabla </w:t>
      </w:r>
      <w:r w:rsidR="00013557" w:rsidRPr="00013557">
        <w:rPr>
          <w:rFonts w:ascii="Open Sans Light" w:hAnsi="Open Sans Light" w:cs="Open Sans Light"/>
          <w:sz w:val="24"/>
          <w:szCs w:val="24"/>
          <w:lang w:val="es-ES"/>
        </w:rPr>
        <w:t>A.1</w:t>
      </w:r>
      <w:r w:rsidR="00D26390" w:rsidRPr="00013557">
        <w:rPr>
          <w:rFonts w:ascii="Open Sans Light" w:hAnsi="Open Sans Light" w:cs="Open Sans Light"/>
          <w:sz w:val="24"/>
          <w:szCs w:val="24"/>
          <w:lang w:val="es-ES"/>
        </w:rPr>
        <w:t>5</w:t>
      </w:r>
      <w:r w:rsidRPr="00013557">
        <w:rPr>
          <w:rFonts w:ascii="Open Sans Light" w:hAnsi="Open Sans Light" w:cs="Open Sans Light"/>
          <w:sz w:val="24"/>
          <w:szCs w:val="24"/>
          <w:lang w:val="es-ES"/>
        </w:rPr>
        <w:t>).</w:t>
      </w:r>
    </w:p>
    <w:p w14:paraId="7B547C8D" w14:textId="30470AA7"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En referencia a la variación positiva en ejecución presupuestal de 67% para el eje-categoría (iii) –</w:t>
      </w:r>
      <w:r w:rsidRPr="00A61DFC">
        <w:rPr>
          <w:rFonts w:ascii="Open Sans Light" w:hAnsi="Open Sans Light" w:cs="Open Sans Light"/>
          <w:i/>
          <w:iCs/>
          <w:sz w:val="24"/>
          <w:szCs w:val="24"/>
          <w:lang w:val="es-ES"/>
        </w:rPr>
        <w:t>promoción de la educación bilingüe</w:t>
      </w:r>
      <w:r w:rsidRPr="00A61DFC">
        <w:rPr>
          <w:rFonts w:ascii="Open Sans Light" w:hAnsi="Open Sans Light" w:cs="Open Sans Light"/>
          <w:sz w:val="24"/>
          <w:szCs w:val="24"/>
          <w:lang w:val="es-ES"/>
        </w:rPr>
        <w:t>– se utilizó para el cálculo el producto “Docentes preparados implementan el currículo” del PP 0090, el cual vio incrementado su presupuesto desde 17</w:t>
      </w:r>
      <w:r w:rsidR="00E0000C">
        <w:rPr>
          <w:rFonts w:ascii="Open Sans Light" w:hAnsi="Open Sans Light" w:cs="Open Sans Light"/>
          <w:sz w:val="24"/>
          <w:szCs w:val="24"/>
          <w:lang w:val="es-ES"/>
        </w:rPr>
        <w:t>,</w:t>
      </w:r>
      <w:r w:rsidRPr="00A61DFC">
        <w:rPr>
          <w:rFonts w:ascii="Open Sans Light" w:hAnsi="Open Sans Light" w:cs="Open Sans Light"/>
          <w:sz w:val="24"/>
          <w:szCs w:val="24"/>
          <w:lang w:val="es-ES"/>
        </w:rPr>
        <w:t>152</w:t>
      </w:r>
      <w:r w:rsidR="00E0000C">
        <w:rPr>
          <w:rFonts w:ascii="Open Sans Light" w:hAnsi="Open Sans Light" w:cs="Open Sans Light"/>
          <w:sz w:val="24"/>
          <w:szCs w:val="24"/>
          <w:lang w:val="es-ES"/>
        </w:rPr>
        <w:t>,</w:t>
      </w:r>
      <w:r w:rsidRPr="00A61DFC">
        <w:rPr>
          <w:rFonts w:ascii="Open Sans Light" w:hAnsi="Open Sans Light" w:cs="Open Sans Light"/>
          <w:sz w:val="24"/>
          <w:szCs w:val="24"/>
          <w:lang w:val="es-ES"/>
        </w:rPr>
        <w:t>925 soles en 2012, a 28</w:t>
      </w:r>
      <w:r w:rsidR="00E0000C">
        <w:rPr>
          <w:rFonts w:ascii="Open Sans Light" w:hAnsi="Open Sans Light" w:cs="Open Sans Light"/>
          <w:sz w:val="24"/>
          <w:szCs w:val="24"/>
          <w:lang w:val="es-ES"/>
        </w:rPr>
        <w:t>,</w:t>
      </w:r>
      <w:r w:rsidRPr="00A61DFC">
        <w:rPr>
          <w:rFonts w:ascii="Open Sans Light" w:hAnsi="Open Sans Light" w:cs="Open Sans Light"/>
          <w:sz w:val="24"/>
          <w:szCs w:val="24"/>
          <w:lang w:val="es-ES"/>
        </w:rPr>
        <w:t>621</w:t>
      </w:r>
      <w:r w:rsidR="00E0000C">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786 soles en 2020. Los niveles de variación en ejecución presupuestaria fueron heterogéneos a nivel nacional. Los departamentos de Madre de Dios, Huánuco y Loreto presentaron los mejores niveles de variación con 1912%, 906% y 797% respectivamente. Los departamentos de Pasco, Huancavelica y Moquegua mostraron los peores </w:t>
      </w:r>
      <w:r w:rsidRPr="00D26390">
        <w:rPr>
          <w:rFonts w:ascii="Open Sans Light" w:hAnsi="Open Sans Light" w:cs="Open Sans Light"/>
          <w:sz w:val="24"/>
          <w:szCs w:val="24"/>
          <w:lang w:val="es-ES"/>
        </w:rPr>
        <w:t>niveles de variación con -66%, -78% y -100% (</w:t>
      </w:r>
      <w:r w:rsidRPr="004D0E60">
        <w:rPr>
          <w:rFonts w:ascii="Open Sans Light" w:hAnsi="Open Sans Light" w:cs="Open Sans Light"/>
          <w:sz w:val="24"/>
          <w:szCs w:val="24"/>
          <w:lang w:val="es-ES"/>
        </w:rPr>
        <w:t xml:space="preserve">véase detalle en Anexo, </w:t>
      </w:r>
      <w:r w:rsidR="00CE18D6" w:rsidRPr="004D0E60">
        <w:rPr>
          <w:rFonts w:ascii="Open Sans Light" w:hAnsi="Open Sans Light" w:cs="Open Sans Light"/>
          <w:sz w:val="24"/>
          <w:szCs w:val="24"/>
          <w:lang w:val="es-ES"/>
        </w:rPr>
        <w:t xml:space="preserve">Tabla </w:t>
      </w:r>
      <w:r w:rsidR="00013557">
        <w:rPr>
          <w:rFonts w:ascii="Open Sans Light" w:hAnsi="Open Sans Light" w:cs="Open Sans Light"/>
          <w:sz w:val="24"/>
          <w:szCs w:val="24"/>
          <w:lang w:val="es-ES"/>
        </w:rPr>
        <w:t>A.1</w:t>
      </w:r>
      <w:r w:rsidR="00D26390" w:rsidRPr="004D0E60">
        <w:rPr>
          <w:rFonts w:ascii="Open Sans Light" w:hAnsi="Open Sans Light" w:cs="Open Sans Light"/>
          <w:sz w:val="24"/>
          <w:szCs w:val="24"/>
          <w:lang w:val="es-ES"/>
        </w:rPr>
        <w:t>6</w:t>
      </w:r>
      <w:r w:rsidRPr="00D26390">
        <w:rPr>
          <w:rFonts w:ascii="Open Sans Light" w:hAnsi="Open Sans Light" w:cs="Open Sans Light"/>
          <w:sz w:val="24"/>
          <w:szCs w:val="24"/>
          <w:lang w:val="es-ES"/>
        </w:rPr>
        <w:t>).</w:t>
      </w:r>
    </w:p>
    <w:p w14:paraId="733B3584" w14:textId="79335819"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En lo que concierne a la variación en ejecución presupuestal de -68% para el eje categoría (iv) –</w:t>
      </w:r>
      <w:r w:rsidRPr="00A61DFC">
        <w:rPr>
          <w:rFonts w:ascii="Open Sans Light" w:hAnsi="Open Sans Light" w:cs="Open Sans Light"/>
          <w:i/>
          <w:iCs/>
          <w:sz w:val="24"/>
          <w:szCs w:val="24"/>
          <w:lang w:val="es-ES"/>
        </w:rPr>
        <w:t>fortalecimiento de la educación desde la familia</w:t>
      </w:r>
      <w:r w:rsidRPr="00A61DFC">
        <w:rPr>
          <w:rFonts w:ascii="Open Sans Light" w:hAnsi="Open Sans Light" w:cs="Open Sans Light"/>
          <w:sz w:val="24"/>
          <w:szCs w:val="24"/>
          <w:lang w:val="es-ES"/>
        </w:rPr>
        <w:t xml:space="preserve">– se empleó el producto ‘Familias asistidas para su participación efectiva en el proceso educativo’. Entre 2013 y 2020 se </w:t>
      </w:r>
      <w:r w:rsidR="00291C02" w:rsidRPr="00A61DFC">
        <w:rPr>
          <w:rFonts w:ascii="Open Sans Light" w:hAnsi="Open Sans Light" w:cs="Open Sans Light"/>
          <w:sz w:val="24"/>
          <w:szCs w:val="24"/>
          <w:lang w:val="es-ES"/>
        </w:rPr>
        <w:t>pasó</w:t>
      </w:r>
      <w:r w:rsidRPr="00A61DFC">
        <w:rPr>
          <w:rFonts w:ascii="Open Sans Light" w:hAnsi="Open Sans Light" w:cs="Open Sans Light"/>
          <w:sz w:val="24"/>
          <w:szCs w:val="24"/>
          <w:lang w:val="es-ES"/>
        </w:rPr>
        <w:t xml:space="preserve"> de 641,329 soles a 202,880 soles de presupuesto ejecutado. Considerando que hasta 2019 se tuvo una variación positiva de 232% puede manejarse la hipótesis de que la caída en la variación de presupuesto ejecutado puede deberse al impacto de la pandemia por COVID-19. </w:t>
      </w:r>
    </w:p>
    <w:p w14:paraId="4180F261" w14:textId="77777777"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Finalmente, respecto a la variación en ejecución presupuestal de -25%, reportada para el eje-categoría (v) –</w:t>
      </w:r>
      <w:r w:rsidRPr="00A61DFC">
        <w:rPr>
          <w:rFonts w:ascii="Open Sans Light" w:hAnsi="Open Sans Light" w:cs="Open Sans Light"/>
          <w:i/>
          <w:iCs/>
          <w:sz w:val="24"/>
          <w:szCs w:val="24"/>
          <w:lang w:val="es-ES"/>
        </w:rPr>
        <w:t>intervenciones vinculadas a la violencia en el ámbito educativo</w:t>
      </w:r>
      <w:r w:rsidRPr="00A61DFC">
        <w:rPr>
          <w:rFonts w:ascii="Open Sans Light" w:hAnsi="Open Sans Light" w:cs="Open Sans Light"/>
          <w:sz w:val="24"/>
          <w:szCs w:val="24"/>
          <w:lang w:val="es-ES"/>
        </w:rPr>
        <w:t xml:space="preserve">–, se tiene como base al Programa Presupuestal de ‘Lucha contra la Violencia Familiar’ PP0080, que pasó de contar con un presupuesto ejecutado de 1,217,010 soles en 2014, a tener uno de 912,284 en 2020. </w:t>
      </w:r>
    </w:p>
    <w:p w14:paraId="67A8E48C" w14:textId="2CC225F3" w:rsidR="009C1BBA" w:rsidRPr="00302834" w:rsidRDefault="00BC2848" w:rsidP="00302834">
      <w:pPr>
        <w:jc w:val="both"/>
        <w:rPr>
          <w:rFonts w:ascii="Open Sans Light" w:hAnsi="Open Sans Light" w:cs="Open Sans Light"/>
          <w:b/>
          <w:bCs/>
          <w:sz w:val="24"/>
          <w:szCs w:val="24"/>
          <w:lang w:val="es-ES"/>
        </w:rPr>
      </w:pPr>
      <w:r w:rsidRPr="00A61DFC">
        <w:rPr>
          <w:rFonts w:ascii="Open Sans Light" w:hAnsi="Open Sans Light" w:cs="Open Sans Light"/>
          <w:b/>
          <w:bCs/>
          <w:sz w:val="24"/>
          <w:szCs w:val="24"/>
          <w:lang w:val="es-ES"/>
        </w:rPr>
        <w:lastRenderedPageBreak/>
        <w:t>Cuarta Meta Emblemática. La tasa de maternidad adolescente se reduce en un 20%</w:t>
      </w:r>
    </w:p>
    <w:p w14:paraId="482C66F7" w14:textId="48A9615C" w:rsidR="00302834" w:rsidRPr="003D1F78" w:rsidRDefault="00302834" w:rsidP="00302834">
      <w:pPr>
        <w:pStyle w:val="ESTILOTABLA"/>
      </w:pPr>
      <w:r w:rsidRPr="003D1F78">
        <w:t xml:space="preserve">Tabla </w:t>
      </w:r>
      <w:fldSimple w:instr=" SEQ Tabla \* ARABIC ">
        <w:r w:rsidR="00846FB2">
          <w:rPr>
            <w:noProof/>
          </w:rPr>
          <w:t>8</w:t>
        </w:r>
      </w:fldSimple>
      <w:r w:rsidRPr="003D1F78">
        <w:t>.</w:t>
      </w:r>
      <w:r w:rsidRPr="003D1F78">
        <w:rPr>
          <w:rFonts w:eastAsia="Open Sans Light"/>
          <w:b/>
          <w:color w:val="000000"/>
          <w:szCs w:val="24"/>
        </w:rPr>
        <w:t xml:space="preserve"> </w:t>
      </w:r>
      <w:r w:rsidRPr="003D1F78">
        <w:rPr>
          <w:rFonts w:eastAsia="Open Sans Light"/>
          <w:b/>
          <w:i w:val="0"/>
          <w:iCs/>
          <w:color w:val="000000"/>
          <w:szCs w:val="24"/>
        </w:rPr>
        <w:t xml:space="preserve">Balance para </w:t>
      </w:r>
      <w:r w:rsidR="004D0E60" w:rsidRPr="003D1F78">
        <w:rPr>
          <w:rFonts w:eastAsia="Open Sans Light"/>
          <w:b/>
          <w:i w:val="0"/>
          <w:iCs/>
          <w:color w:val="000000"/>
          <w:szCs w:val="24"/>
        </w:rPr>
        <w:t xml:space="preserve">la </w:t>
      </w:r>
      <w:r w:rsidRPr="003D1F78">
        <w:rPr>
          <w:rFonts w:eastAsia="Open Sans Light"/>
          <w:b/>
          <w:i w:val="0"/>
          <w:iCs/>
          <w:color w:val="000000"/>
          <w:szCs w:val="24"/>
        </w:rPr>
        <w:t>Cuarta Meta Emblemática</w:t>
      </w:r>
    </w:p>
    <w:tbl>
      <w:tblPr>
        <w:tblW w:w="8440" w:type="dxa"/>
        <w:tblCellMar>
          <w:left w:w="70" w:type="dxa"/>
          <w:right w:w="70" w:type="dxa"/>
        </w:tblCellMar>
        <w:tblLook w:val="04A0" w:firstRow="1" w:lastRow="0" w:firstColumn="1" w:lastColumn="0" w:noHBand="0" w:noVBand="1"/>
      </w:tblPr>
      <w:tblGrid>
        <w:gridCol w:w="1020"/>
        <w:gridCol w:w="2820"/>
        <w:gridCol w:w="2300"/>
        <w:gridCol w:w="720"/>
        <w:gridCol w:w="1580"/>
      </w:tblGrid>
      <w:tr w:rsidR="001677FC" w:rsidRPr="003D1F78" w14:paraId="7208B972" w14:textId="77777777" w:rsidTr="001677FC">
        <w:trPr>
          <w:trHeight w:val="480"/>
        </w:trPr>
        <w:tc>
          <w:tcPr>
            <w:tcW w:w="102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2CF7BFEA"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Objetivo Estratégico</w:t>
            </w:r>
          </w:p>
        </w:tc>
        <w:tc>
          <w:tcPr>
            <w:tcW w:w="2820" w:type="dxa"/>
            <w:tcBorders>
              <w:top w:val="single" w:sz="4" w:space="0" w:color="auto"/>
              <w:left w:val="nil"/>
              <w:bottom w:val="single" w:sz="4" w:space="0" w:color="auto"/>
              <w:right w:val="single" w:sz="4" w:space="0" w:color="auto"/>
            </w:tcBorders>
            <w:shd w:val="clear" w:color="000000" w:fill="000000"/>
            <w:vAlign w:val="center"/>
            <w:hideMark/>
          </w:tcPr>
          <w:p w14:paraId="378A41C9"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Resultado Esperado y Meta PNAIA 2012-2021</w:t>
            </w:r>
          </w:p>
        </w:tc>
        <w:tc>
          <w:tcPr>
            <w:tcW w:w="2300" w:type="dxa"/>
            <w:tcBorders>
              <w:top w:val="single" w:sz="4" w:space="0" w:color="auto"/>
              <w:left w:val="nil"/>
              <w:bottom w:val="single" w:sz="4" w:space="0" w:color="auto"/>
              <w:right w:val="single" w:sz="4" w:space="0" w:color="auto"/>
            </w:tcBorders>
            <w:shd w:val="clear" w:color="000000" w:fill="000000"/>
            <w:vAlign w:val="center"/>
            <w:hideMark/>
          </w:tcPr>
          <w:p w14:paraId="4E0A8453"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Indicador priorizado</w:t>
            </w:r>
          </w:p>
        </w:tc>
        <w:tc>
          <w:tcPr>
            <w:tcW w:w="720" w:type="dxa"/>
            <w:tcBorders>
              <w:top w:val="single" w:sz="4" w:space="0" w:color="auto"/>
              <w:left w:val="nil"/>
              <w:bottom w:val="single" w:sz="4" w:space="0" w:color="auto"/>
              <w:right w:val="single" w:sz="4" w:space="0" w:color="auto"/>
            </w:tcBorders>
            <w:shd w:val="clear" w:color="000000" w:fill="000000"/>
            <w:vAlign w:val="center"/>
            <w:hideMark/>
          </w:tcPr>
          <w:p w14:paraId="048348DC"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Estado</w:t>
            </w:r>
          </w:p>
        </w:tc>
        <w:tc>
          <w:tcPr>
            <w:tcW w:w="1580" w:type="dxa"/>
            <w:tcBorders>
              <w:top w:val="single" w:sz="4" w:space="0" w:color="auto"/>
              <w:left w:val="nil"/>
              <w:bottom w:val="single" w:sz="4" w:space="0" w:color="auto"/>
              <w:right w:val="single" w:sz="4" w:space="0" w:color="auto"/>
            </w:tcBorders>
            <w:shd w:val="clear" w:color="000000" w:fill="000000"/>
            <w:vAlign w:val="center"/>
            <w:hideMark/>
          </w:tcPr>
          <w:p w14:paraId="3B8ED832"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 de avance</w:t>
            </w:r>
          </w:p>
        </w:tc>
      </w:tr>
      <w:tr w:rsidR="001677FC" w:rsidRPr="003D1F78" w14:paraId="23701139" w14:textId="77777777" w:rsidTr="001677FC">
        <w:trPr>
          <w:trHeight w:val="960"/>
        </w:trPr>
        <w:tc>
          <w:tcPr>
            <w:tcW w:w="1020" w:type="dxa"/>
            <w:tcBorders>
              <w:top w:val="nil"/>
              <w:left w:val="single" w:sz="4" w:space="0" w:color="auto"/>
              <w:bottom w:val="single" w:sz="4" w:space="0" w:color="auto"/>
              <w:right w:val="single" w:sz="4" w:space="0" w:color="auto"/>
            </w:tcBorders>
            <w:shd w:val="clear" w:color="auto" w:fill="auto"/>
            <w:vAlign w:val="center"/>
            <w:hideMark/>
          </w:tcPr>
          <w:p w14:paraId="53BF4EF6"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OE3</w:t>
            </w:r>
          </w:p>
        </w:tc>
        <w:tc>
          <w:tcPr>
            <w:tcW w:w="2820" w:type="dxa"/>
            <w:tcBorders>
              <w:top w:val="nil"/>
              <w:left w:val="nil"/>
              <w:bottom w:val="single" w:sz="4" w:space="0" w:color="auto"/>
              <w:right w:val="single" w:sz="4" w:space="0" w:color="auto"/>
            </w:tcBorders>
            <w:shd w:val="clear" w:color="auto" w:fill="auto"/>
            <w:vAlign w:val="center"/>
            <w:hideMark/>
          </w:tcPr>
          <w:p w14:paraId="6D4519A4"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RE9: Reducir en un 20% el embarazo adolescente</w:t>
            </w:r>
          </w:p>
        </w:tc>
        <w:tc>
          <w:tcPr>
            <w:tcW w:w="2300" w:type="dxa"/>
            <w:tcBorders>
              <w:top w:val="nil"/>
              <w:left w:val="nil"/>
              <w:bottom w:val="single" w:sz="4" w:space="0" w:color="auto"/>
              <w:right w:val="single" w:sz="4" w:space="0" w:color="auto"/>
            </w:tcBorders>
            <w:shd w:val="clear" w:color="auto" w:fill="auto"/>
            <w:vAlign w:val="center"/>
            <w:hideMark/>
          </w:tcPr>
          <w:p w14:paraId="0EF5A676"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Porcentaje de mujeres (15-19 años) que ya son madres o están embarazadas por primera vez</w:t>
            </w:r>
          </w:p>
        </w:tc>
        <w:tc>
          <w:tcPr>
            <w:tcW w:w="720" w:type="dxa"/>
            <w:tcBorders>
              <w:top w:val="nil"/>
              <w:left w:val="nil"/>
              <w:bottom w:val="single" w:sz="4" w:space="0" w:color="auto"/>
              <w:right w:val="single" w:sz="4" w:space="0" w:color="auto"/>
            </w:tcBorders>
            <w:shd w:val="clear" w:color="auto" w:fill="auto"/>
            <w:vAlign w:val="center"/>
            <w:hideMark/>
          </w:tcPr>
          <w:p w14:paraId="00FFB657"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Se cumplió</w:t>
            </w:r>
          </w:p>
        </w:tc>
        <w:tc>
          <w:tcPr>
            <w:tcW w:w="1580" w:type="dxa"/>
            <w:tcBorders>
              <w:top w:val="nil"/>
              <w:left w:val="nil"/>
              <w:bottom w:val="single" w:sz="4" w:space="0" w:color="auto"/>
              <w:right w:val="single" w:sz="4" w:space="0" w:color="auto"/>
            </w:tcBorders>
            <w:shd w:val="clear" w:color="auto" w:fill="auto"/>
            <w:vAlign w:val="center"/>
            <w:hideMark/>
          </w:tcPr>
          <w:p w14:paraId="6D02E74B"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no aplica</w:t>
            </w:r>
          </w:p>
        </w:tc>
      </w:tr>
      <w:tr w:rsidR="001677FC" w:rsidRPr="003D1F78" w14:paraId="377B5CA0" w14:textId="77777777" w:rsidTr="001677FC">
        <w:trPr>
          <w:trHeight w:val="720"/>
        </w:trPr>
        <w:tc>
          <w:tcPr>
            <w:tcW w:w="3840" w:type="dxa"/>
            <w:gridSpan w:val="2"/>
            <w:tcBorders>
              <w:top w:val="single" w:sz="4" w:space="0" w:color="auto"/>
              <w:left w:val="single" w:sz="4" w:space="0" w:color="auto"/>
              <w:bottom w:val="single" w:sz="4" w:space="0" w:color="auto"/>
              <w:right w:val="single" w:sz="4" w:space="0" w:color="auto"/>
            </w:tcBorders>
            <w:shd w:val="clear" w:color="000000" w:fill="000000"/>
            <w:vAlign w:val="center"/>
            <w:hideMark/>
          </w:tcPr>
          <w:p w14:paraId="1D518928"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Categoría</w:t>
            </w:r>
          </w:p>
        </w:tc>
        <w:tc>
          <w:tcPr>
            <w:tcW w:w="3020" w:type="dxa"/>
            <w:gridSpan w:val="2"/>
            <w:tcBorders>
              <w:top w:val="single" w:sz="4" w:space="0" w:color="auto"/>
              <w:left w:val="nil"/>
              <w:bottom w:val="single" w:sz="4" w:space="0" w:color="auto"/>
              <w:right w:val="single" w:sz="4" w:space="0" w:color="auto"/>
            </w:tcBorders>
            <w:shd w:val="clear" w:color="000000" w:fill="000000"/>
            <w:vAlign w:val="center"/>
            <w:hideMark/>
          </w:tcPr>
          <w:p w14:paraId="5C078804"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 xml:space="preserve">Medio de verificación </w:t>
            </w:r>
          </w:p>
        </w:tc>
        <w:tc>
          <w:tcPr>
            <w:tcW w:w="1580" w:type="dxa"/>
            <w:tcBorders>
              <w:top w:val="nil"/>
              <w:left w:val="nil"/>
              <w:bottom w:val="single" w:sz="4" w:space="0" w:color="auto"/>
              <w:right w:val="single" w:sz="4" w:space="0" w:color="auto"/>
            </w:tcBorders>
            <w:shd w:val="clear" w:color="000000" w:fill="000000"/>
            <w:vAlign w:val="center"/>
            <w:hideMark/>
          </w:tcPr>
          <w:p w14:paraId="27F9DC0B"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 var. en ejecución presupuestal</w:t>
            </w:r>
          </w:p>
        </w:tc>
      </w:tr>
      <w:tr w:rsidR="001677FC" w:rsidRPr="003D1F78" w14:paraId="48AFAA81" w14:textId="77777777" w:rsidTr="001677FC">
        <w:trPr>
          <w:trHeight w:val="1092"/>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29D3CAC"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Acceso a servicios diferenciados en el ámbito de la salud</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352D3E18"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Programa Presupuestal de Salud Materno Neonatal – PP 0002: Producto “Adolescentes acceden a servicios de salud para prevención del embarazo”</w:t>
            </w:r>
          </w:p>
        </w:tc>
        <w:tc>
          <w:tcPr>
            <w:tcW w:w="1580" w:type="dxa"/>
            <w:tcBorders>
              <w:top w:val="nil"/>
              <w:left w:val="nil"/>
              <w:bottom w:val="single" w:sz="4" w:space="0" w:color="auto"/>
              <w:right w:val="single" w:sz="4" w:space="0" w:color="auto"/>
            </w:tcBorders>
            <w:shd w:val="clear" w:color="auto" w:fill="auto"/>
            <w:vAlign w:val="center"/>
            <w:hideMark/>
          </w:tcPr>
          <w:p w14:paraId="23B3ED9F"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181%</w:t>
            </w:r>
          </w:p>
        </w:tc>
      </w:tr>
      <w:tr w:rsidR="001677FC" w:rsidRPr="001677FC" w14:paraId="0B61ED0E" w14:textId="77777777" w:rsidTr="001677FC">
        <w:trPr>
          <w:trHeight w:val="1092"/>
        </w:trPr>
        <w:tc>
          <w:tcPr>
            <w:tcW w:w="3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2CE41E"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Intervenciones en el ámbito educativo</w:t>
            </w:r>
          </w:p>
        </w:tc>
        <w:tc>
          <w:tcPr>
            <w:tcW w:w="3020" w:type="dxa"/>
            <w:gridSpan w:val="2"/>
            <w:tcBorders>
              <w:top w:val="single" w:sz="4" w:space="0" w:color="auto"/>
              <w:left w:val="nil"/>
              <w:bottom w:val="single" w:sz="4" w:space="0" w:color="auto"/>
              <w:right w:val="single" w:sz="4" w:space="0" w:color="auto"/>
            </w:tcBorders>
            <w:shd w:val="clear" w:color="auto" w:fill="auto"/>
            <w:vAlign w:val="center"/>
            <w:hideMark/>
          </w:tcPr>
          <w:p w14:paraId="533810CA"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Programa de Salud Materno Neonatal – PP 0002, muestra en su producto “Instituciones educativas saludables promueven salud sexual y reproductiva”</w:t>
            </w:r>
          </w:p>
        </w:tc>
        <w:tc>
          <w:tcPr>
            <w:tcW w:w="1580" w:type="dxa"/>
            <w:tcBorders>
              <w:top w:val="nil"/>
              <w:left w:val="nil"/>
              <w:bottom w:val="single" w:sz="4" w:space="0" w:color="auto"/>
              <w:right w:val="single" w:sz="4" w:space="0" w:color="auto"/>
            </w:tcBorders>
            <w:shd w:val="clear" w:color="auto" w:fill="auto"/>
            <w:vAlign w:val="center"/>
            <w:hideMark/>
          </w:tcPr>
          <w:p w14:paraId="28E8F093" w14:textId="77777777" w:rsidR="001677FC" w:rsidRPr="001677FC"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34%</w:t>
            </w:r>
          </w:p>
        </w:tc>
      </w:tr>
    </w:tbl>
    <w:p w14:paraId="31246664" w14:textId="30708641" w:rsidR="00BC2848" w:rsidRPr="00A61DFC" w:rsidRDefault="00BC2848" w:rsidP="00302834">
      <w:pPr>
        <w:spacing w:before="240"/>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 xml:space="preserve">La cuarta meta está vinculada al Resultado Esperado 9 del </w:t>
      </w:r>
      <w:r w:rsidR="00D979D4">
        <w:rPr>
          <w:rFonts w:ascii="Open Sans Light" w:hAnsi="Open Sans Light" w:cs="Open Sans Light"/>
          <w:sz w:val="24"/>
          <w:szCs w:val="24"/>
          <w:lang w:val="es-ES"/>
        </w:rPr>
        <w:t>PNAIA 2012 – 2021</w:t>
      </w:r>
      <w:r w:rsidRPr="00A61DFC">
        <w:rPr>
          <w:rFonts w:ascii="Open Sans Light" w:hAnsi="Open Sans Light" w:cs="Open Sans Light"/>
          <w:sz w:val="24"/>
          <w:szCs w:val="24"/>
          <w:lang w:val="es-ES"/>
        </w:rPr>
        <w:t>, el cual busca reducir en un 20% el embarazo adolescente. Para lograrlo se plantearon 6 estrategias de imp</w:t>
      </w:r>
      <w:r w:rsidRPr="00D26390">
        <w:rPr>
          <w:rFonts w:ascii="Open Sans Light" w:hAnsi="Open Sans Light" w:cs="Open Sans Light"/>
          <w:sz w:val="24"/>
          <w:szCs w:val="24"/>
          <w:lang w:val="es-ES"/>
        </w:rPr>
        <w:t xml:space="preserve">lementación agrupadas en 2 categorías </w:t>
      </w:r>
      <w:r w:rsidRPr="00F17F90">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w:t>
      </w:r>
      <w:r w:rsidR="00121B6F" w:rsidRPr="004D0E60">
        <w:rPr>
          <w:rFonts w:ascii="Open Sans Light" w:hAnsi="Open Sans Light" w:cs="Open Sans Light"/>
          <w:sz w:val="24"/>
          <w:szCs w:val="24"/>
          <w:lang w:val="es-ES"/>
        </w:rPr>
        <w:t xml:space="preserve">Tabla </w:t>
      </w:r>
      <w:r w:rsidR="00F17F90" w:rsidRPr="004D0E60">
        <w:rPr>
          <w:rFonts w:ascii="Open Sans Light" w:hAnsi="Open Sans Light" w:cs="Open Sans Light"/>
          <w:sz w:val="24"/>
          <w:szCs w:val="24"/>
          <w:lang w:val="es-ES"/>
        </w:rPr>
        <w:t>A.1</w:t>
      </w:r>
      <w:r w:rsidR="00D26390" w:rsidRPr="004D0E60">
        <w:rPr>
          <w:rFonts w:ascii="Open Sans Light" w:hAnsi="Open Sans Light" w:cs="Open Sans Light"/>
          <w:sz w:val="24"/>
          <w:szCs w:val="24"/>
          <w:lang w:val="es-ES"/>
        </w:rPr>
        <w:t>7</w:t>
      </w:r>
      <w:r w:rsidRPr="00F17F90">
        <w:rPr>
          <w:rFonts w:ascii="Open Sans Light" w:hAnsi="Open Sans Light" w:cs="Open Sans Light"/>
          <w:sz w:val="24"/>
          <w:szCs w:val="24"/>
          <w:lang w:val="es-ES"/>
        </w:rPr>
        <w:t>).</w:t>
      </w:r>
    </w:p>
    <w:p w14:paraId="5C78D5A1" w14:textId="67DB406E" w:rsidR="00BC2848" w:rsidRPr="00A61DFC" w:rsidRDefault="00BC2848" w:rsidP="00BC284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 xml:space="preserve">Respecto a los 2 ejes-categoría </w:t>
      </w:r>
      <w:r w:rsidRPr="00A61DFC">
        <w:rPr>
          <w:rFonts w:ascii="Open Sans Light" w:hAnsi="Open Sans Light" w:cs="Open Sans Light"/>
          <w:i/>
          <w:iCs/>
          <w:sz w:val="24"/>
          <w:szCs w:val="24"/>
          <w:lang w:val="es-ES"/>
        </w:rPr>
        <w:t xml:space="preserve">–(i) acceso a servicios diferenciados en el ámbito de la salud </w:t>
      </w:r>
      <w:r w:rsidR="009017CB">
        <w:rPr>
          <w:rFonts w:ascii="Open Sans Light" w:hAnsi="Open Sans Light" w:cs="Open Sans Light"/>
          <w:i/>
          <w:iCs/>
          <w:sz w:val="24"/>
          <w:szCs w:val="24"/>
          <w:lang w:val="es-ES"/>
        </w:rPr>
        <w:t>e</w:t>
      </w:r>
      <w:r w:rsidR="009017CB" w:rsidRPr="00A61DFC">
        <w:rPr>
          <w:rFonts w:ascii="Open Sans Light" w:hAnsi="Open Sans Light" w:cs="Open Sans Light"/>
          <w:i/>
          <w:iCs/>
          <w:sz w:val="24"/>
          <w:szCs w:val="24"/>
          <w:lang w:val="es-ES"/>
        </w:rPr>
        <w:t xml:space="preserve"> </w:t>
      </w:r>
      <w:r w:rsidRPr="00A61DFC">
        <w:rPr>
          <w:rFonts w:ascii="Open Sans Light" w:hAnsi="Open Sans Light" w:cs="Open Sans Light"/>
          <w:i/>
          <w:iCs/>
          <w:sz w:val="24"/>
          <w:szCs w:val="24"/>
          <w:lang w:val="es-ES"/>
        </w:rPr>
        <w:t>(ii) intervenciones en el ámbito educativo</w:t>
      </w:r>
      <w:r w:rsidRPr="00A61DFC">
        <w:rPr>
          <w:rFonts w:ascii="Open Sans Light" w:hAnsi="Open Sans Light" w:cs="Open Sans Light"/>
          <w:sz w:val="24"/>
          <w:szCs w:val="24"/>
          <w:lang w:val="es-ES"/>
        </w:rPr>
        <w:t xml:space="preserve">– los medios de verificación tomados en cuenta permiten afirmar que se cumplió con el eje-categoría (i) y no se cumplió con el eje-categoría (ii). La variación en ejecución presupuestaria entre el 2012 y el 2020 fue de 181% en el eje-categoría (i) y de 34% en el eje-categoría (ii), aunque en este último caso se consideró la variación entre 2012 y 2017 (véase </w:t>
      </w:r>
      <w:r w:rsidRPr="004D0E60">
        <w:rPr>
          <w:rFonts w:ascii="Open Sans Light" w:hAnsi="Open Sans Light" w:cs="Open Sans Light"/>
          <w:sz w:val="24"/>
          <w:szCs w:val="24"/>
          <w:lang w:val="es-ES"/>
        </w:rPr>
        <w:t xml:space="preserve">detalle en Anexo, </w:t>
      </w:r>
      <w:r w:rsidR="00121B6F" w:rsidRPr="004D0E60">
        <w:rPr>
          <w:rFonts w:ascii="Open Sans Light" w:hAnsi="Open Sans Light" w:cs="Open Sans Light"/>
          <w:sz w:val="24"/>
          <w:szCs w:val="24"/>
          <w:lang w:val="es-ES"/>
        </w:rPr>
        <w:t xml:space="preserve">Tabla </w:t>
      </w:r>
      <w:r w:rsidR="00383A25" w:rsidRPr="004D0E60">
        <w:rPr>
          <w:rFonts w:ascii="Open Sans Light" w:hAnsi="Open Sans Light" w:cs="Open Sans Light"/>
          <w:sz w:val="24"/>
          <w:szCs w:val="24"/>
          <w:lang w:val="es-ES"/>
        </w:rPr>
        <w:t>A.1</w:t>
      </w:r>
      <w:r w:rsidR="00D26390" w:rsidRPr="004D0E60">
        <w:rPr>
          <w:rFonts w:ascii="Open Sans Light" w:hAnsi="Open Sans Light" w:cs="Open Sans Light"/>
          <w:sz w:val="24"/>
          <w:szCs w:val="24"/>
          <w:lang w:val="es-ES"/>
        </w:rPr>
        <w:t>8</w:t>
      </w:r>
      <w:r w:rsidRPr="002A63C8">
        <w:rPr>
          <w:rFonts w:ascii="Open Sans Light" w:hAnsi="Open Sans Light" w:cs="Open Sans Light"/>
          <w:sz w:val="24"/>
          <w:szCs w:val="24"/>
          <w:lang w:val="es-ES"/>
        </w:rPr>
        <w:t>).</w:t>
      </w:r>
      <w:r w:rsidR="005D1E0B" w:rsidRPr="00A61DFC">
        <w:rPr>
          <w:rFonts w:ascii="Open Sans Light" w:hAnsi="Open Sans Light" w:cs="Open Sans Light"/>
          <w:sz w:val="24"/>
          <w:szCs w:val="24"/>
          <w:lang w:val="es-ES"/>
        </w:rPr>
        <w:t xml:space="preserve"> En cuanto a la consecución de resultados, </w:t>
      </w:r>
      <w:r w:rsidR="005B21FF" w:rsidRPr="00A61DFC">
        <w:rPr>
          <w:rFonts w:ascii="Open Sans Light" w:hAnsi="Open Sans Light" w:cs="Open Sans Light"/>
          <w:sz w:val="24"/>
          <w:szCs w:val="24"/>
          <w:lang w:val="es-ES"/>
        </w:rPr>
        <w:t>de acuerdo con</w:t>
      </w:r>
      <w:r w:rsidR="005D1E0B" w:rsidRPr="00A61DFC">
        <w:rPr>
          <w:rFonts w:ascii="Open Sans Light" w:hAnsi="Open Sans Light" w:cs="Open Sans Light"/>
          <w:sz w:val="24"/>
          <w:szCs w:val="24"/>
          <w:lang w:val="es-ES"/>
        </w:rPr>
        <w:t xml:space="preserve"> la Encuesta Demográfica y de Salud Familiar, el porcentaje de mujeres entre 15 y 19 años que ya son madres o están embarazadas por primera vez era de 12.5% en 2011, </w:t>
      </w:r>
      <w:r w:rsidR="009017CB">
        <w:rPr>
          <w:rFonts w:ascii="Open Sans Light" w:hAnsi="Open Sans Light" w:cs="Open Sans Light"/>
          <w:sz w:val="24"/>
          <w:szCs w:val="24"/>
          <w:lang w:val="es-ES"/>
        </w:rPr>
        <w:t xml:space="preserve">esta </w:t>
      </w:r>
      <w:r w:rsidR="005D1E0B" w:rsidRPr="00A61DFC">
        <w:rPr>
          <w:rFonts w:ascii="Open Sans Light" w:hAnsi="Open Sans Light" w:cs="Open Sans Light"/>
          <w:sz w:val="24"/>
          <w:szCs w:val="24"/>
          <w:lang w:val="es-ES"/>
        </w:rPr>
        <w:t xml:space="preserve">tuvo dos picos de 14.6% y 13.4% en 2014 y 2017, para finalmente ubicarse en el orden de 8.3% en 2020 (véase </w:t>
      </w:r>
      <w:r w:rsidR="000A4C48" w:rsidRPr="00A61DFC">
        <w:rPr>
          <w:rFonts w:ascii="Open Sans Light" w:hAnsi="Open Sans Light" w:cs="Open Sans Light"/>
          <w:sz w:val="24"/>
          <w:szCs w:val="24"/>
          <w:lang w:val="es-ES"/>
        </w:rPr>
        <w:t>G</w:t>
      </w:r>
      <w:r w:rsidR="005D1E0B" w:rsidRPr="00A61DFC">
        <w:rPr>
          <w:rFonts w:ascii="Open Sans Light" w:hAnsi="Open Sans Light" w:cs="Open Sans Light"/>
          <w:sz w:val="24"/>
          <w:szCs w:val="24"/>
          <w:lang w:val="es-ES"/>
        </w:rPr>
        <w:t xml:space="preserve">ráfico </w:t>
      </w:r>
      <w:r w:rsidR="000A4C48" w:rsidRPr="00A61DFC">
        <w:rPr>
          <w:rFonts w:ascii="Open Sans Light" w:hAnsi="Open Sans Light" w:cs="Open Sans Light"/>
          <w:sz w:val="24"/>
          <w:szCs w:val="24"/>
          <w:lang w:val="es-ES"/>
        </w:rPr>
        <w:t>40</w:t>
      </w:r>
      <w:r w:rsidR="005D1E0B" w:rsidRPr="00A61DFC">
        <w:rPr>
          <w:rFonts w:ascii="Open Sans Light" w:hAnsi="Open Sans Light" w:cs="Open Sans Light"/>
          <w:sz w:val="24"/>
          <w:szCs w:val="24"/>
          <w:lang w:val="es-ES"/>
        </w:rPr>
        <w:t xml:space="preserve">). </w:t>
      </w:r>
      <w:r w:rsidR="005B21FF" w:rsidRPr="00A61DFC">
        <w:rPr>
          <w:rFonts w:ascii="Open Sans Light" w:hAnsi="Open Sans Light" w:cs="Open Sans Light"/>
          <w:sz w:val="24"/>
          <w:szCs w:val="24"/>
          <w:lang w:val="es-ES"/>
        </w:rPr>
        <w:t xml:space="preserve">Finalmente, es necesario resaltar lo diferente que afecta este problema a nivel nacional, donde departamentos como Loreto (25.8%), Ucayali (17.1%) y Amazonas (16%) llegan a tener entre 4 y 5 veces más alto el porcentaje de población femenina de entre 15 y 19 años que </w:t>
      </w:r>
      <w:r w:rsidR="00715621" w:rsidRPr="00A61DFC">
        <w:rPr>
          <w:rFonts w:ascii="Open Sans Light" w:hAnsi="Open Sans Light" w:cs="Open Sans Light"/>
          <w:sz w:val="24"/>
          <w:szCs w:val="24"/>
          <w:lang w:val="es-ES"/>
        </w:rPr>
        <w:t>ya son</w:t>
      </w:r>
      <w:r w:rsidR="005B21FF" w:rsidRPr="00A61DFC">
        <w:rPr>
          <w:rFonts w:ascii="Open Sans Light" w:hAnsi="Open Sans Light" w:cs="Open Sans Light"/>
          <w:sz w:val="24"/>
          <w:szCs w:val="24"/>
          <w:lang w:val="es-ES"/>
        </w:rPr>
        <w:t xml:space="preserve"> madres o están embarazadas por primera vez que departamentos como Lima </w:t>
      </w:r>
      <w:r w:rsidR="005B21FF" w:rsidRPr="00A61DFC">
        <w:rPr>
          <w:rFonts w:ascii="Open Sans Light" w:hAnsi="Open Sans Light" w:cs="Open Sans Light"/>
          <w:sz w:val="24"/>
          <w:szCs w:val="24"/>
          <w:lang w:val="es-ES"/>
        </w:rPr>
        <w:lastRenderedPageBreak/>
        <w:t xml:space="preserve">(5.9%), Tacna (5.5%) y Arequipa (4.7%). Producto de analizar las diferencias entre la incidencia del problema a nivel nacional y los niveles de ejecución presupuestaria que coadyuvan a su disminución, podemos llegar a interpretar que los procesos de implementación no están siendo guiados </w:t>
      </w:r>
      <w:r w:rsidR="008B6215" w:rsidRPr="00A61DFC">
        <w:rPr>
          <w:rFonts w:ascii="Open Sans Light" w:hAnsi="Open Sans Light" w:cs="Open Sans Light"/>
          <w:sz w:val="24"/>
          <w:szCs w:val="24"/>
          <w:lang w:val="es-ES"/>
        </w:rPr>
        <w:t xml:space="preserve">desde una perspectiva de responder primero a las zonas geográficas más afectadas (véase detalle en </w:t>
      </w:r>
      <w:r w:rsidR="000A4C48" w:rsidRPr="00A61DFC">
        <w:rPr>
          <w:rFonts w:ascii="Open Sans Light" w:hAnsi="Open Sans Light" w:cs="Open Sans Light"/>
          <w:sz w:val="24"/>
          <w:szCs w:val="24"/>
          <w:lang w:val="es-ES"/>
        </w:rPr>
        <w:t>G</w:t>
      </w:r>
      <w:r w:rsidR="008B6215" w:rsidRPr="00A61DFC">
        <w:rPr>
          <w:rFonts w:ascii="Open Sans Light" w:hAnsi="Open Sans Light" w:cs="Open Sans Light"/>
          <w:sz w:val="24"/>
          <w:szCs w:val="24"/>
          <w:lang w:val="es-ES"/>
        </w:rPr>
        <w:t xml:space="preserve">ráfico </w:t>
      </w:r>
      <w:r w:rsidR="00793DBD" w:rsidRPr="00A61DFC">
        <w:rPr>
          <w:rFonts w:ascii="Open Sans Light" w:hAnsi="Open Sans Light" w:cs="Open Sans Light"/>
          <w:sz w:val="24"/>
          <w:szCs w:val="24"/>
          <w:lang w:val="es-ES"/>
        </w:rPr>
        <w:t>40</w:t>
      </w:r>
      <w:r w:rsidR="008B6215" w:rsidRPr="00A61DFC">
        <w:rPr>
          <w:rFonts w:ascii="Open Sans Light" w:hAnsi="Open Sans Light" w:cs="Open Sans Light"/>
          <w:sz w:val="24"/>
          <w:szCs w:val="24"/>
          <w:lang w:val="es-ES"/>
        </w:rPr>
        <w:t>).</w:t>
      </w:r>
      <w:r w:rsidR="005B21FF" w:rsidRPr="00A61DFC">
        <w:rPr>
          <w:rFonts w:ascii="Open Sans Light" w:hAnsi="Open Sans Light" w:cs="Open Sans Light"/>
          <w:sz w:val="24"/>
          <w:szCs w:val="24"/>
          <w:lang w:val="es-ES"/>
        </w:rPr>
        <w:t xml:space="preserve"> </w:t>
      </w:r>
    </w:p>
    <w:p w14:paraId="32EC32D9" w14:textId="6143AD7A"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Respecto a la variación observada de 181% en presupuesto ejecutado para el eje-categoría (i) –</w:t>
      </w:r>
      <w:bookmarkStart w:id="11" w:name="_Hlk89758634"/>
      <w:r w:rsidRPr="00A61DFC">
        <w:rPr>
          <w:rFonts w:ascii="Open Sans Light" w:hAnsi="Open Sans Light" w:cs="Open Sans Light"/>
          <w:i/>
          <w:iCs/>
          <w:sz w:val="24"/>
          <w:szCs w:val="24"/>
          <w:lang w:val="es-ES"/>
        </w:rPr>
        <w:t>acceso a servicios diferenciados en el ámbito de la salud</w:t>
      </w:r>
      <w:bookmarkEnd w:id="11"/>
      <w:r w:rsidRPr="00A61DFC">
        <w:rPr>
          <w:rFonts w:ascii="Open Sans Light" w:hAnsi="Open Sans Light" w:cs="Open Sans Light"/>
          <w:sz w:val="24"/>
          <w:szCs w:val="24"/>
          <w:lang w:val="es-ES"/>
        </w:rPr>
        <w:t>– se consideró el producto ‘Adolescentes acceden a servicios de salud para prevención del embarazo’, del Programa Presupuestal de Salud Materno Neonatal – PP 0002. Este producto pasó de tener ejecutados 9,949,741 soles en 2012 a tener ejecutados 27,916,651 soles en 2020. Entre los departamentos con mejores y peores resultados tenemos a La Libertad (1581%), Callao (1405%) y Huánuco (1383%) en el primer grupo; y Loreto (-51%), Tacna (-59%) y Moquegua (-96%) en el segundo. Es menester resaltar que de los departamentos con variaciones negativas observadas 5 de ellos – Cusco, Arequipa, Amazonas, Tacna y Moquegua – ya presentaban variaciones también negativas en el periodo 2012-2019, dificultando la posible atribución de tal r</w:t>
      </w:r>
      <w:r w:rsidRPr="00D26390">
        <w:rPr>
          <w:rFonts w:ascii="Open Sans Light" w:hAnsi="Open Sans Light" w:cs="Open Sans Light"/>
          <w:sz w:val="24"/>
          <w:szCs w:val="24"/>
          <w:lang w:val="es-ES"/>
        </w:rPr>
        <w:t>esultado a la pandemia por COVID-</w:t>
      </w:r>
      <w:r w:rsidRPr="002A63C8">
        <w:rPr>
          <w:rFonts w:ascii="Open Sans Light" w:hAnsi="Open Sans Light" w:cs="Open Sans Light"/>
          <w:sz w:val="24"/>
          <w:szCs w:val="24"/>
          <w:lang w:val="es-ES"/>
        </w:rPr>
        <w:t>19 (</w:t>
      </w:r>
      <w:r w:rsidRPr="004D0E60">
        <w:rPr>
          <w:rFonts w:ascii="Open Sans Light" w:hAnsi="Open Sans Light" w:cs="Open Sans Light"/>
          <w:sz w:val="24"/>
          <w:szCs w:val="24"/>
          <w:lang w:val="es-ES"/>
        </w:rPr>
        <w:t xml:space="preserve">véase detalle en Anexo, </w:t>
      </w:r>
      <w:r w:rsidR="008C30CB" w:rsidRPr="004D0E60">
        <w:rPr>
          <w:rFonts w:ascii="Open Sans Light" w:hAnsi="Open Sans Light" w:cs="Open Sans Light"/>
          <w:sz w:val="24"/>
          <w:szCs w:val="24"/>
          <w:lang w:val="es-ES"/>
        </w:rPr>
        <w:t xml:space="preserve">Tabla </w:t>
      </w:r>
      <w:r w:rsidR="002A63C8" w:rsidRPr="004D0E60">
        <w:rPr>
          <w:rFonts w:ascii="Open Sans Light" w:hAnsi="Open Sans Light" w:cs="Open Sans Light"/>
          <w:sz w:val="24"/>
          <w:szCs w:val="24"/>
          <w:lang w:val="es-ES"/>
        </w:rPr>
        <w:t>A.1</w:t>
      </w:r>
      <w:r w:rsidR="00D26390" w:rsidRPr="004D0E60">
        <w:rPr>
          <w:rFonts w:ascii="Open Sans Light" w:hAnsi="Open Sans Light" w:cs="Open Sans Light"/>
          <w:sz w:val="24"/>
          <w:szCs w:val="24"/>
          <w:lang w:val="es-ES"/>
        </w:rPr>
        <w:t>9</w:t>
      </w:r>
      <w:r w:rsidRPr="002A63C8">
        <w:rPr>
          <w:rFonts w:ascii="Open Sans Light" w:hAnsi="Open Sans Light" w:cs="Open Sans Light"/>
          <w:sz w:val="24"/>
          <w:szCs w:val="24"/>
          <w:lang w:val="es-ES"/>
        </w:rPr>
        <w:t>).</w:t>
      </w:r>
    </w:p>
    <w:p w14:paraId="53247249" w14:textId="12E906B8" w:rsidR="00854B37" w:rsidRPr="00854B37" w:rsidRDefault="00854B37" w:rsidP="00854B37">
      <w:pPr>
        <w:pStyle w:val="ESTILOTABLA"/>
        <w:rPr>
          <w:i w:val="0"/>
          <w:iCs/>
        </w:rPr>
      </w:pPr>
      <w:r>
        <w:t xml:space="preserve">Figura </w:t>
      </w:r>
      <w:r w:rsidR="00A31AEE">
        <w:rPr>
          <w:noProof/>
        </w:rPr>
        <w:fldChar w:fldCharType="begin"/>
      </w:r>
      <w:r w:rsidR="00A31AEE">
        <w:rPr>
          <w:noProof/>
        </w:rPr>
        <w:instrText xml:space="preserve"> SEQ Figura \* ARABIC </w:instrText>
      </w:r>
      <w:r w:rsidR="00A31AEE">
        <w:rPr>
          <w:noProof/>
        </w:rPr>
        <w:fldChar w:fldCharType="separate"/>
      </w:r>
      <w:r w:rsidR="00846FB2">
        <w:rPr>
          <w:noProof/>
        </w:rPr>
        <w:t>5</w:t>
      </w:r>
      <w:r w:rsidR="00A31AEE">
        <w:rPr>
          <w:noProof/>
        </w:rPr>
        <w:fldChar w:fldCharType="end"/>
      </w:r>
      <w:r>
        <w:t xml:space="preserve">. </w:t>
      </w:r>
      <w:r w:rsidRPr="00677C6D">
        <w:rPr>
          <w:b/>
          <w:bCs/>
          <w:i w:val="0"/>
          <w:iCs/>
          <w:lang w:val="es-PE"/>
        </w:rPr>
        <w:t xml:space="preserve">Variación porcentual en los niveles de ejecución presupuestal </w:t>
      </w:r>
      <w:r>
        <w:rPr>
          <w:b/>
          <w:bCs/>
          <w:i w:val="0"/>
          <w:iCs/>
          <w:lang w:val="es-PE"/>
        </w:rPr>
        <w:t>(</w:t>
      </w:r>
      <w:r w:rsidR="00DD43F2" w:rsidRPr="00DD43F2">
        <w:rPr>
          <w:b/>
          <w:bCs/>
          <w:i w:val="0"/>
          <w:iCs/>
          <w:lang w:val="es-PE"/>
        </w:rPr>
        <w:t>Salud Materno Neonatal – PP 0002</w:t>
      </w:r>
      <w:r>
        <w:rPr>
          <w:b/>
          <w:bCs/>
          <w:i w:val="0"/>
          <w:iCs/>
          <w:lang w:val="es-PE"/>
        </w:rPr>
        <w:t xml:space="preserve">), </w:t>
      </w:r>
      <w:r w:rsidRPr="00677C6D">
        <w:rPr>
          <w:b/>
          <w:bCs/>
          <w:i w:val="0"/>
          <w:iCs/>
          <w:lang w:val="es-PE"/>
        </w:rPr>
        <w:t>entre los años 2012 y 2020 por departamento</w:t>
      </w:r>
    </w:p>
    <w:p w14:paraId="18C1D20C" w14:textId="7A4CA411" w:rsidR="001F384D" w:rsidRPr="002E39FC" w:rsidRDefault="00DC2F6F" w:rsidP="001F384D">
      <w:pPr>
        <w:spacing w:after="0" w:line="240" w:lineRule="auto"/>
        <w:jc w:val="both"/>
        <w:rPr>
          <w:rFonts w:ascii="Open Sans Light" w:hAnsi="Open Sans Light" w:cs="Open Sans Light"/>
          <w:color w:val="00B050"/>
          <w:sz w:val="24"/>
          <w:szCs w:val="24"/>
          <w:lang w:val="es-ES"/>
        </w:rPr>
      </w:pPr>
      <w:r>
        <w:rPr>
          <w:noProof/>
          <w:lang w:val="en-GB" w:eastAsia="en-GB"/>
        </w:rPr>
        <w:drawing>
          <wp:inline distT="0" distB="0" distL="0" distR="0" wp14:anchorId="693F106B" wp14:editId="5BACC477">
            <wp:extent cx="5534025" cy="3067050"/>
            <wp:effectExtent l="0" t="0" r="0" b="0"/>
            <wp:docPr id="71" name="Gráfico 71">
              <a:extLst xmlns:a="http://schemas.openxmlformats.org/drawingml/2006/main">
                <a:ext uri="{FF2B5EF4-FFF2-40B4-BE49-F238E27FC236}">
                  <a16:creationId xmlns:a16="http://schemas.microsoft.com/office/drawing/2014/main" id="{A413088D-1FDA-4FFC-9759-FBCF4C7462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A67811B" w14:textId="7D5B3947"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lastRenderedPageBreak/>
        <w:t>En lo que concierne a la variación observada de 34% en presupuesto ejecutado para el eje-categoría (ii) –</w:t>
      </w:r>
      <w:r w:rsidRPr="00A61DFC">
        <w:rPr>
          <w:rFonts w:ascii="Open Sans Light" w:hAnsi="Open Sans Light" w:cs="Open Sans Light"/>
          <w:i/>
          <w:iCs/>
          <w:sz w:val="24"/>
          <w:szCs w:val="24"/>
          <w:lang w:val="es-ES"/>
        </w:rPr>
        <w:t>intervenciones en el ámbito educativo</w:t>
      </w:r>
      <w:r w:rsidRPr="00A61DFC">
        <w:rPr>
          <w:rFonts w:ascii="Open Sans Light" w:hAnsi="Open Sans Light" w:cs="Open Sans Light"/>
          <w:sz w:val="24"/>
          <w:szCs w:val="24"/>
          <w:lang w:val="es-ES"/>
        </w:rPr>
        <w:t xml:space="preserve">– se tomó en cuenta el programa ‘Instituciones educativas saludables promueven salud sexual y reproductiva’ del Programa de Salud Materno Neonatal – PP 0002. El producto pasó de disponer 6,412,515 soles en 2012 a disponer de 8,565,421 en 2017. Esta variación positiva esconde escenarios heterogéneos a nivel nacional. Así, se tiene departamentos como Amazonas, Madre de Dios y Cajamarca con variaciones positivas de 618%, 419% y 271%. Por otro lado, se tiene departamentos como Piura y Arequipa, así como la provincia constitucional del Callao, con variaciones negativas de -58%, -86% y -99% respectivamente. Finalmente, cabe resaltar que los departamentos de La Libertad, Tacna y Tumbes tienen variaciones positivas que no se dejan observar en el cálculo del ranking debido a que en el año base, 2012, no contaban </w:t>
      </w:r>
      <w:r w:rsidRPr="00D26390">
        <w:rPr>
          <w:rFonts w:ascii="Open Sans Light" w:hAnsi="Open Sans Light" w:cs="Open Sans Light"/>
          <w:sz w:val="24"/>
          <w:szCs w:val="24"/>
          <w:lang w:val="es-ES"/>
        </w:rPr>
        <w:t xml:space="preserve">con presupuesto </w:t>
      </w:r>
      <w:r w:rsidR="00E0000C" w:rsidRPr="00D26390">
        <w:rPr>
          <w:rFonts w:ascii="Open Sans Light" w:hAnsi="Open Sans Light" w:cs="Open Sans Light"/>
          <w:sz w:val="24"/>
          <w:szCs w:val="24"/>
          <w:lang w:val="es-ES"/>
        </w:rPr>
        <w:t xml:space="preserve">ejecutado </w:t>
      </w:r>
      <w:r w:rsidRPr="00D26390">
        <w:rPr>
          <w:rFonts w:ascii="Open Sans Light" w:hAnsi="Open Sans Light" w:cs="Open Sans Light"/>
          <w:sz w:val="24"/>
          <w:szCs w:val="24"/>
          <w:lang w:val="es-ES"/>
        </w:rPr>
        <w:t xml:space="preserve">para el </w:t>
      </w:r>
      <w:r w:rsidRPr="009C2417">
        <w:rPr>
          <w:rFonts w:ascii="Open Sans Light" w:hAnsi="Open Sans Light" w:cs="Open Sans Light"/>
          <w:sz w:val="24"/>
          <w:szCs w:val="24"/>
          <w:lang w:val="es-ES"/>
        </w:rPr>
        <w:t>programa (</w:t>
      </w:r>
      <w:r w:rsidRPr="004D0E60">
        <w:rPr>
          <w:rFonts w:ascii="Open Sans Light" w:hAnsi="Open Sans Light" w:cs="Open Sans Light"/>
          <w:sz w:val="24"/>
          <w:szCs w:val="24"/>
          <w:lang w:val="es-ES"/>
        </w:rPr>
        <w:t xml:space="preserve">véase detalle en Anexo, </w:t>
      </w:r>
      <w:r w:rsidR="008A45C0" w:rsidRPr="004D0E60">
        <w:rPr>
          <w:rFonts w:ascii="Open Sans Light" w:hAnsi="Open Sans Light" w:cs="Open Sans Light"/>
          <w:sz w:val="24"/>
          <w:szCs w:val="24"/>
          <w:lang w:val="es-ES"/>
        </w:rPr>
        <w:t xml:space="preserve">Tabla </w:t>
      </w:r>
      <w:r w:rsidR="002A63C8" w:rsidRPr="004D0E60">
        <w:rPr>
          <w:rFonts w:ascii="Open Sans Light" w:hAnsi="Open Sans Light" w:cs="Open Sans Light"/>
          <w:sz w:val="24"/>
          <w:szCs w:val="24"/>
          <w:lang w:val="es-ES"/>
        </w:rPr>
        <w:t>A.20</w:t>
      </w:r>
      <w:r w:rsidRPr="00D26390">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2A3557C0" w14:textId="2CB315DC" w:rsidR="009C1BBA" w:rsidRPr="00302834" w:rsidRDefault="00BC2848" w:rsidP="00302834">
      <w:pPr>
        <w:jc w:val="both"/>
        <w:rPr>
          <w:rFonts w:ascii="Open Sans Light" w:hAnsi="Open Sans Light" w:cs="Open Sans Light"/>
          <w:b/>
          <w:bCs/>
          <w:sz w:val="24"/>
          <w:szCs w:val="24"/>
          <w:lang w:val="es-ES"/>
        </w:rPr>
      </w:pPr>
      <w:r w:rsidRPr="00A61DFC">
        <w:rPr>
          <w:rFonts w:ascii="Open Sans Light" w:hAnsi="Open Sans Light" w:cs="Open Sans Light"/>
          <w:b/>
          <w:bCs/>
          <w:sz w:val="24"/>
          <w:szCs w:val="24"/>
          <w:lang w:val="es-ES"/>
        </w:rPr>
        <w:t xml:space="preserve">Quinta Meta Emblemática. Las y los adolescentes acceden y concluyen en la edad normativa, una educación secundaria de calidad. </w:t>
      </w:r>
    </w:p>
    <w:p w14:paraId="70710E71" w14:textId="7DAE97B0" w:rsidR="00302834" w:rsidRPr="003D1F78" w:rsidRDefault="00302834" w:rsidP="00302834">
      <w:pPr>
        <w:pStyle w:val="ESTILOTABLA"/>
      </w:pPr>
      <w:r w:rsidRPr="003D1F78">
        <w:t xml:space="preserve">Tabla </w:t>
      </w:r>
      <w:fldSimple w:instr=" SEQ Tabla \* ARABIC ">
        <w:r w:rsidR="00846FB2">
          <w:rPr>
            <w:noProof/>
          </w:rPr>
          <w:t>9</w:t>
        </w:r>
      </w:fldSimple>
      <w:r w:rsidRPr="003D1F78">
        <w:t>.</w:t>
      </w:r>
      <w:r w:rsidRPr="003D1F78">
        <w:rPr>
          <w:rFonts w:eastAsia="Open Sans Light"/>
          <w:b/>
          <w:color w:val="000000"/>
          <w:szCs w:val="24"/>
        </w:rPr>
        <w:t xml:space="preserve"> </w:t>
      </w:r>
      <w:r w:rsidRPr="003D1F78">
        <w:rPr>
          <w:rFonts w:eastAsia="Open Sans Light"/>
          <w:b/>
          <w:i w:val="0"/>
          <w:iCs/>
          <w:color w:val="000000"/>
          <w:szCs w:val="24"/>
        </w:rPr>
        <w:t>Balance para</w:t>
      </w:r>
      <w:r w:rsidR="00826B88" w:rsidRPr="003D1F78">
        <w:rPr>
          <w:rFonts w:eastAsia="Open Sans Light"/>
          <w:b/>
          <w:i w:val="0"/>
          <w:iCs/>
          <w:color w:val="000000"/>
          <w:szCs w:val="24"/>
        </w:rPr>
        <w:t xml:space="preserve"> la</w:t>
      </w:r>
      <w:r w:rsidRPr="003D1F78">
        <w:rPr>
          <w:rFonts w:eastAsia="Open Sans Light"/>
          <w:b/>
          <w:i w:val="0"/>
          <w:iCs/>
          <w:color w:val="000000"/>
          <w:szCs w:val="24"/>
        </w:rPr>
        <w:t xml:space="preserve"> Quinta Meta Emblemática</w:t>
      </w:r>
    </w:p>
    <w:tbl>
      <w:tblPr>
        <w:tblW w:w="8440" w:type="dxa"/>
        <w:tblCellMar>
          <w:left w:w="70" w:type="dxa"/>
          <w:right w:w="70" w:type="dxa"/>
        </w:tblCellMar>
        <w:tblLook w:val="04A0" w:firstRow="1" w:lastRow="0" w:firstColumn="1" w:lastColumn="0" w:noHBand="0" w:noVBand="1"/>
      </w:tblPr>
      <w:tblGrid>
        <w:gridCol w:w="1017"/>
        <w:gridCol w:w="2767"/>
        <w:gridCol w:w="2260"/>
        <w:gridCol w:w="830"/>
        <w:gridCol w:w="1566"/>
      </w:tblGrid>
      <w:tr w:rsidR="001677FC" w:rsidRPr="003D1F78" w14:paraId="2855F5D2" w14:textId="77777777" w:rsidTr="009C1BBA">
        <w:trPr>
          <w:trHeight w:val="480"/>
        </w:trPr>
        <w:tc>
          <w:tcPr>
            <w:tcW w:w="1017"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08ECF162"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Objetivo Estratégico</w:t>
            </w:r>
          </w:p>
        </w:tc>
        <w:tc>
          <w:tcPr>
            <w:tcW w:w="2767" w:type="dxa"/>
            <w:tcBorders>
              <w:top w:val="single" w:sz="4" w:space="0" w:color="auto"/>
              <w:left w:val="nil"/>
              <w:bottom w:val="single" w:sz="4" w:space="0" w:color="auto"/>
              <w:right w:val="single" w:sz="4" w:space="0" w:color="auto"/>
            </w:tcBorders>
            <w:shd w:val="clear" w:color="000000" w:fill="000000"/>
            <w:vAlign w:val="center"/>
            <w:hideMark/>
          </w:tcPr>
          <w:p w14:paraId="04F4F759"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Resultado Esperado y Meta PNAIA 2012-2021</w:t>
            </w:r>
          </w:p>
        </w:tc>
        <w:tc>
          <w:tcPr>
            <w:tcW w:w="2260" w:type="dxa"/>
            <w:tcBorders>
              <w:top w:val="single" w:sz="4" w:space="0" w:color="auto"/>
              <w:left w:val="nil"/>
              <w:bottom w:val="single" w:sz="4" w:space="0" w:color="auto"/>
              <w:right w:val="single" w:sz="4" w:space="0" w:color="auto"/>
            </w:tcBorders>
            <w:shd w:val="clear" w:color="000000" w:fill="000000"/>
            <w:vAlign w:val="center"/>
            <w:hideMark/>
          </w:tcPr>
          <w:p w14:paraId="44C1D465"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Indicador priorizado</w:t>
            </w:r>
          </w:p>
        </w:tc>
        <w:tc>
          <w:tcPr>
            <w:tcW w:w="830" w:type="dxa"/>
            <w:tcBorders>
              <w:top w:val="single" w:sz="4" w:space="0" w:color="auto"/>
              <w:left w:val="nil"/>
              <w:bottom w:val="single" w:sz="4" w:space="0" w:color="auto"/>
              <w:right w:val="single" w:sz="4" w:space="0" w:color="auto"/>
            </w:tcBorders>
            <w:shd w:val="clear" w:color="000000" w:fill="000000"/>
            <w:vAlign w:val="center"/>
            <w:hideMark/>
          </w:tcPr>
          <w:p w14:paraId="5AFDEFF8"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Estado</w:t>
            </w:r>
          </w:p>
        </w:tc>
        <w:tc>
          <w:tcPr>
            <w:tcW w:w="1566" w:type="dxa"/>
            <w:tcBorders>
              <w:top w:val="single" w:sz="4" w:space="0" w:color="auto"/>
              <w:left w:val="nil"/>
              <w:bottom w:val="single" w:sz="4" w:space="0" w:color="auto"/>
              <w:right w:val="single" w:sz="4" w:space="0" w:color="auto"/>
            </w:tcBorders>
            <w:shd w:val="clear" w:color="000000" w:fill="000000"/>
            <w:vAlign w:val="center"/>
            <w:hideMark/>
          </w:tcPr>
          <w:p w14:paraId="5AEBEFA8"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 de avance</w:t>
            </w:r>
          </w:p>
        </w:tc>
      </w:tr>
      <w:tr w:rsidR="001677FC" w:rsidRPr="003D1F78" w14:paraId="0597E288" w14:textId="77777777" w:rsidTr="009C1BBA">
        <w:trPr>
          <w:trHeight w:val="1440"/>
        </w:trPr>
        <w:tc>
          <w:tcPr>
            <w:tcW w:w="1017" w:type="dxa"/>
            <w:vMerge w:val="restart"/>
            <w:tcBorders>
              <w:top w:val="nil"/>
              <w:left w:val="single" w:sz="4" w:space="0" w:color="auto"/>
              <w:bottom w:val="single" w:sz="4" w:space="0" w:color="auto"/>
              <w:right w:val="single" w:sz="4" w:space="0" w:color="auto"/>
            </w:tcBorders>
            <w:shd w:val="clear" w:color="auto" w:fill="auto"/>
            <w:vAlign w:val="center"/>
            <w:hideMark/>
          </w:tcPr>
          <w:p w14:paraId="04C44173"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OE3</w:t>
            </w:r>
          </w:p>
        </w:tc>
        <w:tc>
          <w:tcPr>
            <w:tcW w:w="2767" w:type="dxa"/>
            <w:vMerge w:val="restart"/>
            <w:tcBorders>
              <w:top w:val="nil"/>
              <w:left w:val="single" w:sz="4" w:space="0" w:color="auto"/>
              <w:bottom w:val="single" w:sz="4" w:space="0" w:color="auto"/>
              <w:right w:val="single" w:sz="4" w:space="0" w:color="auto"/>
            </w:tcBorders>
            <w:shd w:val="clear" w:color="auto" w:fill="auto"/>
            <w:vAlign w:val="center"/>
            <w:hideMark/>
          </w:tcPr>
          <w:p w14:paraId="780F892E"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RE7: La mitad de las y los estudiantes peruanos con 15 años alcanza el nivel 3 (más de 481 puntos) en comprensión lectora, matemáticas y ciencias evaluados con la prueba PISA</w:t>
            </w:r>
          </w:p>
        </w:tc>
        <w:tc>
          <w:tcPr>
            <w:tcW w:w="2260" w:type="dxa"/>
            <w:vMerge w:val="restart"/>
            <w:tcBorders>
              <w:top w:val="nil"/>
              <w:left w:val="single" w:sz="4" w:space="0" w:color="auto"/>
              <w:bottom w:val="single" w:sz="4" w:space="0" w:color="auto"/>
              <w:right w:val="single" w:sz="4" w:space="0" w:color="auto"/>
            </w:tcBorders>
            <w:shd w:val="clear" w:color="auto" w:fill="auto"/>
            <w:vAlign w:val="center"/>
            <w:hideMark/>
          </w:tcPr>
          <w:p w14:paraId="070E9097"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Resultado promedio de las y los estudiantes peruanos de 15 años obtenidos en la prueba PISA, por materia evaluada</w:t>
            </w:r>
          </w:p>
        </w:tc>
        <w:tc>
          <w:tcPr>
            <w:tcW w:w="830" w:type="dxa"/>
            <w:vMerge w:val="restart"/>
            <w:tcBorders>
              <w:top w:val="nil"/>
              <w:left w:val="single" w:sz="4" w:space="0" w:color="auto"/>
              <w:bottom w:val="single" w:sz="4" w:space="0" w:color="auto"/>
              <w:right w:val="single" w:sz="4" w:space="0" w:color="auto"/>
            </w:tcBorders>
            <w:shd w:val="clear" w:color="auto" w:fill="auto"/>
            <w:vAlign w:val="center"/>
            <w:hideMark/>
          </w:tcPr>
          <w:p w14:paraId="54CDB377"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No se puede proyectar</w:t>
            </w:r>
          </w:p>
        </w:tc>
        <w:tc>
          <w:tcPr>
            <w:tcW w:w="1566" w:type="dxa"/>
            <w:tcBorders>
              <w:top w:val="nil"/>
              <w:left w:val="nil"/>
              <w:bottom w:val="single" w:sz="4" w:space="0" w:color="auto"/>
              <w:right w:val="single" w:sz="4" w:space="0" w:color="auto"/>
            </w:tcBorders>
            <w:shd w:val="clear" w:color="auto" w:fill="auto"/>
            <w:vAlign w:val="center"/>
            <w:hideMark/>
          </w:tcPr>
          <w:p w14:paraId="726AC86D"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Comprensión lectora: 7.5%</w:t>
            </w:r>
          </w:p>
        </w:tc>
      </w:tr>
      <w:tr w:rsidR="001677FC" w:rsidRPr="003D1F78" w14:paraId="35FF382A" w14:textId="77777777" w:rsidTr="009C1BBA">
        <w:trPr>
          <w:trHeight w:val="480"/>
        </w:trPr>
        <w:tc>
          <w:tcPr>
            <w:tcW w:w="1017" w:type="dxa"/>
            <w:vMerge/>
            <w:tcBorders>
              <w:top w:val="nil"/>
              <w:left w:val="single" w:sz="4" w:space="0" w:color="auto"/>
              <w:bottom w:val="single" w:sz="4" w:space="0" w:color="auto"/>
              <w:right w:val="single" w:sz="4" w:space="0" w:color="auto"/>
            </w:tcBorders>
            <w:vAlign w:val="center"/>
            <w:hideMark/>
          </w:tcPr>
          <w:p w14:paraId="2EDA224C"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2767" w:type="dxa"/>
            <w:vMerge/>
            <w:tcBorders>
              <w:top w:val="nil"/>
              <w:left w:val="single" w:sz="4" w:space="0" w:color="auto"/>
              <w:bottom w:val="single" w:sz="4" w:space="0" w:color="auto"/>
              <w:right w:val="single" w:sz="4" w:space="0" w:color="auto"/>
            </w:tcBorders>
            <w:vAlign w:val="center"/>
            <w:hideMark/>
          </w:tcPr>
          <w:p w14:paraId="01627B81"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2260" w:type="dxa"/>
            <w:vMerge/>
            <w:tcBorders>
              <w:top w:val="nil"/>
              <w:left w:val="single" w:sz="4" w:space="0" w:color="auto"/>
              <w:bottom w:val="single" w:sz="4" w:space="0" w:color="auto"/>
              <w:right w:val="single" w:sz="4" w:space="0" w:color="auto"/>
            </w:tcBorders>
            <w:vAlign w:val="center"/>
            <w:hideMark/>
          </w:tcPr>
          <w:p w14:paraId="3A28B8B0"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830" w:type="dxa"/>
            <w:vMerge/>
            <w:tcBorders>
              <w:top w:val="nil"/>
              <w:left w:val="single" w:sz="4" w:space="0" w:color="auto"/>
              <w:bottom w:val="single" w:sz="4" w:space="0" w:color="auto"/>
              <w:right w:val="single" w:sz="4" w:space="0" w:color="auto"/>
            </w:tcBorders>
            <w:vAlign w:val="center"/>
            <w:hideMark/>
          </w:tcPr>
          <w:p w14:paraId="474213F3"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1566" w:type="dxa"/>
            <w:tcBorders>
              <w:top w:val="nil"/>
              <w:left w:val="nil"/>
              <w:bottom w:val="single" w:sz="4" w:space="0" w:color="auto"/>
              <w:right w:val="single" w:sz="4" w:space="0" w:color="auto"/>
            </w:tcBorders>
            <w:shd w:val="clear" w:color="auto" w:fill="auto"/>
            <w:vAlign w:val="center"/>
            <w:hideMark/>
          </w:tcPr>
          <w:p w14:paraId="4D0438AE"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Matemática: 11.3%</w:t>
            </w:r>
          </w:p>
        </w:tc>
      </w:tr>
      <w:tr w:rsidR="001677FC" w:rsidRPr="003D1F78" w14:paraId="63AB3BF2" w14:textId="77777777" w:rsidTr="009C1BBA">
        <w:trPr>
          <w:trHeight w:val="480"/>
        </w:trPr>
        <w:tc>
          <w:tcPr>
            <w:tcW w:w="1017" w:type="dxa"/>
            <w:vMerge/>
            <w:tcBorders>
              <w:top w:val="nil"/>
              <w:left w:val="single" w:sz="4" w:space="0" w:color="auto"/>
              <w:bottom w:val="single" w:sz="4" w:space="0" w:color="auto"/>
              <w:right w:val="single" w:sz="4" w:space="0" w:color="auto"/>
            </w:tcBorders>
            <w:vAlign w:val="center"/>
            <w:hideMark/>
          </w:tcPr>
          <w:p w14:paraId="1B1A6BA4"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2767" w:type="dxa"/>
            <w:vMerge/>
            <w:tcBorders>
              <w:top w:val="nil"/>
              <w:left w:val="single" w:sz="4" w:space="0" w:color="auto"/>
              <w:bottom w:val="single" w:sz="4" w:space="0" w:color="auto"/>
              <w:right w:val="single" w:sz="4" w:space="0" w:color="auto"/>
            </w:tcBorders>
            <w:vAlign w:val="center"/>
            <w:hideMark/>
          </w:tcPr>
          <w:p w14:paraId="5FA037E3"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2260" w:type="dxa"/>
            <w:vMerge/>
            <w:tcBorders>
              <w:top w:val="nil"/>
              <w:left w:val="single" w:sz="4" w:space="0" w:color="auto"/>
              <w:bottom w:val="single" w:sz="4" w:space="0" w:color="auto"/>
              <w:right w:val="single" w:sz="4" w:space="0" w:color="auto"/>
            </w:tcBorders>
            <w:vAlign w:val="center"/>
            <w:hideMark/>
          </w:tcPr>
          <w:p w14:paraId="208CD9FB"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830" w:type="dxa"/>
            <w:vMerge/>
            <w:tcBorders>
              <w:top w:val="nil"/>
              <w:left w:val="single" w:sz="4" w:space="0" w:color="auto"/>
              <w:bottom w:val="single" w:sz="4" w:space="0" w:color="auto"/>
              <w:right w:val="single" w:sz="4" w:space="0" w:color="auto"/>
            </w:tcBorders>
            <w:vAlign w:val="center"/>
            <w:hideMark/>
          </w:tcPr>
          <w:p w14:paraId="569335D8"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p>
        </w:tc>
        <w:tc>
          <w:tcPr>
            <w:tcW w:w="1566" w:type="dxa"/>
            <w:tcBorders>
              <w:top w:val="nil"/>
              <w:left w:val="nil"/>
              <w:bottom w:val="single" w:sz="4" w:space="0" w:color="auto"/>
              <w:right w:val="single" w:sz="4" w:space="0" w:color="auto"/>
            </w:tcBorders>
            <w:shd w:val="clear" w:color="auto" w:fill="auto"/>
            <w:vAlign w:val="center"/>
            <w:hideMark/>
          </w:tcPr>
          <w:p w14:paraId="68857A21"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Ciencias: 14.4%</w:t>
            </w:r>
          </w:p>
        </w:tc>
      </w:tr>
      <w:tr w:rsidR="001677FC" w:rsidRPr="003D1F78" w14:paraId="451A2743" w14:textId="77777777" w:rsidTr="009C1BBA">
        <w:trPr>
          <w:trHeight w:val="720"/>
        </w:trPr>
        <w:tc>
          <w:tcPr>
            <w:tcW w:w="3784" w:type="dxa"/>
            <w:gridSpan w:val="2"/>
            <w:tcBorders>
              <w:top w:val="single" w:sz="4" w:space="0" w:color="auto"/>
              <w:left w:val="single" w:sz="4" w:space="0" w:color="auto"/>
              <w:bottom w:val="single" w:sz="4" w:space="0" w:color="auto"/>
              <w:right w:val="single" w:sz="4" w:space="0" w:color="auto"/>
            </w:tcBorders>
            <w:shd w:val="clear" w:color="000000" w:fill="000000"/>
            <w:vAlign w:val="center"/>
            <w:hideMark/>
          </w:tcPr>
          <w:p w14:paraId="3B27ABB3"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Categoría</w:t>
            </w:r>
          </w:p>
        </w:tc>
        <w:tc>
          <w:tcPr>
            <w:tcW w:w="3090" w:type="dxa"/>
            <w:gridSpan w:val="2"/>
            <w:tcBorders>
              <w:top w:val="single" w:sz="4" w:space="0" w:color="auto"/>
              <w:left w:val="nil"/>
              <w:bottom w:val="single" w:sz="4" w:space="0" w:color="auto"/>
              <w:right w:val="single" w:sz="4" w:space="0" w:color="auto"/>
            </w:tcBorders>
            <w:shd w:val="clear" w:color="000000" w:fill="000000"/>
            <w:vAlign w:val="center"/>
            <w:hideMark/>
          </w:tcPr>
          <w:p w14:paraId="7BF2C45F"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 xml:space="preserve">Medio de verificación </w:t>
            </w:r>
          </w:p>
        </w:tc>
        <w:tc>
          <w:tcPr>
            <w:tcW w:w="1566" w:type="dxa"/>
            <w:tcBorders>
              <w:top w:val="nil"/>
              <w:left w:val="nil"/>
              <w:bottom w:val="single" w:sz="4" w:space="0" w:color="auto"/>
              <w:right w:val="single" w:sz="4" w:space="0" w:color="auto"/>
            </w:tcBorders>
            <w:shd w:val="clear" w:color="000000" w:fill="000000"/>
            <w:vAlign w:val="center"/>
            <w:hideMark/>
          </w:tcPr>
          <w:p w14:paraId="2B646241" w14:textId="77777777" w:rsidR="001677FC" w:rsidRPr="003D1F78" w:rsidRDefault="001677FC" w:rsidP="001677FC">
            <w:pPr>
              <w:spacing w:after="0" w:line="240" w:lineRule="auto"/>
              <w:rPr>
                <w:rFonts w:ascii="Open Sans Light" w:eastAsia="Times New Roman" w:hAnsi="Open Sans Light" w:cs="Open Sans Light"/>
                <w:b/>
                <w:bCs/>
                <w:color w:val="FFFFFF"/>
                <w:sz w:val="16"/>
                <w:szCs w:val="16"/>
                <w:lang w:val="es-PE"/>
              </w:rPr>
            </w:pPr>
            <w:r w:rsidRPr="003D1F78">
              <w:rPr>
                <w:rFonts w:ascii="Open Sans Light" w:eastAsia="Times New Roman" w:hAnsi="Open Sans Light" w:cs="Open Sans Light"/>
                <w:b/>
                <w:bCs/>
                <w:color w:val="FFFFFF"/>
                <w:sz w:val="16"/>
                <w:szCs w:val="16"/>
                <w:lang w:val="es-PE"/>
              </w:rPr>
              <w:t>% var. en ejecución presupuestal</w:t>
            </w:r>
          </w:p>
        </w:tc>
      </w:tr>
      <w:tr w:rsidR="001677FC" w:rsidRPr="003D1F78" w14:paraId="57A9F038" w14:textId="77777777" w:rsidTr="009C1BBA">
        <w:trPr>
          <w:trHeight w:val="864"/>
        </w:trPr>
        <w:tc>
          <w:tcPr>
            <w:tcW w:w="37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7611267"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Intervenciones vinculadas a la promoción de la lectura y matemática</w:t>
            </w:r>
          </w:p>
        </w:tc>
        <w:tc>
          <w:tcPr>
            <w:tcW w:w="3090" w:type="dxa"/>
            <w:gridSpan w:val="2"/>
            <w:tcBorders>
              <w:top w:val="single" w:sz="4" w:space="0" w:color="auto"/>
              <w:left w:val="nil"/>
              <w:bottom w:val="single" w:sz="4" w:space="0" w:color="auto"/>
              <w:right w:val="single" w:sz="4" w:space="0" w:color="auto"/>
            </w:tcBorders>
            <w:shd w:val="clear" w:color="auto" w:fill="auto"/>
            <w:vAlign w:val="center"/>
            <w:hideMark/>
          </w:tcPr>
          <w:p w14:paraId="020BC3D3"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Programa Presupuestal Logros de aprendizaje de estudiantes en la educación básica regular – PP 0090</w:t>
            </w:r>
          </w:p>
        </w:tc>
        <w:tc>
          <w:tcPr>
            <w:tcW w:w="1566" w:type="dxa"/>
            <w:tcBorders>
              <w:top w:val="nil"/>
              <w:left w:val="nil"/>
              <w:bottom w:val="single" w:sz="4" w:space="0" w:color="auto"/>
              <w:right w:val="single" w:sz="4" w:space="0" w:color="auto"/>
            </w:tcBorders>
            <w:shd w:val="clear" w:color="auto" w:fill="auto"/>
            <w:vAlign w:val="center"/>
            <w:hideMark/>
          </w:tcPr>
          <w:p w14:paraId="1864374B"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-22%</w:t>
            </w:r>
          </w:p>
        </w:tc>
      </w:tr>
      <w:tr w:rsidR="001677FC" w:rsidRPr="003D1F78" w14:paraId="3DBBD833" w14:textId="77777777" w:rsidTr="009C1BBA">
        <w:trPr>
          <w:trHeight w:val="1176"/>
        </w:trPr>
        <w:tc>
          <w:tcPr>
            <w:tcW w:w="37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D717920"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Formación de docentes con perspectiva de promoción de derechos y enfoque de género</w:t>
            </w:r>
          </w:p>
        </w:tc>
        <w:tc>
          <w:tcPr>
            <w:tcW w:w="3090" w:type="dxa"/>
            <w:gridSpan w:val="2"/>
            <w:tcBorders>
              <w:top w:val="single" w:sz="4" w:space="0" w:color="auto"/>
              <w:left w:val="nil"/>
              <w:bottom w:val="single" w:sz="4" w:space="0" w:color="auto"/>
              <w:right w:val="single" w:sz="4" w:space="0" w:color="auto"/>
            </w:tcBorders>
            <w:shd w:val="clear" w:color="auto" w:fill="auto"/>
            <w:vAlign w:val="center"/>
            <w:hideMark/>
          </w:tcPr>
          <w:p w14:paraId="75407FDD"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rPr>
              <w:t xml:space="preserve">Programa Presupuestal Logros de aprendizaje de estudiantes en la educación básica regular – PP 0090: Producto “Docentes preparados implementan el currículo” </w:t>
            </w:r>
          </w:p>
        </w:tc>
        <w:tc>
          <w:tcPr>
            <w:tcW w:w="1566" w:type="dxa"/>
            <w:tcBorders>
              <w:top w:val="nil"/>
              <w:left w:val="nil"/>
              <w:bottom w:val="single" w:sz="4" w:space="0" w:color="auto"/>
              <w:right w:val="single" w:sz="4" w:space="0" w:color="auto"/>
            </w:tcBorders>
            <w:shd w:val="clear" w:color="auto" w:fill="auto"/>
            <w:vAlign w:val="center"/>
            <w:hideMark/>
          </w:tcPr>
          <w:p w14:paraId="467626D0"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-43%</w:t>
            </w:r>
          </w:p>
        </w:tc>
      </w:tr>
      <w:tr w:rsidR="001677FC" w:rsidRPr="003D1F78" w14:paraId="09502E68" w14:textId="77777777" w:rsidTr="009C1BBA">
        <w:trPr>
          <w:trHeight w:val="1176"/>
        </w:trPr>
        <w:tc>
          <w:tcPr>
            <w:tcW w:w="37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A61DFD0"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lastRenderedPageBreak/>
              <w:t>Intervenciones vinculadas a la violencia en el ámbito educativo</w:t>
            </w:r>
          </w:p>
        </w:tc>
        <w:tc>
          <w:tcPr>
            <w:tcW w:w="3090" w:type="dxa"/>
            <w:gridSpan w:val="2"/>
            <w:tcBorders>
              <w:top w:val="single" w:sz="4" w:space="0" w:color="auto"/>
              <w:left w:val="nil"/>
              <w:bottom w:val="single" w:sz="4" w:space="0" w:color="auto"/>
              <w:right w:val="single" w:sz="4" w:space="0" w:color="auto"/>
            </w:tcBorders>
            <w:shd w:val="clear" w:color="auto" w:fill="auto"/>
            <w:vAlign w:val="center"/>
            <w:hideMark/>
          </w:tcPr>
          <w:p w14:paraId="47D40CBF"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Programa de Salud Materno Neonatal – PP 0002, muestra en su producto “Instituciones educativas saludables promueven salud sexual y reproductiva”</w:t>
            </w:r>
          </w:p>
        </w:tc>
        <w:tc>
          <w:tcPr>
            <w:tcW w:w="1566" w:type="dxa"/>
            <w:tcBorders>
              <w:top w:val="nil"/>
              <w:left w:val="nil"/>
              <w:bottom w:val="single" w:sz="4" w:space="0" w:color="auto"/>
              <w:right w:val="single" w:sz="4" w:space="0" w:color="auto"/>
            </w:tcBorders>
            <w:shd w:val="clear" w:color="auto" w:fill="auto"/>
            <w:vAlign w:val="center"/>
            <w:hideMark/>
          </w:tcPr>
          <w:p w14:paraId="2CF9E197" w14:textId="77777777" w:rsidR="001677FC" w:rsidRPr="003D1F78"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34%</w:t>
            </w:r>
          </w:p>
        </w:tc>
      </w:tr>
      <w:tr w:rsidR="001677FC" w:rsidRPr="001677FC" w14:paraId="4A921343" w14:textId="77777777" w:rsidTr="009C1BBA">
        <w:trPr>
          <w:trHeight w:val="864"/>
        </w:trPr>
        <w:tc>
          <w:tcPr>
            <w:tcW w:w="37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11095F"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Desarrollo de competencias educativas vinculadas al medio ambiente</w:t>
            </w:r>
          </w:p>
        </w:tc>
        <w:tc>
          <w:tcPr>
            <w:tcW w:w="3090" w:type="dxa"/>
            <w:gridSpan w:val="2"/>
            <w:tcBorders>
              <w:top w:val="single" w:sz="4" w:space="0" w:color="auto"/>
              <w:left w:val="nil"/>
              <w:bottom w:val="single" w:sz="4" w:space="0" w:color="auto"/>
              <w:right w:val="single" w:sz="4" w:space="0" w:color="auto"/>
            </w:tcBorders>
            <w:shd w:val="clear" w:color="auto" w:fill="auto"/>
            <w:vAlign w:val="center"/>
            <w:hideMark/>
          </w:tcPr>
          <w:p w14:paraId="7CA16730" w14:textId="77777777" w:rsidR="001677FC" w:rsidRPr="003D1F78" w:rsidRDefault="001677FC" w:rsidP="001677FC">
            <w:pPr>
              <w:spacing w:after="0" w:line="240" w:lineRule="auto"/>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Actividad presupuestal que no resulta en producto (APnoP): “Desarrollo de la educación comunitaria y ambiental”</w:t>
            </w:r>
          </w:p>
        </w:tc>
        <w:tc>
          <w:tcPr>
            <w:tcW w:w="1566" w:type="dxa"/>
            <w:tcBorders>
              <w:top w:val="nil"/>
              <w:left w:val="nil"/>
              <w:bottom w:val="single" w:sz="4" w:space="0" w:color="auto"/>
              <w:right w:val="single" w:sz="4" w:space="0" w:color="auto"/>
            </w:tcBorders>
            <w:shd w:val="clear" w:color="auto" w:fill="auto"/>
            <w:vAlign w:val="center"/>
            <w:hideMark/>
          </w:tcPr>
          <w:p w14:paraId="570088EF" w14:textId="77777777" w:rsidR="001677FC" w:rsidRPr="001677FC" w:rsidRDefault="001677FC" w:rsidP="001677FC">
            <w:pPr>
              <w:spacing w:after="0" w:line="240" w:lineRule="auto"/>
              <w:jc w:val="right"/>
              <w:rPr>
                <w:rFonts w:ascii="Open Sans Light" w:eastAsia="Times New Roman" w:hAnsi="Open Sans Light" w:cs="Open Sans Light"/>
                <w:color w:val="000000"/>
                <w:sz w:val="16"/>
                <w:szCs w:val="16"/>
                <w:lang w:val="es-PE"/>
              </w:rPr>
            </w:pPr>
            <w:r w:rsidRPr="003D1F78">
              <w:rPr>
                <w:rFonts w:ascii="Open Sans Light" w:eastAsia="Times New Roman" w:hAnsi="Open Sans Light" w:cs="Open Sans Light"/>
                <w:color w:val="000000"/>
                <w:sz w:val="16"/>
                <w:szCs w:val="16"/>
                <w:lang w:val="es-PE"/>
              </w:rPr>
              <w:t>-73%</w:t>
            </w:r>
          </w:p>
        </w:tc>
      </w:tr>
    </w:tbl>
    <w:p w14:paraId="759DFD16" w14:textId="77777777" w:rsidR="001677FC" w:rsidRDefault="001677FC" w:rsidP="00BC2848">
      <w:pPr>
        <w:jc w:val="both"/>
        <w:rPr>
          <w:rFonts w:ascii="Open Sans Light" w:hAnsi="Open Sans Light" w:cs="Open Sans Light"/>
          <w:sz w:val="24"/>
          <w:szCs w:val="24"/>
          <w:lang w:val="es-ES"/>
        </w:rPr>
      </w:pPr>
    </w:p>
    <w:p w14:paraId="639210F6" w14:textId="4073CE9C" w:rsidR="00BC2848" w:rsidRPr="00A61DFC" w:rsidRDefault="00BC2848" w:rsidP="00BC284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 xml:space="preserve">La quinta meta está vinculada al Resultado Esperado 7 del </w:t>
      </w:r>
      <w:r w:rsidR="00D979D4">
        <w:rPr>
          <w:rFonts w:ascii="Open Sans Light" w:hAnsi="Open Sans Light" w:cs="Open Sans Light"/>
          <w:sz w:val="24"/>
          <w:szCs w:val="24"/>
          <w:lang w:val="es-ES"/>
        </w:rPr>
        <w:t>PNAIA 2012 – 2021</w:t>
      </w:r>
      <w:r w:rsidRPr="00A61DFC">
        <w:rPr>
          <w:rFonts w:ascii="Open Sans Light" w:hAnsi="Open Sans Light" w:cs="Open Sans Light"/>
          <w:sz w:val="24"/>
          <w:szCs w:val="24"/>
          <w:lang w:val="es-ES"/>
        </w:rPr>
        <w:t xml:space="preserve">, el cual busca que los estudiantes con 15 años alcancen el nivel 3 (más de 481 puntos) en comprensión lectora, matemáticas y ciencias evaluados con la prueba PISA. Para lograrlo se plantearon 13 estrategias de </w:t>
      </w:r>
      <w:r w:rsidRPr="00D26390">
        <w:rPr>
          <w:rFonts w:ascii="Open Sans Light" w:hAnsi="Open Sans Light" w:cs="Open Sans Light"/>
          <w:sz w:val="24"/>
          <w:szCs w:val="24"/>
          <w:lang w:val="es-ES"/>
        </w:rPr>
        <w:t xml:space="preserve">implementación agrupadas en 4 categorías </w:t>
      </w:r>
      <w:r w:rsidRPr="009C2417">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w:t>
      </w:r>
      <w:r w:rsidR="00383A32" w:rsidRPr="004D0E60">
        <w:rPr>
          <w:rFonts w:ascii="Open Sans Light" w:hAnsi="Open Sans Light" w:cs="Open Sans Light"/>
          <w:sz w:val="24"/>
          <w:szCs w:val="24"/>
          <w:lang w:val="es-ES"/>
        </w:rPr>
        <w:t xml:space="preserve">Tabla </w:t>
      </w:r>
      <w:r w:rsidR="009C2417" w:rsidRPr="004D0E60">
        <w:rPr>
          <w:rFonts w:ascii="Open Sans Light" w:hAnsi="Open Sans Light" w:cs="Open Sans Light"/>
          <w:sz w:val="24"/>
          <w:szCs w:val="24"/>
          <w:lang w:val="es-ES"/>
        </w:rPr>
        <w:t>A.21</w:t>
      </w:r>
      <w:r w:rsidRPr="009C2417">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54E31EDA" w14:textId="23D4242B" w:rsidR="00BC2848" w:rsidRPr="00A61DFC" w:rsidRDefault="00BC2848" w:rsidP="00BC284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Respecto a los 4 ejes-categoría –</w:t>
      </w:r>
      <w:r w:rsidRPr="00A61DFC">
        <w:rPr>
          <w:rFonts w:ascii="Open Sans Light" w:hAnsi="Open Sans Light" w:cs="Open Sans Light"/>
          <w:i/>
          <w:iCs/>
          <w:sz w:val="24"/>
          <w:szCs w:val="24"/>
          <w:lang w:val="es-ES"/>
        </w:rPr>
        <w:t>(i) intervenciones vinculadas a la promoción de la lectura y matemática, (ii) formación de docentes con perspectiva de promoción de derechos y enfoque de género, (iii) intervenciones vinculadas a la violencia en el ámbito educativo y (iv) desarrollo de competencias educativas vinculadas al medio ambiente</w:t>
      </w:r>
      <w:r w:rsidRPr="00A61DFC">
        <w:rPr>
          <w:rFonts w:ascii="Open Sans Light" w:hAnsi="Open Sans Light" w:cs="Open Sans Light"/>
          <w:sz w:val="24"/>
          <w:szCs w:val="24"/>
          <w:lang w:val="es-ES"/>
        </w:rPr>
        <w:t>– los medios de verificación disponibles y tomados en cuenta permiten afirmar que no se cumplió con ningún eje-categoría. La variación en ejecución presupuestaria entre el 2012 y 2020 fue de -22% para el eje-categoría (i) y de -73% para el eje-categoría (iv). En cuanto a la variación respectiva para el eje-categoría (ii) se tiene información para el periodo 2016-2020 siendo de -43%; en el caso del eje-categoría (iii) se tiene información para e</w:t>
      </w:r>
      <w:r w:rsidRPr="00D26390">
        <w:rPr>
          <w:rFonts w:ascii="Open Sans Light" w:hAnsi="Open Sans Light" w:cs="Open Sans Light"/>
          <w:sz w:val="24"/>
          <w:szCs w:val="24"/>
          <w:lang w:val="es-ES"/>
        </w:rPr>
        <w:t>l periodo 2012-2017 siendo de 34</w:t>
      </w:r>
      <w:r w:rsidRPr="00DD4965">
        <w:rPr>
          <w:rFonts w:ascii="Open Sans Light" w:hAnsi="Open Sans Light" w:cs="Open Sans Light"/>
          <w:sz w:val="24"/>
          <w:szCs w:val="24"/>
          <w:lang w:val="es-ES"/>
        </w:rPr>
        <w:t>% (</w:t>
      </w:r>
      <w:r w:rsidRPr="004D0E60">
        <w:rPr>
          <w:rFonts w:ascii="Open Sans Light" w:hAnsi="Open Sans Light" w:cs="Open Sans Light"/>
          <w:sz w:val="24"/>
          <w:szCs w:val="24"/>
          <w:lang w:val="es-ES"/>
        </w:rPr>
        <w:t xml:space="preserve">véase detalle en Anexo, </w:t>
      </w:r>
      <w:r w:rsidR="00F96701" w:rsidRPr="004D0E60">
        <w:rPr>
          <w:rFonts w:ascii="Open Sans Light" w:hAnsi="Open Sans Light" w:cs="Open Sans Light"/>
          <w:sz w:val="24"/>
          <w:szCs w:val="24"/>
          <w:lang w:val="es-ES"/>
        </w:rPr>
        <w:t xml:space="preserve">Tabla </w:t>
      </w:r>
      <w:r w:rsidR="00FD3218" w:rsidRPr="004D0E60">
        <w:rPr>
          <w:rFonts w:ascii="Open Sans Light" w:hAnsi="Open Sans Light" w:cs="Open Sans Light"/>
          <w:sz w:val="24"/>
          <w:szCs w:val="24"/>
          <w:lang w:val="es-ES"/>
        </w:rPr>
        <w:t>A.22</w:t>
      </w:r>
      <w:r w:rsidRPr="00DD4965">
        <w:rPr>
          <w:rFonts w:ascii="Open Sans Light" w:hAnsi="Open Sans Light" w:cs="Open Sans Light"/>
          <w:sz w:val="24"/>
          <w:szCs w:val="24"/>
          <w:lang w:val="es-ES"/>
        </w:rPr>
        <w:t>).</w:t>
      </w:r>
      <w:r w:rsidR="00466A98" w:rsidRPr="00D26390">
        <w:rPr>
          <w:rFonts w:ascii="Open Sans Light" w:hAnsi="Open Sans Light" w:cs="Open Sans Light"/>
          <w:sz w:val="24"/>
          <w:szCs w:val="24"/>
          <w:lang w:val="es-ES"/>
        </w:rPr>
        <w:t xml:space="preserve"> Si bien estas</w:t>
      </w:r>
      <w:r w:rsidR="00466A98" w:rsidRPr="00A61DFC">
        <w:rPr>
          <w:rFonts w:ascii="Open Sans Light" w:hAnsi="Open Sans Light" w:cs="Open Sans Light"/>
          <w:sz w:val="24"/>
          <w:szCs w:val="24"/>
          <w:lang w:val="es-ES"/>
        </w:rPr>
        <w:t xml:space="preserve"> aproximaciones brindan indicios de posibles malos resultados, lo cierto es que Perú ha sido de los países que más ha mejorado en la región. Así, de una comparación con los resultados de Argentina, Brasil, Chile, Colombia, Costa Rica, México, República Dominicana y Uruguay, se obtiene que entre 2009 y 2018 Perú ha sido el país con mejor variación positiva en resultados tanto en matemáticas como en comprensión lectora de estudiantes de 15 años (véa</w:t>
      </w:r>
      <w:r w:rsidR="000A4C48" w:rsidRPr="00A61DFC">
        <w:rPr>
          <w:rFonts w:ascii="Open Sans Light" w:hAnsi="Open Sans Light" w:cs="Open Sans Light"/>
          <w:sz w:val="24"/>
          <w:szCs w:val="24"/>
          <w:lang w:val="es-ES"/>
        </w:rPr>
        <w:t>n</w:t>
      </w:r>
      <w:r w:rsidR="00466A98" w:rsidRPr="00A61DFC">
        <w:rPr>
          <w:rFonts w:ascii="Open Sans Light" w:hAnsi="Open Sans Light" w:cs="Open Sans Light"/>
          <w:sz w:val="24"/>
          <w:szCs w:val="24"/>
          <w:lang w:val="es-ES"/>
        </w:rPr>
        <w:t xml:space="preserve">se </w:t>
      </w:r>
      <w:r w:rsidR="000A4C48" w:rsidRPr="00A61DFC">
        <w:rPr>
          <w:rFonts w:ascii="Open Sans Light" w:hAnsi="Open Sans Light" w:cs="Open Sans Light"/>
          <w:sz w:val="24"/>
          <w:szCs w:val="24"/>
          <w:lang w:val="es-ES"/>
        </w:rPr>
        <w:t>Gráficos 33 y 34</w:t>
      </w:r>
      <w:r w:rsidR="00466A98" w:rsidRPr="00A61DFC">
        <w:rPr>
          <w:rFonts w:ascii="Open Sans Light" w:hAnsi="Open Sans Light" w:cs="Open Sans Light"/>
          <w:sz w:val="24"/>
          <w:szCs w:val="24"/>
          <w:lang w:val="es-ES"/>
        </w:rPr>
        <w:t xml:space="preserve">). </w:t>
      </w:r>
      <w:r w:rsidRPr="00A61DFC">
        <w:rPr>
          <w:rFonts w:ascii="Open Sans Light" w:hAnsi="Open Sans Light" w:cs="Open Sans Light"/>
          <w:sz w:val="24"/>
          <w:szCs w:val="24"/>
          <w:lang w:val="es-ES"/>
        </w:rPr>
        <w:t xml:space="preserve"> </w:t>
      </w:r>
    </w:p>
    <w:p w14:paraId="282366D7" w14:textId="68E8B4BD" w:rsidR="00BC2848"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Respecto a la variación observada de -22% para el eje-categoría (i) –</w:t>
      </w:r>
      <w:r w:rsidRPr="00A61DFC">
        <w:rPr>
          <w:rFonts w:ascii="Open Sans Light" w:hAnsi="Open Sans Light" w:cs="Open Sans Light"/>
          <w:i/>
          <w:iCs/>
          <w:sz w:val="24"/>
          <w:szCs w:val="24"/>
          <w:lang w:val="es-ES"/>
        </w:rPr>
        <w:t>intervenciones vinculadas a la promoción de la lectura y matemática</w:t>
      </w:r>
      <w:r w:rsidRPr="00A61DFC">
        <w:rPr>
          <w:rFonts w:ascii="Open Sans Light" w:hAnsi="Open Sans Light" w:cs="Open Sans Light"/>
          <w:sz w:val="24"/>
          <w:szCs w:val="24"/>
          <w:lang w:val="es-ES"/>
        </w:rPr>
        <w:t xml:space="preserve">– se consideró el Programa Presupuestal Logros de Aprendizaje de Estudiantes en la Educación Básica Regular – PP 0090. Los resultados fueron heterogéneos a nivel nacional. Por un lado, departamentos como La Libertad, Arequipa y Piura tuvieron variaciones positivas en cuanto a </w:t>
      </w:r>
      <w:r w:rsidRPr="00A61DFC">
        <w:rPr>
          <w:rFonts w:ascii="Open Sans Light" w:hAnsi="Open Sans Light" w:cs="Open Sans Light"/>
          <w:sz w:val="24"/>
          <w:szCs w:val="24"/>
          <w:lang w:val="es-ES"/>
        </w:rPr>
        <w:lastRenderedPageBreak/>
        <w:t xml:space="preserve">sus niveles de ejecución presupuestal, de 3487%, 1842% y 1025% respectivamente. Por otro lado, departamentos como Madre de Dios, Lambayeque y Tacna tuvieron variaciones negativas en cuanto a sus niveles de ejecución presupuestal, de -90%, -100% y -100%. En este último grupo se hace necesario resaltar que Lambayeque y Tacna no ejecutaron presupuesto alguno en 2020; asimismo, que Ucayali no ejecutó presupuesto alguno en </w:t>
      </w:r>
      <w:r w:rsidRPr="00D26390">
        <w:rPr>
          <w:rFonts w:ascii="Open Sans Light" w:hAnsi="Open Sans Light" w:cs="Open Sans Light"/>
          <w:sz w:val="24"/>
          <w:szCs w:val="24"/>
          <w:lang w:val="es-ES"/>
        </w:rPr>
        <w:t xml:space="preserve">2013 pero si uno de 877,372 en 2020 </w:t>
      </w:r>
      <w:r w:rsidRPr="00DD4965">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w:t>
      </w:r>
      <w:r w:rsidR="00C401FF" w:rsidRPr="004D0E60">
        <w:rPr>
          <w:rFonts w:ascii="Open Sans Light" w:hAnsi="Open Sans Light" w:cs="Open Sans Light"/>
          <w:sz w:val="24"/>
          <w:szCs w:val="24"/>
          <w:lang w:val="es-ES"/>
        </w:rPr>
        <w:t xml:space="preserve">Tabla </w:t>
      </w:r>
      <w:r w:rsidR="00DD4965" w:rsidRPr="004D0E60">
        <w:rPr>
          <w:rFonts w:ascii="Open Sans Light" w:hAnsi="Open Sans Light" w:cs="Open Sans Light"/>
          <w:sz w:val="24"/>
          <w:szCs w:val="24"/>
          <w:lang w:val="es-ES"/>
        </w:rPr>
        <w:t>A.23</w:t>
      </w:r>
      <w:r w:rsidRPr="00DD4965">
        <w:rPr>
          <w:rFonts w:ascii="Open Sans Light" w:hAnsi="Open Sans Light" w:cs="Open Sans Light"/>
          <w:sz w:val="24"/>
          <w:szCs w:val="24"/>
          <w:lang w:val="es-ES"/>
        </w:rPr>
        <w:t>).</w:t>
      </w:r>
    </w:p>
    <w:p w14:paraId="0679BB5A" w14:textId="77777777" w:rsidR="00615D6E" w:rsidRPr="00A61DFC" w:rsidRDefault="00615D6E" w:rsidP="00BC2848">
      <w:pPr>
        <w:ind w:left="708"/>
        <w:jc w:val="both"/>
        <w:rPr>
          <w:rFonts w:ascii="Open Sans Light" w:hAnsi="Open Sans Light" w:cs="Open Sans Light"/>
          <w:sz w:val="24"/>
          <w:szCs w:val="24"/>
          <w:lang w:val="es-ES"/>
        </w:rPr>
      </w:pPr>
    </w:p>
    <w:p w14:paraId="37A9A50C" w14:textId="34CA0D90" w:rsidR="0069528E" w:rsidRDefault="0069528E" w:rsidP="0069528E">
      <w:pPr>
        <w:pStyle w:val="ESTILOTABLA"/>
      </w:pPr>
      <w:r>
        <w:t xml:space="preserve">Figura </w:t>
      </w:r>
      <w:r w:rsidR="00A31AEE">
        <w:rPr>
          <w:noProof/>
        </w:rPr>
        <w:fldChar w:fldCharType="begin"/>
      </w:r>
      <w:r w:rsidR="00A31AEE">
        <w:rPr>
          <w:noProof/>
        </w:rPr>
        <w:instrText xml:space="preserve"> SEQ Figura \* ARABIC </w:instrText>
      </w:r>
      <w:r w:rsidR="00A31AEE">
        <w:rPr>
          <w:noProof/>
        </w:rPr>
        <w:fldChar w:fldCharType="separate"/>
      </w:r>
      <w:r w:rsidR="00846FB2">
        <w:rPr>
          <w:noProof/>
        </w:rPr>
        <w:t>6</w:t>
      </w:r>
      <w:r w:rsidR="00A31AEE">
        <w:rPr>
          <w:noProof/>
        </w:rPr>
        <w:fldChar w:fldCharType="end"/>
      </w:r>
      <w:r>
        <w:t xml:space="preserve">. </w:t>
      </w:r>
      <w:r w:rsidRPr="00677C6D">
        <w:rPr>
          <w:b/>
          <w:bCs/>
          <w:i w:val="0"/>
          <w:iCs/>
          <w:lang w:val="es-PE"/>
        </w:rPr>
        <w:t xml:space="preserve">Variación porcentual en los niveles de ejecución presupuestal </w:t>
      </w:r>
      <w:r>
        <w:rPr>
          <w:b/>
          <w:bCs/>
          <w:i w:val="0"/>
          <w:iCs/>
          <w:lang w:val="es-PE"/>
        </w:rPr>
        <w:t>(</w:t>
      </w:r>
      <w:r w:rsidR="00DD43F2" w:rsidRPr="00DD43F2">
        <w:rPr>
          <w:b/>
          <w:bCs/>
          <w:i w:val="0"/>
          <w:iCs/>
          <w:lang w:val="es-PE"/>
        </w:rPr>
        <w:t>Logros de Aprendizaje de Estudiantes en la Educación Básica Regular – PP 0090</w:t>
      </w:r>
      <w:r>
        <w:rPr>
          <w:b/>
          <w:bCs/>
          <w:i w:val="0"/>
          <w:iCs/>
          <w:lang w:val="es-PE"/>
        </w:rPr>
        <w:t xml:space="preserve">), </w:t>
      </w:r>
      <w:r w:rsidRPr="00677C6D">
        <w:rPr>
          <w:b/>
          <w:bCs/>
          <w:i w:val="0"/>
          <w:iCs/>
          <w:lang w:val="es-PE"/>
        </w:rPr>
        <w:t>entre los años 2012 y 2020 por departamento</w:t>
      </w:r>
    </w:p>
    <w:p w14:paraId="099A0801" w14:textId="13383999" w:rsidR="0069528E" w:rsidRPr="002E39FC" w:rsidRDefault="00CE31EA" w:rsidP="0069528E">
      <w:pPr>
        <w:jc w:val="both"/>
        <w:rPr>
          <w:rFonts w:ascii="Open Sans Light" w:hAnsi="Open Sans Light" w:cs="Open Sans Light"/>
          <w:color w:val="00B050"/>
          <w:sz w:val="24"/>
          <w:szCs w:val="24"/>
          <w:lang w:val="es-ES"/>
        </w:rPr>
      </w:pPr>
      <w:r>
        <w:rPr>
          <w:noProof/>
          <w:lang w:val="en-GB" w:eastAsia="en-GB"/>
        </w:rPr>
        <w:drawing>
          <wp:inline distT="0" distB="0" distL="0" distR="0" wp14:anchorId="6F064F50" wp14:editId="36B65E80">
            <wp:extent cx="5400040" cy="2981325"/>
            <wp:effectExtent l="0" t="0" r="0" b="0"/>
            <wp:docPr id="72" name="Gráfico 72">
              <a:extLst xmlns:a="http://schemas.openxmlformats.org/drawingml/2006/main">
                <a:ext uri="{FF2B5EF4-FFF2-40B4-BE49-F238E27FC236}">
                  <a16:creationId xmlns:a16="http://schemas.microsoft.com/office/drawing/2014/main" id="{F4F8E44A-2671-4ECE-800F-B612937B5C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12D112E" w14:textId="11BD1196"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En cuanto a la variación observada de -43% para el eje-categoría (ii) –</w:t>
      </w:r>
      <w:r w:rsidRPr="00A61DFC">
        <w:rPr>
          <w:rFonts w:ascii="Open Sans Light" w:hAnsi="Open Sans Light" w:cs="Open Sans Light"/>
          <w:i/>
          <w:iCs/>
          <w:sz w:val="24"/>
          <w:szCs w:val="24"/>
          <w:lang w:val="es-ES"/>
        </w:rPr>
        <w:t>formación de docentes con perspectiva de promoción de derechos y enfoque de género</w:t>
      </w:r>
      <w:r w:rsidRPr="00A61DFC">
        <w:rPr>
          <w:rFonts w:ascii="Open Sans Light" w:hAnsi="Open Sans Light" w:cs="Open Sans Light"/>
          <w:sz w:val="24"/>
          <w:szCs w:val="24"/>
          <w:lang w:val="es-ES"/>
        </w:rPr>
        <w:t xml:space="preserve">– se utilizó información del producto ‘Docentes preparados implementan el currículo’ del PP 0090. El producto pasó de tener un presupuesto de 87,854,465 soles en 2016 a uno de 49,893,253 en 2020. Estas variaciones fueron no homogéneas a nivel nacional. Se presentaron casos como los de departamentos de Cajamarca, Huánuco y Arequipa, con variaciones positivas de 106%, 86% y 84%; pero también casos como los de Pasco y Madre de Dios, así como el de la provincia constitucional del Callao, con variaciones negativas de -73%, -79% y 66% respectivamente. Cabe señalar que entre 2016 y 2019, la variación en el </w:t>
      </w:r>
      <w:r w:rsidRPr="00A61DFC">
        <w:rPr>
          <w:rFonts w:ascii="Open Sans Light" w:hAnsi="Open Sans Light" w:cs="Open Sans Light"/>
          <w:sz w:val="24"/>
          <w:szCs w:val="24"/>
          <w:lang w:val="es-ES"/>
        </w:rPr>
        <w:lastRenderedPageBreak/>
        <w:t xml:space="preserve">presupuesto </w:t>
      </w:r>
      <w:r w:rsidR="00E0000C">
        <w:rPr>
          <w:rFonts w:ascii="Open Sans Light" w:hAnsi="Open Sans Light" w:cs="Open Sans Light"/>
          <w:sz w:val="24"/>
          <w:szCs w:val="24"/>
          <w:lang w:val="es-ES"/>
        </w:rPr>
        <w:t>en</w:t>
      </w:r>
      <w:r w:rsidRPr="00A61DFC">
        <w:rPr>
          <w:rFonts w:ascii="Open Sans Light" w:hAnsi="Open Sans Light" w:cs="Open Sans Light"/>
          <w:sz w:val="24"/>
          <w:szCs w:val="24"/>
          <w:lang w:val="es-ES"/>
        </w:rPr>
        <w:t xml:space="preserve"> este eje-categoría fue de -62%, resultado que mejoró parcialmente para el 2020, por lo que no es factible plantear la hipótesis de la pandemia por COVID-19 como una posible causa de los resultados finales agregados. </w:t>
      </w:r>
    </w:p>
    <w:p w14:paraId="68F91210" w14:textId="77777777"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En lo que concierne a la variación en ejecución presupuestal de -25%, reportada para el eje-categoría (iii) –</w:t>
      </w:r>
      <w:r w:rsidRPr="00A61DFC">
        <w:rPr>
          <w:rFonts w:ascii="Open Sans Light" w:hAnsi="Open Sans Light" w:cs="Open Sans Light"/>
          <w:i/>
          <w:iCs/>
          <w:sz w:val="24"/>
          <w:szCs w:val="24"/>
          <w:lang w:val="es-ES"/>
        </w:rPr>
        <w:t>intervenciones vinculadas a la violencia en el ámbito educativo</w:t>
      </w:r>
      <w:r w:rsidRPr="00A61DFC">
        <w:rPr>
          <w:rFonts w:ascii="Open Sans Light" w:hAnsi="Open Sans Light" w:cs="Open Sans Light"/>
          <w:sz w:val="24"/>
          <w:szCs w:val="24"/>
          <w:lang w:val="es-ES"/>
        </w:rPr>
        <w:t xml:space="preserve">–, se tiene como base al Programa Presupuestal de ‘Lucha contra la Violencia Familiar’ PP0080, que pasó de contar con un presupuesto ejecutado de 1,217,010 soles en 2014, a tener uno de 912,284 en 2020. Este programa también se utilizó para aproximar resultados del eje-categoría (v) de la meta emblemática 3. </w:t>
      </w:r>
    </w:p>
    <w:p w14:paraId="3636CF7F" w14:textId="4B1696AF"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En relación con la variación negativa de -73% en ejecución presupuestal para el eje-categoría (iv) –</w:t>
      </w:r>
      <w:r w:rsidRPr="00A61DFC">
        <w:rPr>
          <w:rFonts w:ascii="Open Sans Light" w:hAnsi="Open Sans Light" w:cs="Open Sans Light"/>
          <w:i/>
          <w:iCs/>
          <w:sz w:val="24"/>
          <w:szCs w:val="24"/>
          <w:lang w:val="es-ES"/>
        </w:rPr>
        <w:t>desarrollo de competencias educativas vinculadas al medio ambiente</w:t>
      </w:r>
      <w:r w:rsidRPr="00A61DFC">
        <w:rPr>
          <w:rFonts w:ascii="Open Sans Light" w:hAnsi="Open Sans Light" w:cs="Open Sans Light"/>
          <w:sz w:val="24"/>
          <w:szCs w:val="24"/>
          <w:lang w:val="es-ES"/>
        </w:rPr>
        <w:t>– se consideró el producto ‘Desarrollo de la educación comunitaria y ambiental’ mediante el Sistema Integrado de Administración Financiera del Ministerio de Economía y Finanzas. Así, se tiene que el producto tenía un</w:t>
      </w:r>
      <w:r w:rsidR="00E0000C">
        <w:rPr>
          <w:rFonts w:ascii="Open Sans Light" w:hAnsi="Open Sans Light" w:cs="Open Sans Light"/>
          <w:sz w:val="24"/>
          <w:szCs w:val="24"/>
          <w:lang w:val="es-ES"/>
        </w:rPr>
        <w:t xml:space="preserve"> presupuesto</w:t>
      </w:r>
      <w:r w:rsidRPr="00A61DFC">
        <w:rPr>
          <w:rFonts w:ascii="Open Sans Light" w:hAnsi="Open Sans Light" w:cs="Open Sans Light"/>
          <w:sz w:val="24"/>
          <w:szCs w:val="24"/>
          <w:lang w:val="es-ES"/>
        </w:rPr>
        <w:t xml:space="preserve"> de 2,219,369 soles en 2012, reduciéndose ésta a 605,135 soles en 2020. </w:t>
      </w:r>
    </w:p>
    <w:p w14:paraId="79B5164D" w14:textId="026A763B" w:rsidR="009C1BBA" w:rsidRPr="002A7230" w:rsidRDefault="00BC2848" w:rsidP="002A7230">
      <w:pPr>
        <w:jc w:val="both"/>
        <w:rPr>
          <w:rFonts w:ascii="Open Sans Light" w:hAnsi="Open Sans Light" w:cs="Open Sans Light"/>
          <w:b/>
          <w:bCs/>
          <w:sz w:val="24"/>
          <w:szCs w:val="24"/>
          <w:lang w:val="es-ES"/>
        </w:rPr>
      </w:pPr>
      <w:r w:rsidRPr="00A61DFC">
        <w:rPr>
          <w:rFonts w:ascii="Open Sans Light" w:hAnsi="Open Sans Light" w:cs="Open Sans Light"/>
          <w:b/>
          <w:bCs/>
          <w:sz w:val="24"/>
          <w:szCs w:val="24"/>
          <w:lang w:val="es-ES"/>
        </w:rPr>
        <w:t xml:space="preserve">Sexta Meta Emblemática. ¡En el Perú no se maltrata la infancia! Disminuye violencia familiar contra niñas, niños y adolescentes. </w:t>
      </w:r>
    </w:p>
    <w:p w14:paraId="729827CF" w14:textId="27928383" w:rsidR="002A7230" w:rsidRPr="00E1753D" w:rsidRDefault="002A7230" w:rsidP="002A7230">
      <w:pPr>
        <w:pStyle w:val="ESTILOTABLA"/>
      </w:pPr>
      <w:r w:rsidRPr="00E1753D">
        <w:t xml:space="preserve">Tabla </w:t>
      </w:r>
      <w:fldSimple w:instr=" SEQ Tabla \* ARABIC ">
        <w:r w:rsidR="00846FB2">
          <w:rPr>
            <w:noProof/>
          </w:rPr>
          <w:t>10</w:t>
        </w:r>
      </w:fldSimple>
      <w:r w:rsidRPr="00E1753D">
        <w:t>.</w:t>
      </w:r>
      <w:r w:rsidRPr="00E1753D">
        <w:rPr>
          <w:rFonts w:eastAsia="Open Sans Light"/>
          <w:b/>
          <w:color w:val="000000"/>
          <w:szCs w:val="24"/>
        </w:rPr>
        <w:t xml:space="preserve"> </w:t>
      </w:r>
      <w:r w:rsidRPr="00E1753D">
        <w:rPr>
          <w:rFonts w:eastAsia="Open Sans Light"/>
          <w:b/>
          <w:i w:val="0"/>
          <w:iCs/>
          <w:color w:val="000000"/>
          <w:szCs w:val="24"/>
        </w:rPr>
        <w:t>Balance para Sexta Meta Emblemática</w:t>
      </w:r>
    </w:p>
    <w:tbl>
      <w:tblPr>
        <w:tblW w:w="8440" w:type="dxa"/>
        <w:tblCellMar>
          <w:left w:w="70" w:type="dxa"/>
          <w:right w:w="70" w:type="dxa"/>
        </w:tblCellMar>
        <w:tblLook w:val="04A0" w:firstRow="1" w:lastRow="0" w:firstColumn="1" w:lastColumn="0" w:noHBand="0" w:noVBand="1"/>
      </w:tblPr>
      <w:tblGrid>
        <w:gridCol w:w="1018"/>
        <w:gridCol w:w="2766"/>
        <w:gridCol w:w="2262"/>
        <w:gridCol w:w="830"/>
        <w:gridCol w:w="1564"/>
      </w:tblGrid>
      <w:tr w:rsidR="001677FC" w:rsidRPr="00E1753D" w14:paraId="55BE0562" w14:textId="77777777" w:rsidTr="009C1BBA">
        <w:trPr>
          <w:trHeight w:val="480"/>
        </w:trPr>
        <w:tc>
          <w:tcPr>
            <w:tcW w:w="1018"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567846E1" w14:textId="77777777" w:rsidR="001677FC" w:rsidRPr="00E1753D" w:rsidRDefault="001677FC" w:rsidP="001677FC">
            <w:pPr>
              <w:spacing w:after="0" w:line="240" w:lineRule="auto"/>
              <w:rPr>
                <w:rFonts w:ascii="Open Sans Light" w:eastAsia="Times New Roman" w:hAnsi="Open Sans Light" w:cs="Open Sans Light"/>
                <w:b/>
                <w:bCs/>
                <w:color w:val="FFFFFF"/>
                <w:sz w:val="16"/>
                <w:szCs w:val="16"/>
                <w:lang w:val="es-PE"/>
              </w:rPr>
            </w:pPr>
            <w:r w:rsidRPr="00E1753D">
              <w:rPr>
                <w:rFonts w:ascii="Open Sans Light" w:eastAsia="Times New Roman" w:hAnsi="Open Sans Light" w:cs="Open Sans Light"/>
                <w:b/>
                <w:bCs/>
                <w:color w:val="FFFFFF"/>
                <w:sz w:val="16"/>
                <w:szCs w:val="16"/>
                <w:lang w:val="es-PE"/>
              </w:rPr>
              <w:t>Objetivo Estratégico</w:t>
            </w:r>
          </w:p>
        </w:tc>
        <w:tc>
          <w:tcPr>
            <w:tcW w:w="2766" w:type="dxa"/>
            <w:tcBorders>
              <w:top w:val="single" w:sz="4" w:space="0" w:color="auto"/>
              <w:left w:val="nil"/>
              <w:bottom w:val="single" w:sz="4" w:space="0" w:color="auto"/>
              <w:right w:val="single" w:sz="4" w:space="0" w:color="auto"/>
            </w:tcBorders>
            <w:shd w:val="clear" w:color="000000" w:fill="000000"/>
            <w:vAlign w:val="center"/>
            <w:hideMark/>
          </w:tcPr>
          <w:p w14:paraId="5F440F63" w14:textId="77777777" w:rsidR="001677FC" w:rsidRPr="00E1753D" w:rsidRDefault="001677FC" w:rsidP="001677FC">
            <w:pPr>
              <w:spacing w:after="0" w:line="240" w:lineRule="auto"/>
              <w:rPr>
                <w:rFonts w:ascii="Open Sans Light" w:eastAsia="Times New Roman" w:hAnsi="Open Sans Light" w:cs="Open Sans Light"/>
                <w:b/>
                <w:bCs/>
                <w:color w:val="FFFFFF"/>
                <w:sz w:val="16"/>
                <w:szCs w:val="16"/>
                <w:lang w:val="es-PE"/>
              </w:rPr>
            </w:pPr>
            <w:r w:rsidRPr="00E1753D">
              <w:rPr>
                <w:rFonts w:ascii="Open Sans Light" w:eastAsia="Times New Roman" w:hAnsi="Open Sans Light" w:cs="Open Sans Light"/>
                <w:b/>
                <w:bCs/>
                <w:color w:val="FFFFFF"/>
                <w:sz w:val="16"/>
                <w:szCs w:val="16"/>
                <w:lang w:val="es-PE"/>
              </w:rPr>
              <w:t>Resultado Esperado y Meta PNAIA 2012-2021</w:t>
            </w:r>
          </w:p>
        </w:tc>
        <w:tc>
          <w:tcPr>
            <w:tcW w:w="2262" w:type="dxa"/>
            <w:tcBorders>
              <w:top w:val="single" w:sz="4" w:space="0" w:color="auto"/>
              <w:left w:val="nil"/>
              <w:bottom w:val="single" w:sz="4" w:space="0" w:color="auto"/>
              <w:right w:val="single" w:sz="4" w:space="0" w:color="auto"/>
            </w:tcBorders>
            <w:shd w:val="clear" w:color="000000" w:fill="000000"/>
            <w:vAlign w:val="center"/>
            <w:hideMark/>
          </w:tcPr>
          <w:p w14:paraId="510F2726" w14:textId="77777777" w:rsidR="001677FC" w:rsidRPr="00E1753D" w:rsidRDefault="001677FC" w:rsidP="001677FC">
            <w:pPr>
              <w:spacing w:after="0" w:line="240" w:lineRule="auto"/>
              <w:rPr>
                <w:rFonts w:ascii="Open Sans Light" w:eastAsia="Times New Roman" w:hAnsi="Open Sans Light" w:cs="Open Sans Light"/>
                <w:b/>
                <w:bCs/>
                <w:color w:val="FFFFFF"/>
                <w:sz w:val="16"/>
                <w:szCs w:val="16"/>
                <w:lang w:val="es-PE"/>
              </w:rPr>
            </w:pPr>
            <w:r w:rsidRPr="00E1753D">
              <w:rPr>
                <w:rFonts w:ascii="Open Sans Light" w:eastAsia="Times New Roman" w:hAnsi="Open Sans Light" w:cs="Open Sans Light"/>
                <w:b/>
                <w:bCs/>
                <w:color w:val="FFFFFF"/>
                <w:sz w:val="16"/>
                <w:szCs w:val="16"/>
                <w:lang w:val="es-PE"/>
              </w:rPr>
              <w:t>Indicador priorizado</w:t>
            </w:r>
          </w:p>
        </w:tc>
        <w:tc>
          <w:tcPr>
            <w:tcW w:w="830" w:type="dxa"/>
            <w:tcBorders>
              <w:top w:val="single" w:sz="4" w:space="0" w:color="auto"/>
              <w:left w:val="nil"/>
              <w:bottom w:val="single" w:sz="4" w:space="0" w:color="auto"/>
              <w:right w:val="single" w:sz="4" w:space="0" w:color="auto"/>
            </w:tcBorders>
            <w:shd w:val="clear" w:color="000000" w:fill="000000"/>
            <w:vAlign w:val="center"/>
            <w:hideMark/>
          </w:tcPr>
          <w:p w14:paraId="4D5DC302" w14:textId="77777777" w:rsidR="001677FC" w:rsidRPr="00E1753D" w:rsidRDefault="001677FC" w:rsidP="001677FC">
            <w:pPr>
              <w:spacing w:after="0" w:line="240" w:lineRule="auto"/>
              <w:rPr>
                <w:rFonts w:ascii="Open Sans Light" w:eastAsia="Times New Roman" w:hAnsi="Open Sans Light" w:cs="Open Sans Light"/>
                <w:b/>
                <w:bCs/>
                <w:color w:val="FFFFFF"/>
                <w:sz w:val="16"/>
                <w:szCs w:val="16"/>
                <w:lang w:val="es-PE"/>
              </w:rPr>
            </w:pPr>
            <w:r w:rsidRPr="00E1753D">
              <w:rPr>
                <w:rFonts w:ascii="Open Sans Light" w:eastAsia="Times New Roman" w:hAnsi="Open Sans Light" w:cs="Open Sans Light"/>
                <w:b/>
                <w:bCs/>
                <w:color w:val="FFFFFF"/>
                <w:sz w:val="16"/>
                <w:szCs w:val="16"/>
                <w:lang w:val="es-PE"/>
              </w:rPr>
              <w:t>Estado</w:t>
            </w:r>
          </w:p>
        </w:tc>
        <w:tc>
          <w:tcPr>
            <w:tcW w:w="1564" w:type="dxa"/>
            <w:tcBorders>
              <w:top w:val="single" w:sz="4" w:space="0" w:color="auto"/>
              <w:left w:val="nil"/>
              <w:bottom w:val="single" w:sz="4" w:space="0" w:color="auto"/>
              <w:right w:val="single" w:sz="4" w:space="0" w:color="auto"/>
            </w:tcBorders>
            <w:shd w:val="clear" w:color="000000" w:fill="000000"/>
            <w:vAlign w:val="center"/>
            <w:hideMark/>
          </w:tcPr>
          <w:p w14:paraId="210EF447" w14:textId="77777777" w:rsidR="001677FC" w:rsidRPr="00E1753D" w:rsidRDefault="001677FC" w:rsidP="001677FC">
            <w:pPr>
              <w:spacing w:after="0" w:line="240" w:lineRule="auto"/>
              <w:rPr>
                <w:rFonts w:ascii="Open Sans Light" w:eastAsia="Times New Roman" w:hAnsi="Open Sans Light" w:cs="Open Sans Light"/>
                <w:b/>
                <w:bCs/>
                <w:color w:val="FFFFFF"/>
                <w:sz w:val="16"/>
                <w:szCs w:val="16"/>
                <w:lang w:val="es-PE"/>
              </w:rPr>
            </w:pPr>
            <w:r w:rsidRPr="00E1753D">
              <w:rPr>
                <w:rFonts w:ascii="Open Sans Light" w:eastAsia="Times New Roman" w:hAnsi="Open Sans Light" w:cs="Open Sans Light"/>
                <w:b/>
                <w:bCs/>
                <w:color w:val="FFFFFF"/>
                <w:sz w:val="16"/>
                <w:szCs w:val="16"/>
                <w:lang w:val="es-PE"/>
              </w:rPr>
              <w:t>% de avance</w:t>
            </w:r>
          </w:p>
        </w:tc>
      </w:tr>
      <w:tr w:rsidR="001677FC" w:rsidRPr="00E1753D" w14:paraId="56530DD6" w14:textId="77777777" w:rsidTr="009C1BBA">
        <w:trPr>
          <w:trHeight w:val="864"/>
        </w:trPr>
        <w:tc>
          <w:tcPr>
            <w:tcW w:w="1018" w:type="dxa"/>
            <w:vMerge w:val="restart"/>
            <w:tcBorders>
              <w:top w:val="nil"/>
              <w:left w:val="single" w:sz="4" w:space="0" w:color="auto"/>
              <w:bottom w:val="single" w:sz="4" w:space="0" w:color="auto"/>
              <w:right w:val="single" w:sz="4" w:space="0" w:color="auto"/>
            </w:tcBorders>
            <w:shd w:val="clear" w:color="auto" w:fill="auto"/>
            <w:vAlign w:val="center"/>
            <w:hideMark/>
          </w:tcPr>
          <w:p w14:paraId="75E16647"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OE4</w:t>
            </w:r>
          </w:p>
        </w:tc>
        <w:tc>
          <w:tcPr>
            <w:tcW w:w="2766" w:type="dxa"/>
            <w:vMerge w:val="restart"/>
            <w:tcBorders>
              <w:top w:val="nil"/>
              <w:left w:val="single" w:sz="4" w:space="0" w:color="auto"/>
              <w:bottom w:val="single" w:sz="4" w:space="0" w:color="auto"/>
              <w:right w:val="single" w:sz="4" w:space="0" w:color="auto"/>
            </w:tcBorders>
            <w:shd w:val="clear" w:color="auto" w:fill="auto"/>
            <w:vAlign w:val="center"/>
            <w:hideMark/>
          </w:tcPr>
          <w:p w14:paraId="631D9E4A"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RE20: Se reduce el número de niñas, niños y adolescentes víctimas de violencia familiar y escolar</w:t>
            </w:r>
          </w:p>
        </w:tc>
        <w:tc>
          <w:tcPr>
            <w:tcW w:w="2262" w:type="dxa"/>
            <w:vMerge w:val="restart"/>
            <w:tcBorders>
              <w:top w:val="nil"/>
              <w:left w:val="single" w:sz="4" w:space="0" w:color="auto"/>
              <w:bottom w:val="single" w:sz="4" w:space="0" w:color="auto"/>
              <w:right w:val="single" w:sz="4" w:space="0" w:color="auto"/>
            </w:tcBorders>
            <w:shd w:val="clear" w:color="auto" w:fill="auto"/>
            <w:vAlign w:val="center"/>
            <w:hideMark/>
          </w:tcPr>
          <w:p w14:paraId="024E5753"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Porcentaje de niñas, niños y adolescentes que son víctimas de violencia familiar</w:t>
            </w:r>
          </w:p>
        </w:tc>
        <w:tc>
          <w:tcPr>
            <w:tcW w:w="830" w:type="dxa"/>
            <w:vMerge w:val="restart"/>
            <w:tcBorders>
              <w:top w:val="nil"/>
              <w:left w:val="single" w:sz="4" w:space="0" w:color="auto"/>
              <w:bottom w:val="single" w:sz="4" w:space="0" w:color="auto"/>
              <w:right w:val="single" w:sz="4" w:space="0" w:color="auto"/>
            </w:tcBorders>
            <w:shd w:val="clear" w:color="auto" w:fill="auto"/>
            <w:vAlign w:val="center"/>
            <w:hideMark/>
          </w:tcPr>
          <w:p w14:paraId="1278C7D9"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No se puede proyectar</w:t>
            </w:r>
          </w:p>
        </w:tc>
        <w:tc>
          <w:tcPr>
            <w:tcW w:w="1564" w:type="dxa"/>
            <w:tcBorders>
              <w:top w:val="nil"/>
              <w:left w:val="nil"/>
              <w:bottom w:val="single" w:sz="4" w:space="0" w:color="auto"/>
              <w:right w:val="single" w:sz="4" w:space="0" w:color="auto"/>
            </w:tcBorders>
            <w:shd w:val="clear" w:color="auto" w:fill="auto"/>
            <w:vAlign w:val="center"/>
            <w:hideMark/>
          </w:tcPr>
          <w:p w14:paraId="3E978841" w14:textId="77777777" w:rsidR="001677FC" w:rsidRPr="00E1753D" w:rsidRDefault="001677FC" w:rsidP="001677FC">
            <w:pPr>
              <w:spacing w:after="0" w:line="240" w:lineRule="auto"/>
              <w:jc w:val="right"/>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De 9 a 11 años: 16.1%</w:t>
            </w:r>
          </w:p>
        </w:tc>
      </w:tr>
      <w:tr w:rsidR="001677FC" w:rsidRPr="00E1753D" w14:paraId="0050583C" w14:textId="77777777" w:rsidTr="009C1BBA">
        <w:trPr>
          <w:trHeight w:val="720"/>
        </w:trPr>
        <w:tc>
          <w:tcPr>
            <w:tcW w:w="1018" w:type="dxa"/>
            <w:vMerge/>
            <w:tcBorders>
              <w:top w:val="nil"/>
              <w:left w:val="single" w:sz="4" w:space="0" w:color="auto"/>
              <w:bottom w:val="single" w:sz="4" w:space="0" w:color="auto"/>
              <w:right w:val="single" w:sz="4" w:space="0" w:color="auto"/>
            </w:tcBorders>
            <w:vAlign w:val="center"/>
            <w:hideMark/>
          </w:tcPr>
          <w:p w14:paraId="4B46BDFB"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2766" w:type="dxa"/>
            <w:vMerge/>
            <w:tcBorders>
              <w:top w:val="nil"/>
              <w:left w:val="single" w:sz="4" w:space="0" w:color="auto"/>
              <w:bottom w:val="single" w:sz="4" w:space="0" w:color="auto"/>
              <w:right w:val="single" w:sz="4" w:space="0" w:color="auto"/>
            </w:tcBorders>
            <w:vAlign w:val="center"/>
            <w:hideMark/>
          </w:tcPr>
          <w:p w14:paraId="73F32DF5"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2262" w:type="dxa"/>
            <w:vMerge/>
            <w:tcBorders>
              <w:top w:val="nil"/>
              <w:left w:val="single" w:sz="4" w:space="0" w:color="auto"/>
              <w:bottom w:val="single" w:sz="4" w:space="0" w:color="auto"/>
              <w:right w:val="single" w:sz="4" w:space="0" w:color="auto"/>
            </w:tcBorders>
            <w:vAlign w:val="center"/>
            <w:hideMark/>
          </w:tcPr>
          <w:p w14:paraId="5336FFCC"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830" w:type="dxa"/>
            <w:vMerge/>
            <w:tcBorders>
              <w:top w:val="nil"/>
              <w:left w:val="single" w:sz="4" w:space="0" w:color="auto"/>
              <w:bottom w:val="single" w:sz="4" w:space="0" w:color="auto"/>
              <w:right w:val="single" w:sz="4" w:space="0" w:color="auto"/>
            </w:tcBorders>
            <w:vAlign w:val="center"/>
            <w:hideMark/>
          </w:tcPr>
          <w:p w14:paraId="00000F41"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1564" w:type="dxa"/>
            <w:tcBorders>
              <w:top w:val="nil"/>
              <w:left w:val="nil"/>
              <w:bottom w:val="single" w:sz="4" w:space="0" w:color="auto"/>
              <w:right w:val="single" w:sz="4" w:space="0" w:color="auto"/>
            </w:tcBorders>
            <w:shd w:val="clear" w:color="auto" w:fill="auto"/>
            <w:vAlign w:val="center"/>
            <w:hideMark/>
          </w:tcPr>
          <w:p w14:paraId="1D55D16F" w14:textId="77777777" w:rsidR="001677FC" w:rsidRPr="00E1753D" w:rsidRDefault="001677FC" w:rsidP="001677FC">
            <w:pPr>
              <w:spacing w:after="0" w:line="240" w:lineRule="auto"/>
              <w:jc w:val="right"/>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De 12 a 17 años: 10.4%</w:t>
            </w:r>
          </w:p>
        </w:tc>
      </w:tr>
      <w:tr w:rsidR="001677FC" w:rsidRPr="00E1753D" w14:paraId="7E5C0827" w14:textId="77777777" w:rsidTr="009C1BBA">
        <w:trPr>
          <w:trHeight w:val="720"/>
        </w:trPr>
        <w:tc>
          <w:tcPr>
            <w:tcW w:w="1018" w:type="dxa"/>
            <w:vMerge/>
            <w:tcBorders>
              <w:top w:val="nil"/>
              <w:left w:val="single" w:sz="4" w:space="0" w:color="auto"/>
              <w:bottom w:val="single" w:sz="4" w:space="0" w:color="auto"/>
              <w:right w:val="single" w:sz="4" w:space="0" w:color="auto"/>
            </w:tcBorders>
            <w:vAlign w:val="center"/>
            <w:hideMark/>
          </w:tcPr>
          <w:p w14:paraId="2555ACF2"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2766" w:type="dxa"/>
            <w:vMerge/>
            <w:tcBorders>
              <w:top w:val="nil"/>
              <w:left w:val="single" w:sz="4" w:space="0" w:color="auto"/>
              <w:bottom w:val="single" w:sz="4" w:space="0" w:color="auto"/>
              <w:right w:val="single" w:sz="4" w:space="0" w:color="auto"/>
            </w:tcBorders>
            <w:vAlign w:val="center"/>
            <w:hideMark/>
          </w:tcPr>
          <w:p w14:paraId="62D88DC4"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2262" w:type="dxa"/>
            <w:vMerge w:val="restart"/>
            <w:tcBorders>
              <w:top w:val="nil"/>
              <w:left w:val="single" w:sz="4" w:space="0" w:color="auto"/>
              <w:bottom w:val="single" w:sz="4" w:space="0" w:color="auto"/>
              <w:right w:val="single" w:sz="4" w:space="0" w:color="auto"/>
            </w:tcBorders>
            <w:shd w:val="clear" w:color="auto" w:fill="auto"/>
            <w:vAlign w:val="center"/>
            <w:hideMark/>
          </w:tcPr>
          <w:p w14:paraId="28C375DD"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Porcentaje de niñas, niños y adolescentes que son víctimas de violencia escolar</w:t>
            </w:r>
          </w:p>
        </w:tc>
        <w:tc>
          <w:tcPr>
            <w:tcW w:w="830" w:type="dxa"/>
            <w:vMerge w:val="restart"/>
            <w:tcBorders>
              <w:top w:val="nil"/>
              <w:left w:val="single" w:sz="4" w:space="0" w:color="auto"/>
              <w:bottom w:val="single" w:sz="4" w:space="0" w:color="auto"/>
              <w:right w:val="single" w:sz="4" w:space="0" w:color="auto"/>
            </w:tcBorders>
            <w:shd w:val="clear" w:color="auto" w:fill="auto"/>
            <w:vAlign w:val="center"/>
            <w:hideMark/>
          </w:tcPr>
          <w:p w14:paraId="6D8D7B12"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No se puede proyectar</w:t>
            </w:r>
          </w:p>
        </w:tc>
        <w:tc>
          <w:tcPr>
            <w:tcW w:w="1564" w:type="dxa"/>
            <w:tcBorders>
              <w:top w:val="nil"/>
              <w:left w:val="nil"/>
              <w:bottom w:val="single" w:sz="4" w:space="0" w:color="auto"/>
              <w:right w:val="single" w:sz="4" w:space="0" w:color="auto"/>
            </w:tcBorders>
            <w:shd w:val="clear" w:color="auto" w:fill="auto"/>
            <w:vAlign w:val="center"/>
            <w:hideMark/>
          </w:tcPr>
          <w:p w14:paraId="67B74EEF" w14:textId="77777777" w:rsidR="001677FC" w:rsidRPr="00E1753D" w:rsidRDefault="001677FC" w:rsidP="001677FC">
            <w:pPr>
              <w:spacing w:after="0" w:line="240" w:lineRule="auto"/>
              <w:jc w:val="right"/>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De 9 a 11 años: 18.8%</w:t>
            </w:r>
          </w:p>
        </w:tc>
      </w:tr>
      <w:tr w:rsidR="001677FC" w:rsidRPr="00E1753D" w14:paraId="350AD6E7" w14:textId="77777777" w:rsidTr="009C1BBA">
        <w:trPr>
          <w:trHeight w:val="720"/>
        </w:trPr>
        <w:tc>
          <w:tcPr>
            <w:tcW w:w="1018" w:type="dxa"/>
            <w:vMerge/>
            <w:tcBorders>
              <w:top w:val="nil"/>
              <w:left w:val="single" w:sz="4" w:space="0" w:color="auto"/>
              <w:bottom w:val="single" w:sz="4" w:space="0" w:color="auto"/>
              <w:right w:val="single" w:sz="4" w:space="0" w:color="auto"/>
            </w:tcBorders>
            <w:vAlign w:val="center"/>
            <w:hideMark/>
          </w:tcPr>
          <w:p w14:paraId="2BB1BE80"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2766" w:type="dxa"/>
            <w:vMerge/>
            <w:tcBorders>
              <w:top w:val="nil"/>
              <w:left w:val="single" w:sz="4" w:space="0" w:color="auto"/>
              <w:bottom w:val="single" w:sz="4" w:space="0" w:color="auto"/>
              <w:right w:val="single" w:sz="4" w:space="0" w:color="auto"/>
            </w:tcBorders>
            <w:vAlign w:val="center"/>
            <w:hideMark/>
          </w:tcPr>
          <w:p w14:paraId="5CE5F191"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2262" w:type="dxa"/>
            <w:vMerge/>
            <w:tcBorders>
              <w:top w:val="nil"/>
              <w:left w:val="single" w:sz="4" w:space="0" w:color="auto"/>
              <w:bottom w:val="single" w:sz="4" w:space="0" w:color="auto"/>
              <w:right w:val="single" w:sz="4" w:space="0" w:color="auto"/>
            </w:tcBorders>
            <w:vAlign w:val="center"/>
            <w:hideMark/>
          </w:tcPr>
          <w:p w14:paraId="7C7122EF"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830" w:type="dxa"/>
            <w:vMerge/>
            <w:tcBorders>
              <w:top w:val="nil"/>
              <w:left w:val="single" w:sz="4" w:space="0" w:color="auto"/>
              <w:bottom w:val="single" w:sz="4" w:space="0" w:color="auto"/>
              <w:right w:val="single" w:sz="4" w:space="0" w:color="auto"/>
            </w:tcBorders>
            <w:vAlign w:val="center"/>
            <w:hideMark/>
          </w:tcPr>
          <w:p w14:paraId="1B56342C"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p>
        </w:tc>
        <w:tc>
          <w:tcPr>
            <w:tcW w:w="1564" w:type="dxa"/>
            <w:tcBorders>
              <w:top w:val="nil"/>
              <w:left w:val="nil"/>
              <w:bottom w:val="single" w:sz="4" w:space="0" w:color="auto"/>
              <w:right w:val="single" w:sz="4" w:space="0" w:color="auto"/>
            </w:tcBorders>
            <w:shd w:val="clear" w:color="auto" w:fill="auto"/>
            <w:vAlign w:val="center"/>
            <w:hideMark/>
          </w:tcPr>
          <w:p w14:paraId="551C2D83" w14:textId="77777777" w:rsidR="001677FC" w:rsidRPr="00E1753D" w:rsidRDefault="001677FC" w:rsidP="001677FC">
            <w:pPr>
              <w:spacing w:after="0" w:line="240" w:lineRule="auto"/>
              <w:jc w:val="right"/>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De 12 a 17 años: 18.2%</w:t>
            </w:r>
          </w:p>
        </w:tc>
      </w:tr>
      <w:tr w:rsidR="001677FC" w:rsidRPr="00E1753D" w14:paraId="3925816C" w14:textId="77777777" w:rsidTr="009C1BBA">
        <w:trPr>
          <w:trHeight w:val="720"/>
        </w:trPr>
        <w:tc>
          <w:tcPr>
            <w:tcW w:w="3784" w:type="dxa"/>
            <w:gridSpan w:val="2"/>
            <w:tcBorders>
              <w:top w:val="single" w:sz="4" w:space="0" w:color="auto"/>
              <w:left w:val="single" w:sz="4" w:space="0" w:color="auto"/>
              <w:bottom w:val="single" w:sz="4" w:space="0" w:color="auto"/>
              <w:right w:val="single" w:sz="4" w:space="0" w:color="auto"/>
            </w:tcBorders>
            <w:shd w:val="clear" w:color="000000" w:fill="000000"/>
            <w:vAlign w:val="center"/>
            <w:hideMark/>
          </w:tcPr>
          <w:p w14:paraId="7BE32D5D" w14:textId="77777777" w:rsidR="001677FC" w:rsidRPr="00E1753D" w:rsidRDefault="001677FC" w:rsidP="001677FC">
            <w:pPr>
              <w:spacing w:after="0" w:line="240" w:lineRule="auto"/>
              <w:rPr>
                <w:rFonts w:ascii="Open Sans Light" w:eastAsia="Times New Roman" w:hAnsi="Open Sans Light" w:cs="Open Sans Light"/>
                <w:b/>
                <w:bCs/>
                <w:color w:val="FFFFFF"/>
                <w:sz w:val="16"/>
                <w:szCs w:val="16"/>
                <w:lang w:val="es-PE"/>
              </w:rPr>
            </w:pPr>
            <w:r w:rsidRPr="00E1753D">
              <w:rPr>
                <w:rFonts w:ascii="Open Sans Light" w:eastAsia="Times New Roman" w:hAnsi="Open Sans Light" w:cs="Open Sans Light"/>
                <w:b/>
                <w:bCs/>
                <w:color w:val="FFFFFF"/>
                <w:sz w:val="16"/>
                <w:szCs w:val="16"/>
                <w:lang w:val="es-PE"/>
              </w:rPr>
              <w:t>Categoría</w:t>
            </w:r>
          </w:p>
        </w:tc>
        <w:tc>
          <w:tcPr>
            <w:tcW w:w="3092" w:type="dxa"/>
            <w:gridSpan w:val="2"/>
            <w:tcBorders>
              <w:top w:val="single" w:sz="4" w:space="0" w:color="auto"/>
              <w:left w:val="nil"/>
              <w:bottom w:val="single" w:sz="4" w:space="0" w:color="auto"/>
              <w:right w:val="single" w:sz="4" w:space="0" w:color="auto"/>
            </w:tcBorders>
            <w:shd w:val="clear" w:color="000000" w:fill="000000"/>
            <w:vAlign w:val="center"/>
            <w:hideMark/>
          </w:tcPr>
          <w:p w14:paraId="555033A2" w14:textId="77777777" w:rsidR="001677FC" w:rsidRPr="00E1753D" w:rsidRDefault="001677FC" w:rsidP="001677FC">
            <w:pPr>
              <w:spacing w:after="0" w:line="240" w:lineRule="auto"/>
              <w:rPr>
                <w:rFonts w:ascii="Open Sans Light" w:eastAsia="Times New Roman" w:hAnsi="Open Sans Light" w:cs="Open Sans Light"/>
                <w:b/>
                <w:bCs/>
                <w:color w:val="FFFFFF"/>
                <w:sz w:val="16"/>
                <w:szCs w:val="16"/>
                <w:lang w:val="es-PE"/>
              </w:rPr>
            </w:pPr>
            <w:r w:rsidRPr="00E1753D">
              <w:rPr>
                <w:rFonts w:ascii="Open Sans Light" w:eastAsia="Times New Roman" w:hAnsi="Open Sans Light" w:cs="Open Sans Light"/>
                <w:b/>
                <w:bCs/>
                <w:color w:val="FFFFFF"/>
                <w:sz w:val="16"/>
                <w:szCs w:val="16"/>
                <w:lang w:val="es-PE"/>
              </w:rPr>
              <w:t xml:space="preserve">Medio de verificación </w:t>
            </w:r>
          </w:p>
        </w:tc>
        <w:tc>
          <w:tcPr>
            <w:tcW w:w="1564" w:type="dxa"/>
            <w:tcBorders>
              <w:top w:val="nil"/>
              <w:left w:val="nil"/>
              <w:bottom w:val="single" w:sz="4" w:space="0" w:color="auto"/>
              <w:right w:val="single" w:sz="4" w:space="0" w:color="auto"/>
            </w:tcBorders>
            <w:shd w:val="clear" w:color="000000" w:fill="000000"/>
            <w:vAlign w:val="center"/>
            <w:hideMark/>
          </w:tcPr>
          <w:p w14:paraId="00D9A898" w14:textId="77777777" w:rsidR="001677FC" w:rsidRPr="00E1753D" w:rsidRDefault="001677FC" w:rsidP="001677FC">
            <w:pPr>
              <w:spacing w:after="0" w:line="240" w:lineRule="auto"/>
              <w:rPr>
                <w:rFonts w:ascii="Open Sans Light" w:eastAsia="Times New Roman" w:hAnsi="Open Sans Light" w:cs="Open Sans Light"/>
                <w:b/>
                <w:bCs/>
                <w:color w:val="FFFFFF"/>
                <w:sz w:val="16"/>
                <w:szCs w:val="16"/>
                <w:lang w:val="es-PE"/>
              </w:rPr>
            </w:pPr>
            <w:r w:rsidRPr="00E1753D">
              <w:rPr>
                <w:rFonts w:ascii="Open Sans Light" w:eastAsia="Times New Roman" w:hAnsi="Open Sans Light" w:cs="Open Sans Light"/>
                <w:b/>
                <w:bCs/>
                <w:color w:val="FFFFFF"/>
                <w:sz w:val="16"/>
                <w:szCs w:val="16"/>
                <w:lang w:val="es-PE"/>
              </w:rPr>
              <w:t>% var. en ejecución presupuestal</w:t>
            </w:r>
          </w:p>
        </w:tc>
      </w:tr>
      <w:tr w:rsidR="001677FC" w:rsidRPr="00E1753D" w14:paraId="36337BE3" w14:textId="77777777" w:rsidTr="009C1BBA">
        <w:trPr>
          <w:trHeight w:val="1020"/>
        </w:trPr>
        <w:tc>
          <w:tcPr>
            <w:tcW w:w="37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E2DA88"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lastRenderedPageBreak/>
              <w:t>Fortalecimiento de las intervenciones de prevención, atención y recuperación en temas de violencia familiar y escolar</w:t>
            </w:r>
          </w:p>
        </w:tc>
        <w:tc>
          <w:tcPr>
            <w:tcW w:w="3092" w:type="dxa"/>
            <w:gridSpan w:val="2"/>
            <w:tcBorders>
              <w:top w:val="single" w:sz="4" w:space="0" w:color="auto"/>
              <w:left w:val="nil"/>
              <w:bottom w:val="single" w:sz="4" w:space="0" w:color="auto"/>
              <w:right w:val="single" w:sz="4" w:space="0" w:color="auto"/>
            </w:tcBorders>
            <w:shd w:val="clear" w:color="auto" w:fill="auto"/>
            <w:vAlign w:val="center"/>
            <w:hideMark/>
          </w:tcPr>
          <w:p w14:paraId="0FE697F5"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Programa Presupuestal Lucha contra la violencia familiar- PP 0080</w:t>
            </w:r>
          </w:p>
        </w:tc>
        <w:tc>
          <w:tcPr>
            <w:tcW w:w="1564" w:type="dxa"/>
            <w:tcBorders>
              <w:top w:val="nil"/>
              <w:left w:val="nil"/>
              <w:bottom w:val="single" w:sz="4" w:space="0" w:color="auto"/>
              <w:right w:val="single" w:sz="4" w:space="0" w:color="auto"/>
            </w:tcBorders>
            <w:shd w:val="clear" w:color="auto" w:fill="auto"/>
            <w:vAlign w:val="center"/>
            <w:hideMark/>
          </w:tcPr>
          <w:p w14:paraId="1C6051EC" w14:textId="77777777" w:rsidR="001677FC" w:rsidRPr="00E1753D" w:rsidRDefault="001677FC" w:rsidP="001677FC">
            <w:pPr>
              <w:spacing w:after="0" w:line="240" w:lineRule="auto"/>
              <w:jc w:val="right"/>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155%</w:t>
            </w:r>
          </w:p>
        </w:tc>
      </w:tr>
      <w:tr w:rsidR="001677FC" w:rsidRPr="00E1753D" w14:paraId="3C71BE16" w14:textId="77777777" w:rsidTr="009C1BBA">
        <w:trPr>
          <w:trHeight w:val="624"/>
        </w:trPr>
        <w:tc>
          <w:tcPr>
            <w:tcW w:w="37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024934C"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Fortalecimiento de habilidades y capacidades contra la violencia familiar y escolar</w:t>
            </w:r>
          </w:p>
        </w:tc>
        <w:tc>
          <w:tcPr>
            <w:tcW w:w="3092" w:type="dxa"/>
            <w:gridSpan w:val="2"/>
            <w:tcBorders>
              <w:top w:val="single" w:sz="4" w:space="0" w:color="auto"/>
              <w:left w:val="nil"/>
              <w:bottom w:val="single" w:sz="4" w:space="0" w:color="auto"/>
              <w:right w:val="single" w:sz="4" w:space="0" w:color="auto"/>
            </w:tcBorders>
            <w:shd w:val="clear" w:color="auto" w:fill="auto"/>
            <w:vAlign w:val="center"/>
            <w:hideMark/>
          </w:tcPr>
          <w:p w14:paraId="4633B0A9"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Programa Presupuestal Lucha contra la violencia familiar- PP 0080</w:t>
            </w:r>
          </w:p>
        </w:tc>
        <w:tc>
          <w:tcPr>
            <w:tcW w:w="1564" w:type="dxa"/>
            <w:tcBorders>
              <w:top w:val="nil"/>
              <w:left w:val="nil"/>
              <w:bottom w:val="single" w:sz="4" w:space="0" w:color="auto"/>
              <w:right w:val="single" w:sz="4" w:space="0" w:color="auto"/>
            </w:tcBorders>
            <w:shd w:val="clear" w:color="auto" w:fill="auto"/>
            <w:vAlign w:val="center"/>
            <w:hideMark/>
          </w:tcPr>
          <w:p w14:paraId="480D2C85" w14:textId="77777777" w:rsidR="001677FC" w:rsidRPr="00E1753D" w:rsidRDefault="001677FC" w:rsidP="001677FC">
            <w:pPr>
              <w:spacing w:after="0" w:line="240" w:lineRule="auto"/>
              <w:jc w:val="right"/>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144%</w:t>
            </w:r>
          </w:p>
        </w:tc>
      </w:tr>
      <w:tr w:rsidR="001677FC" w:rsidRPr="00E1753D" w14:paraId="7F3D6676" w14:textId="77777777" w:rsidTr="009C1BBA">
        <w:trPr>
          <w:trHeight w:val="624"/>
        </w:trPr>
        <w:tc>
          <w:tcPr>
            <w:tcW w:w="37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2962EAD"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Sensibilización en contra de la violencia familiar y escolar</w:t>
            </w:r>
          </w:p>
        </w:tc>
        <w:tc>
          <w:tcPr>
            <w:tcW w:w="3092" w:type="dxa"/>
            <w:gridSpan w:val="2"/>
            <w:tcBorders>
              <w:top w:val="single" w:sz="4" w:space="0" w:color="auto"/>
              <w:left w:val="nil"/>
              <w:bottom w:val="single" w:sz="4" w:space="0" w:color="auto"/>
              <w:right w:val="single" w:sz="4" w:space="0" w:color="auto"/>
            </w:tcBorders>
            <w:shd w:val="clear" w:color="auto" w:fill="auto"/>
            <w:vAlign w:val="center"/>
            <w:hideMark/>
          </w:tcPr>
          <w:p w14:paraId="06899724"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Programa Presupuestal Lucha contra la violencia familiar- PP 0080</w:t>
            </w:r>
          </w:p>
        </w:tc>
        <w:tc>
          <w:tcPr>
            <w:tcW w:w="1564" w:type="dxa"/>
            <w:tcBorders>
              <w:top w:val="nil"/>
              <w:left w:val="nil"/>
              <w:bottom w:val="single" w:sz="4" w:space="0" w:color="auto"/>
              <w:right w:val="single" w:sz="4" w:space="0" w:color="auto"/>
            </w:tcBorders>
            <w:shd w:val="clear" w:color="auto" w:fill="auto"/>
            <w:vAlign w:val="center"/>
            <w:hideMark/>
          </w:tcPr>
          <w:p w14:paraId="6777EFF5" w14:textId="77777777" w:rsidR="001677FC" w:rsidRPr="00E1753D" w:rsidRDefault="001677FC" w:rsidP="001677FC">
            <w:pPr>
              <w:spacing w:after="0" w:line="240" w:lineRule="auto"/>
              <w:jc w:val="right"/>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46%</w:t>
            </w:r>
          </w:p>
        </w:tc>
      </w:tr>
      <w:tr w:rsidR="001677FC" w:rsidRPr="00E1753D" w14:paraId="31E575B8" w14:textId="77777777" w:rsidTr="009C1BBA">
        <w:trPr>
          <w:trHeight w:val="624"/>
        </w:trPr>
        <w:tc>
          <w:tcPr>
            <w:tcW w:w="37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190C29D"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Mejoramiento del sistema de información con fines de seguimiento a la violencia familiar y escolar</w:t>
            </w:r>
          </w:p>
        </w:tc>
        <w:tc>
          <w:tcPr>
            <w:tcW w:w="3092" w:type="dxa"/>
            <w:gridSpan w:val="2"/>
            <w:tcBorders>
              <w:top w:val="single" w:sz="4" w:space="0" w:color="auto"/>
              <w:left w:val="nil"/>
              <w:bottom w:val="single" w:sz="4" w:space="0" w:color="auto"/>
              <w:right w:val="single" w:sz="4" w:space="0" w:color="auto"/>
            </w:tcBorders>
            <w:shd w:val="clear" w:color="auto" w:fill="auto"/>
            <w:vAlign w:val="center"/>
            <w:hideMark/>
          </w:tcPr>
          <w:p w14:paraId="5986E3B7"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S/D</w:t>
            </w:r>
          </w:p>
        </w:tc>
        <w:tc>
          <w:tcPr>
            <w:tcW w:w="1564" w:type="dxa"/>
            <w:tcBorders>
              <w:top w:val="nil"/>
              <w:left w:val="nil"/>
              <w:bottom w:val="single" w:sz="4" w:space="0" w:color="auto"/>
              <w:right w:val="single" w:sz="4" w:space="0" w:color="auto"/>
            </w:tcBorders>
            <w:shd w:val="clear" w:color="auto" w:fill="auto"/>
            <w:vAlign w:val="center"/>
            <w:hideMark/>
          </w:tcPr>
          <w:p w14:paraId="26DAC5DD" w14:textId="77777777" w:rsidR="001677FC" w:rsidRPr="00E1753D" w:rsidRDefault="001677FC" w:rsidP="001677FC">
            <w:pPr>
              <w:spacing w:after="0" w:line="240" w:lineRule="auto"/>
              <w:jc w:val="right"/>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S/D</w:t>
            </w:r>
          </w:p>
        </w:tc>
      </w:tr>
      <w:tr w:rsidR="001677FC" w:rsidRPr="001677FC" w14:paraId="362B3D41" w14:textId="77777777" w:rsidTr="009C1BBA">
        <w:trPr>
          <w:trHeight w:val="624"/>
        </w:trPr>
        <w:tc>
          <w:tcPr>
            <w:tcW w:w="37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AE1E3CB"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Promoción e implementación de normas en contra de la violencia familiar y escolar</w:t>
            </w:r>
          </w:p>
        </w:tc>
        <w:tc>
          <w:tcPr>
            <w:tcW w:w="3092" w:type="dxa"/>
            <w:gridSpan w:val="2"/>
            <w:tcBorders>
              <w:top w:val="single" w:sz="4" w:space="0" w:color="auto"/>
              <w:left w:val="nil"/>
              <w:bottom w:val="single" w:sz="4" w:space="0" w:color="auto"/>
              <w:right w:val="single" w:sz="4" w:space="0" w:color="auto"/>
            </w:tcBorders>
            <w:shd w:val="clear" w:color="auto" w:fill="auto"/>
            <w:vAlign w:val="center"/>
            <w:hideMark/>
          </w:tcPr>
          <w:p w14:paraId="56ECB551" w14:textId="77777777" w:rsidR="001677FC" w:rsidRPr="00E1753D" w:rsidRDefault="001677FC" w:rsidP="001677FC">
            <w:pPr>
              <w:spacing w:after="0" w:line="240" w:lineRule="auto"/>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Informes anuales del PNAIA 2012 – 2021</w:t>
            </w:r>
          </w:p>
        </w:tc>
        <w:tc>
          <w:tcPr>
            <w:tcW w:w="1564" w:type="dxa"/>
            <w:tcBorders>
              <w:top w:val="nil"/>
              <w:left w:val="nil"/>
              <w:bottom w:val="single" w:sz="4" w:space="0" w:color="auto"/>
              <w:right w:val="single" w:sz="4" w:space="0" w:color="auto"/>
            </w:tcBorders>
            <w:shd w:val="clear" w:color="auto" w:fill="auto"/>
            <w:vAlign w:val="center"/>
            <w:hideMark/>
          </w:tcPr>
          <w:p w14:paraId="51F4C4B5" w14:textId="77777777" w:rsidR="001677FC" w:rsidRPr="001677FC" w:rsidRDefault="001677FC" w:rsidP="001677FC">
            <w:pPr>
              <w:spacing w:after="0" w:line="240" w:lineRule="auto"/>
              <w:jc w:val="right"/>
              <w:rPr>
                <w:rFonts w:ascii="Open Sans Light" w:eastAsia="Times New Roman" w:hAnsi="Open Sans Light" w:cs="Open Sans Light"/>
                <w:color w:val="000000"/>
                <w:sz w:val="16"/>
                <w:szCs w:val="16"/>
                <w:lang w:val="es-PE"/>
              </w:rPr>
            </w:pPr>
            <w:r w:rsidRPr="00E1753D">
              <w:rPr>
                <w:rFonts w:ascii="Open Sans Light" w:eastAsia="Times New Roman" w:hAnsi="Open Sans Light" w:cs="Open Sans Light"/>
                <w:color w:val="000000"/>
                <w:sz w:val="16"/>
                <w:szCs w:val="16"/>
                <w:lang w:val="es-PE"/>
              </w:rPr>
              <w:t>no aplica</w:t>
            </w:r>
          </w:p>
        </w:tc>
      </w:tr>
    </w:tbl>
    <w:p w14:paraId="29C66F78" w14:textId="426A9B10" w:rsidR="00BC2848" w:rsidRPr="00A61DFC" w:rsidRDefault="00BC2848" w:rsidP="00E1753D">
      <w:pPr>
        <w:spacing w:before="240"/>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 xml:space="preserve">La </w:t>
      </w:r>
      <w:r w:rsidR="00925E6A" w:rsidRPr="00A61DFC">
        <w:rPr>
          <w:rFonts w:ascii="Open Sans Light" w:hAnsi="Open Sans Light" w:cs="Open Sans Light"/>
          <w:sz w:val="24"/>
          <w:szCs w:val="24"/>
          <w:lang w:val="es-ES"/>
        </w:rPr>
        <w:t>sext</w:t>
      </w:r>
      <w:r w:rsidRPr="00A61DFC">
        <w:rPr>
          <w:rFonts w:ascii="Open Sans Light" w:hAnsi="Open Sans Light" w:cs="Open Sans Light"/>
          <w:sz w:val="24"/>
          <w:szCs w:val="24"/>
          <w:lang w:val="es-ES"/>
        </w:rPr>
        <w:t xml:space="preserve">a meta está vinculada al Resultado Esperado 20 del </w:t>
      </w:r>
      <w:r w:rsidR="00D979D4">
        <w:rPr>
          <w:rFonts w:ascii="Open Sans Light" w:hAnsi="Open Sans Light" w:cs="Open Sans Light"/>
          <w:sz w:val="24"/>
          <w:szCs w:val="24"/>
          <w:lang w:val="es-ES"/>
        </w:rPr>
        <w:t>PNAIA 2012 – 2021</w:t>
      </w:r>
      <w:r w:rsidRPr="00A61DFC">
        <w:rPr>
          <w:rFonts w:ascii="Open Sans Light" w:hAnsi="Open Sans Light" w:cs="Open Sans Light"/>
          <w:sz w:val="24"/>
          <w:szCs w:val="24"/>
          <w:lang w:val="es-ES"/>
        </w:rPr>
        <w:t>, el cual busca que se reduzca el número de niñas, niños y adolescentes víctimas de violencia familiar, así como que se reduzca el número de niñas, niños y adolescentes víctimas de violencia escolar. Para lograrlo se plantearon 17 estrategias de im</w:t>
      </w:r>
      <w:r w:rsidRPr="00D26390">
        <w:rPr>
          <w:rFonts w:ascii="Open Sans Light" w:hAnsi="Open Sans Light" w:cs="Open Sans Light"/>
          <w:sz w:val="24"/>
          <w:szCs w:val="24"/>
          <w:lang w:val="es-ES"/>
        </w:rPr>
        <w:t xml:space="preserve">plementación agrupadas en 5 categorías </w:t>
      </w:r>
      <w:r w:rsidRPr="00166B7E">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w:t>
      </w:r>
      <w:r w:rsidR="00F545B8" w:rsidRPr="004D0E60">
        <w:rPr>
          <w:rFonts w:ascii="Open Sans Light" w:hAnsi="Open Sans Light" w:cs="Open Sans Light"/>
          <w:sz w:val="24"/>
          <w:szCs w:val="24"/>
          <w:lang w:val="es-ES"/>
        </w:rPr>
        <w:t xml:space="preserve">Tabla </w:t>
      </w:r>
      <w:r w:rsidR="00C37F8A" w:rsidRPr="004D0E60">
        <w:rPr>
          <w:rFonts w:ascii="Open Sans Light" w:hAnsi="Open Sans Light" w:cs="Open Sans Light"/>
          <w:sz w:val="24"/>
          <w:szCs w:val="24"/>
          <w:lang w:val="es-ES"/>
        </w:rPr>
        <w:t>A.2</w:t>
      </w:r>
      <w:r w:rsidR="00D26390" w:rsidRPr="004D0E60">
        <w:rPr>
          <w:rFonts w:ascii="Open Sans Light" w:hAnsi="Open Sans Light" w:cs="Open Sans Light"/>
          <w:sz w:val="24"/>
          <w:szCs w:val="24"/>
          <w:lang w:val="es-ES"/>
        </w:rPr>
        <w:t>4</w:t>
      </w:r>
      <w:r w:rsidRPr="00166B7E">
        <w:rPr>
          <w:rFonts w:ascii="Open Sans Light" w:hAnsi="Open Sans Light" w:cs="Open Sans Light"/>
          <w:sz w:val="24"/>
          <w:szCs w:val="24"/>
          <w:lang w:val="es-ES"/>
        </w:rPr>
        <w:t>)</w:t>
      </w:r>
      <w:r w:rsidRPr="00D26390">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3CAF13C1" w14:textId="0ECB9DF1" w:rsidR="00BC2848" w:rsidRPr="00A61DFC" w:rsidRDefault="00BC2848" w:rsidP="00BC284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Respecto a los 5 ejes-categoría –</w:t>
      </w:r>
      <w:r w:rsidRPr="00A61DFC">
        <w:rPr>
          <w:rFonts w:ascii="Open Sans Light" w:hAnsi="Open Sans Light" w:cs="Open Sans Light"/>
          <w:i/>
          <w:iCs/>
          <w:sz w:val="24"/>
          <w:szCs w:val="24"/>
          <w:lang w:val="es-ES"/>
        </w:rPr>
        <w:t>(i) fortalecimiento de las intervenciones de prevención, atención y recuperación en temas de violencia familiar y escolar, (ii) fortalecimiento de habilidades y capacidades contra la violencia familiar y escolar, (iii) sensibilización en contra de la violencia familiar y escolar, (iv) mejoramiento del sistema de información con fines de seguimiento a la violencia familiar y escolar y (v) promoción e implementación de normas en contra de la violencia familiar y escolar</w:t>
      </w:r>
      <w:r w:rsidRPr="00A61DFC">
        <w:rPr>
          <w:rFonts w:ascii="Open Sans Light" w:hAnsi="Open Sans Light" w:cs="Open Sans Light"/>
          <w:sz w:val="24"/>
          <w:szCs w:val="24"/>
          <w:lang w:val="es-ES"/>
        </w:rPr>
        <w:t xml:space="preserve">– los medios de verificación disponibles y tomados en cuenta permiten afirmar que se cumplieron con los ejes-categoría (i), (ii), (iii) y (v). Se registraron variaciones positivas en los niveles de ejecución presupuestaria entre los años 2012 y 2020 de 144% para el eje-categoría (ii) y de 46% para el eje-categoría (iii). El horizonte de análisis es distinto para el eje-categoría (i), donde se registró una variación positiva de 155% entre 2017 y 2020. En relación con el eje-categoría (iv), no se tiene suficiente información para realizar afirmaciones o aproximaciones. En torno al eje-categoría (v) tan solo se consideraron informes anuales del </w:t>
      </w:r>
      <w:r w:rsidR="00D979D4">
        <w:rPr>
          <w:rFonts w:ascii="Open Sans Light" w:hAnsi="Open Sans Light" w:cs="Open Sans Light"/>
          <w:sz w:val="24"/>
          <w:szCs w:val="24"/>
          <w:lang w:val="es-ES"/>
        </w:rPr>
        <w:t>PNAIA 20</w:t>
      </w:r>
      <w:r w:rsidR="00D979D4" w:rsidRPr="00D26390">
        <w:rPr>
          <w:rFonts w:ascii="Open Sans Light" w:hAnsi="Open Sans Light" w:cs="Open Sans Light"/>
          <w:sz w:val="24"/>
          <w:szCs w:val="24"/>
          <w:lang w:val="es-ES"/>
        </w:rPr>
        <w:t>12 – 2021</w:t>
      </w:r>
      <w:r w:rsidRPr="00D26390">
        <w:rPr>
          <w:rFonts w:ascii="Open Sans Light" w:hAnsi="Open Sans Light" w:cs="Open Sans Light"/>
          <w:sz w:val="24"/>
          <w:szCs w:val="24"/>
          <w:lang w:val="es-ES"/>
        </w:rPr>
        <w:t xml:space="preserve"> como medios de verificación (</w:t>
      </w:r>
      <w:r w:rsidRPr="004D0E60">
        <w:rPr>
          <w:rFonts w:ascii="Open Sans Light" w:hAnsi="Open Sans Light" w:cs="Open Sans Light"/>
          <w:sz w:val="24"/>
          <w:szCs w:val="24"/>
          <w:lang w:val="es-ES"/>
        </w:rPr>
        <w:t xml:space="preserve">véase detalle en Anexo, </w:t>
      </w:r>
      <w:r w:rsidR="005E3308" w:rsidRPr="004D0E60">
        <w:rPr>
          <w:rFonts w:ascii="Open Sans Light" w:hAnsi="Open Sans Light" w:cs="Open Sans Light"/>
          <w:sz w:val="24"/>
          <w:szCs w:val="24"/>
          <w:lang w:val="es-ES"/>
        </w:rPr>
        <w:t xml:space="preserve">Tabla </w:t>
      </w:r>
      <w:r w:rsidR="00166B7E" w:rsidRPr="004D0E60">
        <w:rPr>
          <w:rFonts w:ascii="Open Sans Light" w:hAnsi="Open Sans Light" w:cs="Open Sans Light"/>
          <w:sz w:val="24"/>
          <w:szCs w:val="24"/>
          <w:lang w:val="es-ES"/>
        </w:rPr>
        <w:t>A.2</w:t>
      </w:r>
      <w:r w:rsidR="00D26390" w:rsidRPr="004D0E60">
        <w:rPr>
          <w:rFonts w:ascii="Open Sans Light" w:hAnsi="Open Sans Light" w:cs="Open Sans Light"/>
          <w:sz w:val="24"/>
          <w:szCs w:val="24"/>
          <w:lang w:val="es-ES"/>
        </w:rPr>
        <w:t>5</w:t>
      </w:r>
      <w:r w:rsidRPr="00166B7E">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0E618AA4" w14:textId="4012A88A" w:rsidR="009743DB" w:rsidRPr="00A61DFC" w:rsidRDefault="009743DB" w:rsidP="00BC2848">
      <w:pPr>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En el Perú la violencia familiar en niñas, niños y adolescentes está disminuyendo;</w:t>
      </w:r>
      <w:r w:rsidR="00805456" w:rsidRPr="00A61DFC">
        <w:rPr>
          <w:rFonts w:ascii="Open Sans Light" w:hAnsi="Open Sans Light" w:cs="Open Sans Light"/>
          <w:sz w:val="24"/>
          <w:szCs w:val="24"/>
          <w:lang w:val="es-ES"/>
        </w:rPr>
        <w:t xml:space="preserve"> así, el porcentaje de ellos que son víctimas de violencia familiar</w:t>
      </w:r>
      <w:r w:rsidRPr="00A61DFC">
        <w:rPr>
          <w:rFonts w:ascii="Open Sans Light" w:hAnsi="Open Sans Light" w:cs="Open Sans Light"/>
          <w:sz w:val="24"/>
          <w:szCs w:val="24"/>
          <w:lang w:val="es-ES"/>
        </w:rPr>
        <w:t xml:space="preserve"> en el grupo </w:t>
      </w:r>
      <w:r w:rsidR="00805456" w:rsidRPr="00A61DFC">
        <w:rPr>
          <w:rFonts w:ascii="Open Sans Light" w:hAnsi="Open Sans Light" w:cs="Open Sans Light"/>
          <w:sz w:val="24"/>
          <w:szCs w:val="24"/>
          <w:lang w:val="es-ES"/>
        </w:rPr>
        <w:t>etario</w:t>
      </w:r>
      <w:r w:rsidRPr="00A61DFC">
        <w:rPr>
          <w:rFonts w:ascii="Open Sans Light" w:hAnsi="Open Sans Light" w:cs="Open Sans Light"/>
          <w:sz w:val="24"/>
          <w:szCs w:val="24"/>
          <w:lang w:val="es-ES"/>
        </w:rPr>
        <w:t xml:space="preserve"> de 9 a 11 años ha pasado de 81.6% en 2013 a 68.5% en 2019, </w:t>
      </w:r>
      <w:r w:rsidR="00805456" w:rsidRPr="00A61DFC">
        <w:rPr>
          <w:rFonts w:ascii="Open Sans Light" w:hAnsi="Open Sans Light" w:cs="Open Sans Light"/>
          <w:sz w:val="24"/>
          <w:szCs w:val="24"/>
          <w:lang w:val="es-ES"/>
        </w:rPr>
        <w:t xml:space="preserve">y </w:t>
      </w:r>
      <w:r w:rsidRPr="00A61DFC">
        <w:rPr>
          <w:rFonts w:ascii="Open Sans Light" w:hAnsi="Open Sans Light" w:cs="Open Sans Light"/>
          <w:sz w:val="24"/>
          <w:szCs w:val="24"/>
          <w:lang w:val="es-ES"/>
        </w:rPr>
        <w:t xml:space="preserve">en el </w:t>
      </w:r>
      <w:r w:rsidRPr="00A61DFC">
        <w:rPr>
          <w:rFonts w:ascii="Open Sans Light" w:hAnsi="Open Sans Light" w:cs="Open Sans Light"/>
          <w:sz w:val="24"/>
          <w:szCs w:val="24"/>
          <w:lang w:val="es-ES"/>
        </w:rPr>
        <w:lastRenderedPageBreak/>
        <w:t xml:space="preserve">grupo </w:t>
      </w:r>
      <w:r w:rsidR="00805456" w:rsidRPr="00A61DFC">
        <w:rPr>
          <w:rFonts w:ascii="Open Sans Light" w:hAnsi="Open Sans Light" w:cs="Open Sans Light"/>
          <w:sz w:val="24"/>
          <w:szCs w:val="24"/>
          <w:lang w:val="es-ES"/>
        </w:rPr>
        <w:t>etario</w:t>
      </w:r>
      <w:r w:rsidRPr="00A61DFC">
        <w:rPr>
          <w:rFonts w:ascii="Open Sans Light" w:hAnsi="Open Sans Light" w:cs="Open Sans Light"/>
          <w:sz w:val="24"/>
          <w:szCs w:val="24"/>
          <w:lang w:val="es-ES"/>
        </w:rPr>
        <w:t xml:space="preserve"> de 12 a 17 años ha pasado de 87.1% a 78% en el mismo intervalo de tiempo</w:t>
      </w:r>
      <w:r w:rsidR="00805456" w:rsidRPr="00A61DFC">
        <w:rPr>
          <w:rFonts w:ascii="Open Sans Light" w:hAnsi="Open Sans Light" w:cs="Open Sans Light"/>
          <w:sz w:val="24"/>
          <w:szCs w:val="24"/>
          <w:lang w:val="es-ES"/>
        </w:rPr>
        <w:t xml:space="preserve"> (véase </w:t>
      </w:r>
      <w:r w:rsidR="000A4C48" w:rsidRPr="00A61DFC">
        <w:rPr>
          <w:rFonts w:ascii="Open Sans Light" w:hAnsi="Open Sans Light" w:cs="Open Sans Light"/>
          <w:sz w:val="24"/>
          <w:szCs w:val="24"/>
          <w:lang w:val="es-ES"/>
        </w:rPr>
        <w:t>Gráfico 58</w:t>
      </w:r>
      <w:r w:rsidR="00805456" w:rsidRPr="00A61DFC">
        <w:rPr>
          <w:rFonts w:ascii="Open Sans Light" w:hAnsi="Open Sans Light" w:cs="Open Sans Light"/>
          <w:sz w:val="24"/>
          <w:szCs w:val="24"/>
          <w:lang w:val="es-ES"/>
        </w:rPr>
        <w:t>)</w:t>
      </w:r>
      <w:r w:rsidRPr="00A61DFC">
        <w:rPr>
          <w:rFonts w:ascii="Open Sans Light" w:hAnsi="Open Sans Light" w:cs="Open Sans Light"/>
          <w:sz w:val="24"/>
          <w:szCs w:val="24"/>
          <w:lang w:val="es-ES"/>
        </w:rPr>
        <w:t>.</w:t>
      </w:r>
      <w:r w:rsidR="00805456" w:rsidRPr="00A61DFC">
        <w:rPr>
          <w:rFonts w:ascii="Open Sans Light" w:hAnsi="Open Sans Light" w:cs="Open Sans Light"/>
          <w:sz w:val="24"/>
          <w:szCs w:val="24"/>
          <w:lang w:val="es-ES"/>
        </w:rPr>
        <w:t xml:space="preserve"> Del mismo modo, el porcentaje de niñas, niños y adolescentes que son víctimas de violencia escolar en el grupo etario de 9 a 11 años ha pasado de 81.5% en 2013 a 66.2% en 2019, mientras que en el grupo etario de 12 a 17 años ha pasado de 83.7% a 68.5% en el mismo intervalo de tiempo (véase </w:t>
      </w:r>
      <w:r w:rsidR="000A4C48" w:rsidRPr="00A61DFC">
        <w:rPr>
          <w:rFonts w:ascii="Open Sans Light" w:hAnsi="Open Sans Light" w:cs="Open Sans Light"/>
          <w:sz w:val="24"/>
          <w:szCs w:val="24"/>
          <w:lang w:val="es-ES"/>
        </w:rPr>
        <w:t>Gráfico 59</w:t>
      </w:r>
      <w:r w:rsidR="00805456" w:rsidRPr="00A61DFC">
        <w:rPr>
          <w:rFonts w:ascii="Open Sans Light" w:hAnsi="Open Sans Light" w:cs="Open Sans Light"/>
          <w:sz w:val="24"/>
          <w:szCs w:val="24"/>
          <w:lang w:val="es-ES"/>
        </w:rPr>
        <w:t>).</w:t>
      </w:r>
    </w:p>
    <w:p w14:paraId="566645CE" w14:textId="4DAE3AB1"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Respecto la variación positiva en cuanto a ejecución presupuestaria reportada para el eje-categoría (i) –</w:t>
      </w:r>
      <w:r w:rsidRPr="00A61DFC">
        <w:rPr>
          <w:rFonts w:ascii="Open Sans Light" w:hAnsi="Open Sans Light" w:cs="Open Sans Light"/>
          <w:i/>
          <w:iCs/>
          <w:sz w:val="24"/>
          <w:szCs w:val="24"/>
          <w:lang w:val="es-ES"/>
        </w:rPr>
        <w:t>fortalecimiento de las intervenciones de prevención, atención y recuperación en temas de violencia familiar y escolar</w:t>
      </w:r>
      <w:r w:rsidRPr="00A61DFC">
        <w:rPr>
          <w:rFonts w:ascii="Open Sans Light" w:hAnsi="Open Sans Light" w:cs="Open Sans Light"/>
          <w:sz w:val="24"/>
          <w:szCs w:val="24"/>
          <w:lang w:val="es-ES"/>
        </w:rPr>
        <w:t xml:space="preserve">– se consideró el Programa Presupuestal Lucha Contra la Violencia Familiar – PP 0080, el cual pasó de tener un presupuesto de 177,873,865 soles en 2017 a tener 454,466,402 soles en 2020. Asimismo, estas variaciones fueron heterogéneas a nivel nacional. Por un lado, departamentos como Amazonas, Ancash y Arequipa tuvieron variaciones de 42302%, 2337% y 2021% respectivamente. Por otro lado, Moquegua, Tacna y Lima experimentaron variaciones de 265%, 251% y 62%. Los departamentos de Madre de Dios y Ucayali pasaron de no tener presupuestos </w:t>
      </w:r>
      <w:r w:rsidR="00E0000C">
        <w:rPr>
          <w:rFonts w:ascii="Open Sans Light" w:hAnsi="Open Sans Light" w:cs="Open Sans Light"/>
          <w:sz w:val="24"/>
          <w:szCs w:val="24"/>
          <w:lang w:val="es-ES"/>
        </w:rPr>
        <w:t xml:space="preserve">ejecutado </w:t>
      </w:r>
      <w:r w:rsidRPr="00A61DFC">
        <w:rPr>
          <w:rFonts w:ascii="Open Sans Light" w:hAnsi="Open Sans Light" w:cs="Open Sans Light"/>
          <w:sz w:val="24"/>
          <w:szCs w:val="24"/>
          <w:lang w:val="es-ES"/>
        </w:rPr>
        <w:t>en 2017, a tener 2,149,885 y 1,346,479 sole</w:t>
      </w:r>
      <w:r w:rsidRPr="00D26390">
        <w:rPr>
          <w:rFonts w:ascii="Open Sans Light" w:hAnsi="Open Sans Light" w:cs="Open Sans Light"/>
          <w:sz w:val="24"/>
          <w:szCs w:val="24"/>
          <w:lang w:val="es-ES"/>
        </w:rPr>
        <w:t xml:space="preserve">s en 2020, respectivamente </w:t>
      </w:r>
      <w:r w:rsidRPr="00581D7F">
        <w:rPr>
          <w:rFonts w:ascii="Open Sans Light" w:hAnsi="Open Sans Light" w:cs="Open Sans Light"/>
          <w:sz w:val="24"/>
          <w:szCs w:val="24"/>
          <w:lang w:val="es-ES"/>
        </w:rPr>
        <w:t>(</w:t>
      </w:r>
      <w:r w:rsidRPr="004D0E60">
        <w:rPr>
          <w:rFonts w:ascii="Open Sans Light" w:hAnsi="Open Sans Light" w:cs="Open Sans Light"/>
          <w:sz w:val="24"/>
          <w:szCs w:val="24"/>
          <w:lang w:val="es-ES"/>
        </w:rPr>
        <w:t xml:space="preserve">véase detalle en Anexo, </w:t>
      </w:r>
      <w:r w:rsidR="0082185F" w:rsidRPr="004D0E60">
        <w:rPr>
          <w:rFonts w:ascii="Open Sans Light" w:hAnsi="Open Sans Light" w:cs="Open Sans Light"/>
          <w:sz w:val="24"/>
          <w:szCs w:val="24"/>
          <w:lang w:val="es-ES"/>
        </w:rPr>
        <w:t xml:space="preserve">Tabla </w:t>
      </w:r>
      <w:r w:rsidR="00B24290" w:rsidRPr="004D0E60">
        <w:rPr>
          <w:rFonts w:ascii="Open Sans Light" w:hAnsi="Open Sans Light" w:cs="Open Sans Light"/>
          <w:sz w:val="24"/>
          <w:szCs w:val="24"/>
          <w:lang w:val="es-ES"/>
        </w:rPr>
        <w:t>A.26</w:t>
      </w:r>
      <w:r w:rsidRPr="00581D7F">
        <w:rPr>
          <w:rFonts w:ascii="Open Sans Light" w:hAnsi="Open Sans Light" w:cs="Open Sans Light"/>
          <w:sz w:val="24"/>
          <w:szCs w:val="24"/>
          <w:lang w:val="es-ES"/>
        </w:rPr>
        <w:t>).</w:t>
      </w:r>
      <w:r w:rsidRPr="00A61DFC">
        <w:rPr>
          <w:rFonts w:ascii="Open Sans Light" w:hAnsi="Open Sans Light" w:cs="Open Sans Light"/>
          <w:sz w:val="24"/>
          <w:szCs w:val="24"/>
          <w:lang w:val="es-ES"/>
        </w:rPr>
        <w:t xml:space="preserve"> </w:t>
      </w:r>
    </w:p>
    <w:p w14:paraId="26CE6E93" w14:textId="2A6DE745" w:rsidR="009C02DA" w:rsidRPr="009C02DA" w:rsidRDefault="009C02DA" w:rsidP="009C02DA">
      <w:pPr>
        <w:pStyle w:val="ESTILOTABLA"/>
        <w:rPr>
          <w:i w:val="0"/>
          <w:iCs/>
        </w:rPr>
      </w:pPr>
      <w:r>
        <w:t xml:space="preserve">Figura </w:t>
      </w:r>
      <w:r w:rsidR="00A31AEE">
        <w:rPr>
          <w:noProof/>
        </w:rPr>
        <w:fldChar w:fldCharType="begin"/>
      </w:r>
      <w:r w:rsidR="00A31AEE">
        <w:rPr>
          <w:noProof/>
        </w:rPr>
        <w:instrText xml:space="preserve"> SEQ Figura \* ARABIC </w:instrText>
      </w:r>
      <w:r w:rsidR="00A31AEE">
        <w:rPr>
          <w:noProof/>
        </w:rPr>
        <w:fldChar w:fldCharType="separate"/>
      </w:r>
      <w:r w:rsidR="00846FB2">
        <w:rPr>
          <w:noProof/>
        </w:rPr>
        <w:t>7</w:t>
      </w:r>
      <w:r w:rsidR="00A31AEE">
        <w:rPr>
          <w:noProof/>
        </w:rPr>
        <w:fldChar w:fldCharType="end"/>
      </w:r>
      <w:r>
        <w:t xml:space="preserve">. </w:t>
      </w:r>
      <w:r w:rsidRPr="00677C6D">
        <w:rPr>
          <w:b/>
          <w:bCs/>
          <w:i w:val="0"/>
          <w:iCs/>
          <w:lang w:val="es-PE"/>
        </w:rPr>
        <w:t xml:space="preserve">Variación porcentual en los niveles de ejecución presupuestal </w:t>
      </w:r>
      <w:r>
        <w:rPr>
          <w:b/>
          <w:bCs/>
          <w:i w:val="0"/>
          <w:iCs/>
          <w:lang w:val="es-PE"/>
        </w:rPr>
        <w:t>(</w:t>
      </w:r>
      <w:r w:rsidRPr="009C02DA">
        <w:rPr>
          <w:b/>
          <w:bCs/>
          <w:i w:val="0"/>
          <w:iCs/>
          <w:lang w:val="es-PE"/>
        </w:rPr>
        <w:t>Lucha Contra la Violencia Familiar – PP 0080</w:t>
      </w:r>
      <w:r>
        <w:rPr>
          <w:b/>
          <w:bCs/>
          <w:i w:val="0"/>
          <w:iCs/>
          <w:lang w:val="es-PE"/>
        </w:rPr>
        <w:t xml:space="preserve">), </w:t>
      </w:r>
      <w:r w:rsidRPr="00677C6D">
        <w:rPr>
          <w:b/>
          <w:bCs/>
          <w:i w:val="0"/>
          <w:iCs/>
          <w:lang w:val="es-PE"/>
        </w:rPr>
        <w:t>entre los años 201</w:t>
      </w:r>
      <w:r w:rsidR="00DD1585">
        <w:rPr>
          <w:b/>
          <w:bCs/>
          <w:i w:val="0"/>
          <w:iCs/>
          <w:lang w:val="es-PE"/>
        </w:rPr>
        <w:t>7</w:t>
      </w:r>
      <w:r w:rsidRPr="00677C6D">
        <w:rPr>
          <w:b/>
          <w:bCs/>
          <w:i w:val="0"/>
          <w:iCs/>
          <w:lang w:val="es-PE"/>
        </w:rPr>
        <w:t xml:space="preserve"> y 2020 por departamento</w:t>
      </w:r>
    </w:p>
    <w:p w14:paraId="2D9013EE" w14:textId="7B628ACA" w:rsidR="009C02DA" w:rsidRPr="002E39FC" w:rsidRDefault="009C02DA" w:rsidP="00885793">
      <w:pPr>
        <w:rPr>
          <w:rFonts w:ascii="Open Sans Light" w:hAnsi="Open Sans Light" w:cs="Open Sans Light"/>
          <w:color w:val="00B050"/>
          <w:sz w:val="24"/>
          <w:szCs w:val="24"/>
          <w:lang w:val="es-ES"/>
        </w:rPr>
      </w:pPr>
      <w:r>
        <w:rPr>
          <w:noProof/>
          <w:lang w:val="en-GB" w:eastAsia="en-GB"/>
        </w:rPr>
        <mc:AlternateContent>
          <mc:Choice Requires="cx1">
            <w:drawing>
              <wp:inline distT="0" distB="0" distL="0" distR="0" wp14:anchorId="0E735575" wp14:editId="468FCC35">
                <wp:extent cx="5638800" cy="2562225"/>
                <wp:effectExtent l="0" t="0" r="0" b="9525"/>
                <wp:docPr id="70" name="Gráfico 70">
                  <a:extLst xmlns:a="http://schemas.openxmlformats.org/drawingml/2006/main">
                    <a:ext uri="{FF2B5EF4-FFF2-40B4-BE49-F238E27FC236}">
                      <a16:creationId xmlns:a16="http://schemas.microsoft.com/office/drawing/2014/main" id="{2802FE11-F05C-4595-BEE5-989E79940D2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
                  </a:graphicData>
                </a:graphic>
              </wp:inline>
            </w:drawing>
          </mc:Choice>
          <mc:Fallback>
            <w:drawing>
              <wp:inline distT="0" distB="0" distL="0" distR="0" wp14:anchorId="0E735575" wp14:editId="468FCC35">
                <wp:extent cx="5638800" cy="2562225"/>
                <wp:effectExtent l="0" t="0" r="0" b="9525"/>
                <wp:docPr id="70" name="Gráfico 70">
                  <a:extLst xmlns:a="http://schemas.openxmlformats.org/drawingml/2006/main">
                    <a:ext uri="{FF2B5EF4-FFF2-40B4-BE49-F238E27FC236}">
                      <a16:creationId xmlns:a16="http://schemas.microsoft.com/office/drawing/2014/main" id="{2802FE11-F05C-4595-BEE5-989E79940D2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0" name="Gráfico 70">
                          <a:extLst>
                            <a:ext uri="{FF2B5EF4-FFF2-40B4-BE49-F238E27FC236}">
                              <a16:creationId xmlns:a16="http://schemas.microsoft.com/office/drawing/2014/main" id="{2802FE11-F05C-4595-BEE5-989E79940D2D}"/>
                            </a:ext>
                          </a:extLst>
                        </pic:cNvPr>
                        <pic:cNvPicPr>
                          <a:picLocks noGrp="1" noRot="1" noChangeAspect="1" noMove="1" noResize="1" noEditPoints="1" noAdjustHandles="1" noChangeArrowheads="1" noChangeShapeType="1"/>
                        </pic:cNvPicPr>
                      </pic:nvPicPr>
                      <pic:blipFill>
                        <a:blip r:embed="rId27"/>
                        <a:stretch>
                          <a:fillRect/>
                        </a:stretch>
                      </pic:blipFill>
                      <pic:spPr>
                        <a:xfrm>
                          <a:off x="0" y="0"/>
                          <a:ext cx="5638800" cy="2562225"/>
                        </a:xfrm>
                        <a:prstGeom prst="rect">
                          <a:avLst/>
                        </a:prstGeom>
                      </pic:spPr>
                    </pic:pic>
                  </a:graphicData>
                </a:graphic>
              </wp:inline>
            </w:drawing>
          </mc:Fallback>
        </mc:AlternateContent>
      </w:r>
    </w:p>
    <w:p w14:paraId="2C90C87A" w14:textId="77777777" w:rsidR="00BC2848" w:rsidRPr="00A61DFC" w:rsidRDefault="00BC2848" w:rsidP="00BC2848">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Con relación a la variación de 144% del eje-categoría (ii) –</w:t>
      </w:r>
      <w:r w:rsidRPr="00A61DFC">
        <w:rPr>
          <w:rFonts w:ascii="Open Sans Light" w:hAnsi="Open Sans Light" w:cs="Open Sans Light"/>
          <w:i/>
          <w:iCs/>
          <w:sz w:val="24"/>
          <w:szCs w:val="24"/>
          <w:lang w:val="es-ES"/>
        </w:rPr>
        <w:t xml:space="preserve">fortalecimiento de habilidades y capacidades contra la violencia familiar y escolar– </w:t>
      </w:r>
      <w:r w:rsidRPr="00A61DFC">
        <w:rPr>
          <w:rFonts w:ascii="Open Sans Light" w:hAnsi="Open Sans Light" w:cs="Open Sans Light"/>
          <w:sz w:val="24"/>
          <w:szCs w:val="24"/>
          <w:lang w:val="es-ES"/>
        </w:rPr>
        <w:t xml:space="preserve">se resalta </w:t>
      </w:r>
      <w:r w:rsidRPr="00A61DFC">
        <w:rPr>
          <w:rFonts w:ascii="Open Sans Light" w:hAnsi="Open Sans Light" w:cs="Open Sans Light"/>
          <w:sz w:val="24"/>
          <w:szCs w:val="24"/>
          <w:lang w:val="es-ES"/>
        </w:rPr>
        <w:lastRenderedPageBreak/>
        <w:t>que el cálculo tuvo origen en el desarrollo de habilidades del Programa Presupuestal Lucha Contra la Violencia Familiar – PP 080. De la misma forma, en lo que concierne a la variación de 46% del eje-categoría (iii) –</w:t>
      </w:r>
      <w:r w:rsidRPr="00A61DFC">
        <w:rPr>
          <w:rFonts w:ascii="Open Sans Light" w:hAnsi="Open Sans Light" w:cs="Open Sans Light"/>
          <w:i/>
          <w:iCs/>
          <w:sz w:val="24"/>
          <w:szCs w:val="24"/>
          <w:lang w:val="es-ES"/>
        </w:rPr>
        <w:t xml:space="preserve">sensibilización en contra de la violencia familiar y escolar– </w:t>
      </w:r>
      <w:r w:rsidRPr="00A61DFC">
        <w:rPr>
          <w:rFonts w:ascii="Open Sans Light" w:hAnsi="Open Sans Light" w:cs="Open Sans Light"/>
          <w:sz w:val="24"/>
          <w:szCs w:val="24"/>
          <w:lang w:val="es-ES"/>
        </w:rPr>
        <w:t xml:space="preserve">se resalta que el cálculo también tuvo origen en las actividades de sensibilización del Programa Presupuestal Lucha Contra la Violencia Familiar – PP 080. Este programa, que se utilizó para ambos ejes-categoría, cuenta con actividades presupuestadas vinculadas al desarrollo de capacidades y habilidades de lucha contra la violencia familiar, así como el desarrollo de campañas públicas de sensibilización para una vida libre de violencia. </w:t>
      </w:r>
    </w:p>
    <w:p w14:paraId="381678C3" w14:textId="0471A73F" w:rsidR="00536C8F" w:rsidRPr="00A61DFC" w:rsidRDefault="00BC2848" w:rsidP="00C9168D">
      <w:pPr>
        <w:ind w:left="708"/>
        <w:jc w:val="both"/>
        <w:rPr>
          <w:rFonts w:ascii="Open Sans Light" w:hAnsi="Open Sans Light" w:cs="Open Sans Light"/>
          <w:sz w:val="24"/>
          <w:szCs w:val="24"/>
          <w:lang w:val="es-ES"/>
        </w:rPr>
      </w:pPr>
      <w:r w:rsidRPr="00A61DFC">
        <w:rPr>
          <w:rFonts w:ascii="Open Sans Light" w:hAnsi="Open Sans Light" w:cs="Open Sans Light"/>
          <w:sz w:val="24"/>
          <w:szCs w:val="24"/>
          <w:lang w:val="es-ES"/>
        </w:rPr>
        <w:t>Finalmente, en cuanto al eje-categoría (v) –</w:t>
      </w:r>
      <w:r w:rsidRPr="00A61DFC">
        <w:rPr>
          <w:rFonts w:ascii="Open Sans Light" w:hAnsi="Open Sans Light" w:cs="Open Sans Light"/>
          <w:i/>
          <w:iCs/>
          <w:sz w:val="24"/>
          <w:szCs w:val="24"/>
          <w:lang w:val="es-ES"/>
        </w:rPr>
        <w:t xml:space="preserve">promoción e implementación de normas en contra de la violencia familiar y escolar– </w:t>
      </w:r>
      <w:r w:rsidRPr="00A61DFC">
        <w:rPr>
          <w:rFonts w:ascii="Open Sans Light" w:hAnsi="Open Sans Light" w:cs="Open Sans Light"/>
          <w:sz w:val="24"/>
          <w:szCs w:val="24"/>
          <w:lang w:val="es-ES"/>
        </w:rPr>
        <w:t>se han contabilizado 27 normas referidas a la temática, configurándose así un elemento de verificación que permite afirmar se logró cumplir con la meta.</w:t>
      </w:r>
      <w:r w:rsidRPr="00A61DFC">
        <w:rPr>
          <w:rFonts w:ascii="Open Sans Light" w:hAnsi="Open Sans Light" w:cs="Open Sans Light"/>
          <w:i/>
          <w:iCs/>
          <w:sz w:val="24"/>
          <w:szCs w:val="24"/>
          <w:lang w:val="es-ES"/>
        </w:rPr>
        <w:t xml:space="preserve"> </w:t>
      </w:r>
    </w:p>
    <w:p w14:paraId="0487F71D" w14:textId="77777777" w:rsidR="00907A28" w:rsidRDefault="00907A28" w:rsidP="00AA4BAE">
      <w:pPr>
        <w:jc w:val="both"/>
        <w:rPr>
          <w:color w:val="002060"/>
          <w:sz w:val="32"/>
          <w:szCs w:val="32"/>
        </w:rPr>
      </w:pPr>
    </w:p>
    <w:p w14:paraId="3747CF07" w14:textId="48DABE29" w:rsidR="00AA4BAE" w:rsidRPr="00AC6576" w:rsidRDefault="001A4160" w:rsidP="00AA4BAE">
      <w:pPr>
        <w:jc w:val="both"/>
      </w:pPr>
      <w:r>
        <w:rPr>
          <w:color w:val="002060"/>
          <w:sz w:val="32"/>
          <w:szCs w:val="32"/>
        </w:rPr>
        <w:t xml:space="preserve">Balance </w:t>
      </w:r>
      <w:r w:rsidR="009104B2">
        <w:rPr>
          <w:color w:val="002060"/>
          <w:sz w:val="32"/>
          <w:szCs w:val="32"/>
        </w:rPr>
        <w:t>de los mecanismos de implementació</w:t>
      </w:r>
      <w:r w:rsidR="00AA4BAE">
        <w:rPr>
          <w:color w:val="002060"/>
          <w:sz w:val="32"/>
          <w:szCs w:val="32"/>
        </w:rPr>
        <w:t>n</w:t>
      </w:r>
    </w:p>
    <w:p w14:paraId="58DE0287" w14:textId="77777777" w:rsidR="00AA4BAE" w:rsidRDefault="00AA4BAE" w:rsidP="00AA4BAE">
      <w:pPr>
        <w:spacing w:after="0" w:line="240" w:lineRule="auto"/>
        <w:ind w:left="851"/>
        <w:jc w:val="both"/>
        <w:rPr>
          <w:rFonts w:ascii="Open Sans Light" w:eastAsia="Open Sans Light" w:hAnsi="Open Sans Light" w:cs="Open Sans Light"/>
          <w:color w:val="000000"/>
          <w:sz w:val="24"/>
          <w:szCs w:val="24"/>
        </w:rPr>
      </w:pPr>
    </w:p>
    <w:p w14:paraId="5813DDB7" w14:textId="61D5D459" w:rsidR="00AA4BAE" w:rsidRPr="00A61DFC" w:rsidRDefault="00AA4BAE" w:rsidP="00AA4BAE">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En esta sección, se buscó recopilar las percepciones, lecciones aprendidas y recomendaciones de diversos actores clave involucrados en la implementación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a través de los mecanismos de articulación creados. Estos se dividen en 4: (I) la Comisión Multisectorial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y sus Subcomisiones; (II) los Grupos de Trabajo; y (III) los Planes Regionales de Acción por la Infancia y la Adolescencia (PRAIA).</w:t>
      </w:r>
    </w:p>
    <w:p w14:paraId="0D2DAC2C" w14:textId="77777777" w:rsidR="00AA4BAE" w:rsidRDefault="00AA4BAE" w:rsidP="00AA4BAE">
      <w:pPr>
        <w:spacing w:after="0" w:line="240" w:lineRule="auto"/>
        <w:jc w:val="both"/>
        <w:rPr>
          <w:rFonts w:ascii="Open Sans Light" w:eastAsia="Open Sans Light" w:hAnsi="Open Sans Light" w:cs="Open Sans Light"/>
          <w:color w:val="000000"/>
          <w:sz w:val="24"/>
          <w:szCs w:val="24"/>
        </w:rPr>
      </w:pPr>
    </w:p>
    <w:p w14:paraId="2C32BCAC" w14:textId="331836E5" w:rsidR="00AA4BAE" w:rsidRPr="00A61DFC" w:rsidRDefault="00AA4BAE" w:rsidP="00AA4BAE">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Comisión Multisectorial Permanente (CMP) del </w:t>
      </w:r>
      <w:r w:rsidR="00D979D4">
        <w:rPr>
          <w:rFonts w:ascii="Open Sans Light" w:eastAsia="Open Sans Light" w:hAnsi="Open Sans Light" w:cs="Open Sans Light"/>
          <w:sz w:val="24"/>
          <w:szCs w:val="24"/>
        </w:rPr>
        <w:t>PNAIA 2012 – 2021</w:t>
      </w:r>
    </w:p>
    <w:p w14:paraId="317CDE2A" w14:textId="77777777" w:rsidR="00AA4BAE" w:rsidRPr="00A61DFC" w:rsidRDefault="00AA4BAE" w:rsidP="00AA4BAE">
      <w:pPr>
        <w:spacing w:after="0" w:line="240" w:lineRule="auto"/>
        <w:jc w:val="both"/>
        <w:rPr>
          <w:rFonts w:ascii="Open Sans Light" w:eastAsia="Open Sans Light" w:hAnsi="Open Sans Light" w:cs="Open Sans Light"/>
          <w:sz w:val="24"/>
          <w:szCs w:val="24"/>
        </w:rPr>
      </w:pPr>
    </w:p>
    <w:p w14:paraId="1E63B645" w14:textId="494D11B8" w:rsidR="00AA4BAE" w:rsidRPr="00A61DFC" w:rsidRDefault="00AA4BAE" w:rsidP="00AA4BAE">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La Comisión Multisectorial Permanente (CMP) encargada de la implementación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se estableció en el año 2012 con la finalidad de monitorear y contribuir al cumplimiento eficaz de sus seis (6) metas emblemáticas, cuatro (4) objetivos estratégicos y 25 resultados esperados, así como a las estrategias de implementación definidas en el plan aprobado. </w:t>
      </w:r>
    </w:p>
    <w:p w14:paraId="725433B4" w14:textId="77777777" w:rsidR="00AA4BAE" w:rsidRPr="00A61DFC" w:rsidRDefault="00AA4BAE" w:rsidP="00AA4BAE">
      <w:pPr>
        <w:spacing w:after="0" w:line="240" w:lineRule="auto"/>
        <w:jc w:val="both"/>
        <w:rPr>
          <w:rFonts w:ascii="Open Sans Light" w:eastAsia="Open Sans Light" w:hAnsi="Open Sans Light" w:cs="Open Sans Light"/>
          <w:sz w:val="24"/>
          <w:szCs w:val="24"/>
        </w:rPr>
      </w:pPr>
    </w:p>
    <w:p w14:paraId="23507AE7" w14:textId="77777777" w:rsidR="00AA4BAE" w:rsidRPr="00A61DFC" w:rsidRDefault="00AA4BAE" w:rsidP="00AA4BAE">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Así, los objetivos de la CMP fueron:</w:t>
      </w:r>
    </w:p>
    <w:p w14:paraId="6187A2CB" w14:textId="77777777" w:rsidR="00AA4BAE" w:rsidRPr="00A61DFC" w:rsidRDefault="00AA4BAE" w:rsidP="00AA4BAE">
      <w:pPr>
        <w:pStyle w:val="ListParagraph"/>
        <w:numPr>
          <w:ilvl w:val="0"/>
          <w:numId w:val="12"/>
        </w:num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Ejercer la labor de seguimiento y evaluación del Plan Nacional de Acción por la Infancia y la Adolescencia 2012-2021.</w:t>
      </w:r>
    </w:p>
    <w:p w14:paraId="2B7D2C66" w14:textId="4FF4CB1A" w:rsidR="00AA4BAE" w:rsidRPr="00A61DFC" w:rsidRDefault="00AA4BAE" w:rsidP="00AA4BAE">
      <w:pPr>
        <w:pStyle w:val="ListParagraph"/>
        <w:numPr>
          <w:ilvl w:val="0"/>
          <w:numId w:val="12"/>
        </w:num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lastRenderedPageBreak/>
        <w:t xml:space="preserve">Coordinar la implementación de las acciones contenidas en 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w:t>
      </w:r>
    </w:p>
    <w:p w14:paraId="7C1D190C" w14:textId="64BC20FB" w:rsidR="00AA4BAE" w:rsidRPr="00A61DFC" w:rsidRDefault="00AA4BAE" w:rsidP="00AA4BAE">
      <w:pPr>
        <w:pStyle w:val="ListParagraph"/>
        <w:numPr>
          <w:ilvl w:val="0"/>
          <w:numId w:val="12"/>
        </w:num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Elaborar informes anuales de avances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w:t>
      </w:r>
    </w:p>
    <w:p w14:paraId="0356D2F4" w14:textId="157281D6" w:rsidR="00AA4BAE" w:rsidRPr="00A61DFC" w:rsidRDefault="00AA4BAE" w:rsidP="00AA4BAE">
      <w:pPr>
        <w:pStyle w:val="ListParagraph"/>
        <w:numPr>
          <w:ilvl w:val="0"/>
          <w:numId w:val="12"/>
        </w:num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Elaborar la propuesta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del siguiente decenio.</w:t>
      </w:r>
    </w:p>
    <w:p w14:paraId="34E79C34" w14:textId="3F4AC98D" w:rsidR="00AA4BAE" w:rsidRPr="00A61DFC" w:rsidRDefault="00AA4BAE" w:rsidP="00AA4BAE">
      <w:pPr>
        <w:pStyle w:val="ListParagraph"/>
        <w:numPr>
          <w:ilvl w:val="0"/>
          <w:numId w:val="12"/>
        </w:num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Coordinar con los pliegos respectivos a fin de garantizar la programación y priorización de los recursos necesario para la ejecución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en el marco de las disposiciones legales vigentes.</w:t>
      </w:r>
    </w:p>
    <w:p w14:paraId="34604E42" w14:textId="77777777" w:rsidR="00AA4BAE" w:rsidRPr="00A61DFC" w:rsidRDefault="00AA4BAE" w:rsidP="00AA4BAE">
      <w:pPr>
        <w:pStyle w:val="ListParagraph"/>
        <w:numPr>
          <w:ilvl w:val="0"/>
          <w:numId w:val="12"/>
        </w:num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Coordinar con los gobiernos regionales y gobiernos locales, a fin de que, dentro del marco de sus funciones y competencias, incorporen las metas y objetivos del Plan Nacional y sus políticas regionales y locales, pudiendo establecer a su vez planes regionales y locales dentro del marco del referido Plan.</w:t>
      </w:r>
    </w:p>
    <w:p w14:paraId="6DA70BDF" w14:textId="77777777" w:rsidR="00AA4BAE" w:rsidRPr="00A61DFC" w:rsidRDefault="00AA4BAE" w:rsidP="00AA4BAE">
      <w:pPr>
        <w:spacing w:after="0" w:line="240" w:lineRule="auto"/>
        <w:jc w:val="both"/>
        <w:rPr>
          <w:rFonts w:ascii="Open Sans Light" w:eastAsia="Open Sans Light" w:hAnsi="Open Sans Light" w:cs="Open Sans Light"/>
          <w:sz w:val="24"/>
          <w:szCs w:val="24"/>
        </w:rPr>
      </w:pPr>
    </w:p>
    <w:p w14:paraId="3C7F584F" w14:textId="77777777" w:rsidR="00AA4BAE" w:rsidRPr="00A61DFC" w:rsidRDefault="00AA4BAE" w:rsidP="00AA4BAE">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La Comisión Multisectorial Permanente está formada por representantes de 12 Ministerios y 6 instituciones públicas. También forman parte, en calidad de invitados, organizaciones de la sociedad civil como UNICEF, la Mesa de Concertación de Lucha contra la pobreza y el Consejo Consultivo de Niñas, Niños y Adolescentes.</w:t>
      </w:r>
    </w:p>
    <w:p w14:paraId="7C6B908F" w14:textId="358FBBC8" w:rsidR="00AA4BAE" w:rsidRPr="00A61DFC" w:rsidRDefault="00AA4BAE" w:rsidP="00AA4BAE">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Para evaluar la implementación de la CMP, se entrevistaron a representantes de 8 instituciones públicas y 1 no estatal, quienes brindaron sus apreciaciones respecto a los roles y sus respectivas participaciones en el marco de la implementación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la efectividad de la CMP para cumplir sus funciones; los principales logros de la Comisión y de los sectores en la consecución de los resultados esperados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el nivel de articulación interinstitucional en los tres niveles de gobierno; así como las lecciones aprendidas y recomendaciones de cara a la implementación de la PNMNNA. La </w:t>
      </w:r>
      <w:r w:rsidRPr="004D0E60">
        <w:rPr>
          <w:rFonts w:ascii="Open Sans Light" w:eastAsia="Open Sans Light" w:hAnsi="Open Sans Light" w:cs="Open Sans Light"/>
          <w:sz w:val="24"/>
          <w:szCs w:val="24"/>
        </w:rPr>
        <w:t xml:space="preserve">Tabla </w:t>
      </w:r>
      <w:r w:rsidR="009C1BBA" w:rsidRPr="004D0E60">
        <w:rPr>
          <w:rFonts w:ascii="Open Sans Light" w:eastAsia="Open Sans Light" w:hAnsi="Open Sans Light" w:cs="Open Sans Light"/>
          <w:sz w:val="24"/>
          <w:szCs w:val="24"/>
        </w:rPr>
        <w:t>11</w:t>
      </w:r>
      <w:r w:rsidRPr="004D0E60">
        <w:rPr>
          <w:rFonts w:ascii="Open Sans Light" w:eastAsia="Open Sans Light" w:hAnsi="Open Sans Light" w:cs="Open Sans Light"/>
          <w:sz w:val="24"/>
          <w:szCs w:val="24"/>
        </w:rPr>
        <w:t xml:space="preserve"> resume</w:t>
      </w:r>
      <w:r w:rsidRPr="00A61DFC">
        <w:rPr>
          <w:rFonts w:ascii="Open Sans Light" w:eastAsia="Open Sans Light" w:hAnsi="Open Sans Light" w:cs="Open Sans Light"/>
          <w:sz w:val="24"/>
          <w:szCs w:val="24"/>
        </w:rPr>
        <w:t xml:space="preserve"> las principales conclusiones recogidas.</w:t>
      </w:r>
    </w:p>
    <w:p w14:paraId="1ABB665E" w14:textId="4E063EC0" w:rsidR="00AA4BAE" w:rsidRPr="00A61DFC" w:rsidRDefault="00AA4BAE" w:rsidP="00E7544F">
      <w:pPr>
        <w:spacing w:after="0" w:line="240" w:lineRule="auto"/>
        <w:rPr>
          <w:rFonts w:ascii="Open Sans Light" w:eastAsia="Open Sans Light" w:hAnsi="Open Sans Light" w:cs="Open Sans Light"/>
          <w:b/>
          <w:bCs/>
          <w:sz w:val="24"/>
          <w:szCs w:val="24"/>
        </w:rPr>
      </w:pPr>
    </w:p>
    <w:p w14:paraId="78B976D5" w14:textId="3DE4D4E2" w:rsidR="00E7544F" w:rsidRPr="00EC7A4C" w:rsidRDefault="0096001F" w:rsidP="00E7544F">
      <w:pPr>
        <w:pStyle w:val="ESTILOTABLA"/>
        <w:rPr>
          <w:i w:val="0"/>
        </w:rPr>
      </w:pPr>
      <w:r w:rsidRPr="00E1753D">
        <w:t xml:space="preserve">Tabla </w:t>
      </w:r>
      <w:r w:rsidR="00354646">
        <w:fldChar w:fldCharType="begin"/>
      </w:r>
      <w:r w:rsidR="00354646">
        <w:instrText xml:space="preserve"> SEQ Tabla \* ARABIC </w:instrText>
      </w:r>
      <w:r w:rsidR="00354646">
        <w:fldChar w:fldCharType="separate"/>
      </w:r>
      <w:r w:rsidR="00846FB2">
        <w:rPr>
          <w:noProof/>
        </w:rPr>
        <w:t>11</w:t>
      </w:r>
      <w:r w:rsidR="00354646">
        <w:rPr>
          <w:noProof/>
        </w:rPr>
        <w:fldChar w:fldCharType="end"/>
      </w:r>
      <w:r w:rsidRPr="00E1753D">
        <w:t>.</w:t>
      </w:r>
      <w:r w:rsidRPr="00E1753D">
        <w:rPr>
          <w:rFonts w:eastAsia="Open Sans Light"/>
          <w:b/>
          <w:color w:val="000000"/>
          <w:szCs w:val="24"/>
        </w:rPr>
        <w:t xml:space="preserve"> </w:t>
      </w:r>
      <w:r w:rsidR="00E7544F" w:rsidRPr="004D0E60">
        <w:rPr>
          <w:rFonts w:eastAsia="Open Sans Light"/>
          <w:b/>
          <w:bCs/>
          <w:i w:val="0"/>
          <w:iCs/>
          <w:szCs w:val="24"/>
        </w:rPr>
        <w:t xml:space="preserve">Principales conclusiones de la implementación de la Comisión Multisectorial Permanente del </w:t>
      </w:r>
      <w:r w:rsidR="00D979D4" w:rsidRPr="004D0E60">
        <w:rPr>
          <w:rFonts w:eastAsia="Open Sans Light"/>
          <w:b/>
          <w:bCs/>
          <w:i w:val="0"/>
          <w:iCs/>
          <w:szCs w:val="24"/>
        </w:rPr>
        <w:t>PNAIA 2012 – 2021</w:t>
      </w:r>
    </w:p>
    <w:tbl>
      <w:tblPr>
        <w:tblStyle w:val="3"/>
        <w:tblW w:w="853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127"/>
      </w:tblGrid>
      <w:tr w:rsidR="00EC7A4C" w:rsidRPr="00EC7A4C" w14:paraId="3B5D531C" w14:textId="77777777" w:rsidTr="001D4B7B">
        <w:trPr>
          <w:trHeight w:val="285"/>
        </w:trPr>
        <w:tc>
          <w:tcPr>
            <w:tcW w:w="2405" w:type="dxa"/>
            <w:shd w:val="clear" w:color="auto" w:fill="000000" w:themeFill="text1"/>
          </w:tcPr>
          <w:p w14:paraId="2252D527" w14:textId="77777777" w:rsidR="00AA4BAE" w:rsidRPr="00A61DFC" w:rsidRDefault="00AA4BAE" w:rsidP="00DA42C9">
            <w:pPr>
              <w:jc w:val="center"/>
              <w:rPr>
                <w:rFonts w:ascii="Open Sans Light" w:eastAsia="Open Sans Light" w:hAnsi="Open Sans Light" w:cs="Open Sans Light"/>
                <w:b/>
                <w:sz w:val="24"/>
                <w:szCs w:val="24"/>
              </w:rPr>
            </w:pPr>
            <w:r w:rsidRPr="00A61DFC">
              <w:rPr>
                <w:rFonts w:ascii="Open Sans Light" w:eastAsia="Open Sans Light" w:hAnsi="Open Sans Light" w:cs="Open Sans Light"/>
                <w:b/>
                <w:sz w:val="24"/>
                <w:szCs w:val="24"/>
              </w:rPr>
              <w:t>Eje temático</w:t>
            </w:r>
          </w:p>
        </w:tc>
        <w:tc>
          <w:tcPr>
            <w:tcW w:w="6127" w:type="dxa"/>
            <w:shd w:val="clear" w:color="auto" w:fill="000000" w:themeFill="text1"/>
          </w:tcPr>
          <w:p w14:paraId="5EC80B10" w14:textId="77777777" w:rsidR="00AA4BAE" w:rsidRPr="00A61DFC" w:rsidRDefault="00AA4BAE" w:rsidP="00DA42C9">
            <w:pPr>
              <w:jc w:val="center"/>
              <w:rPr>
                <w:rFonts w:ascii="Open Sans Light" w:eastAsia="Open Sans Light" w:hAnsi="Open Sans Light" w:cs="Open Sans Light"/>
                <w:b/>
                <w:sz w:val="24"/>
                <w:szCs w:val="24"/>
              </w:rPr>
            </w:pPr>
            <w:r w:rsidRPr="00A61DFC">
              <w:rPr>
                <w:rFonts w:ascii="Open Sans Light" w:eastAsia="Open Sans Light" w:hAnsi="Open Sans Light" w:cs="Open Sans Light"/>
                <w:b/>
                <w:sz w:val="24"/>
                <w:szCs w:val="24"/>
              </w:rPr>
              <w:t>Principales conclusiones</w:t>
            </w:r>
          </w:p>
        </w:tc>
      </w:tr>
      <w:tr w:rsidR="00EC7A4C" w:rsidRPr="00EC7A4C" w14:paraId="7E40F311" w14:textId="77777777" w:rsidTr="00DA42C9">
        <w:trPr>
          <w:trHeight w:val="285"/>
        </w:trPr>
        <w:tc>
          <w:tcPr>
            <w:tcW w:w="2405" w:type="dxa"/>
          </w:tcPr>
          <w:p w14:paraId="064A1B0A" w14:textId="77777777" w:rsidR="00AA4BAE" w:rsidRPr="00A61DFC" w:rsidRDefault="00AA4BAE" w:rsidP="00DA42C9">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Logros </w:t>
            </w:r>
          </w:p>
        </w:tc>
        <w:tc>
          <w:tcPr>
            <w:tcW w:w="6127" w:type="dxa"/>
          </w:tcPr>
          <w:p w14:paraId="63FBF525" w14:textId="671D038D" w:rsidR="00AA4BAE" w:rsidRPr="00A61DFC" w:rsidRDefault="00AA4BAE" w:rsidP="00AA4BAE">
            <w:pPr>
              <w:pStyle w:val="ListParagraph"/>
              <w:numPr>
                <w:ilvl w:val="0"/>
                <w:numId w:val="17"/>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La Comisión cumple con el reporte anual de indicadores y la presentación de resultados principales del seguimiento a los indicadores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w:t>
            </w:r>
          </w:p>
          <w:p w14:paraId="53F87437" w14:textId="77777777" w:rsidR="00AA4BAE" w:rsidRPr="00A61DFC" w:rsidRDefault="00AA4BAE" w:rsidP="00AA4BAE">
            <w:pPr>
              <w:pStyle w:val="ListParagraph"/>
              <w:numPr>
                <w:ilvl w:val="0"/>
                <w:numId w:val="17"/>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Ha cumplido con posicionar la temática de niñez y adolescencia en la agenda pública.</w:t>
            </w:r>
          </w:p>
          <w:p w14:paraId="411FE28A" w14:textId="297D4F43" w:rsidR="00AA4BAE" w:rsidRDefault="00AA4BAE" w:rsidP="00AA4BAE">
            <w:pPr>
              <w:pStyle w:val="ListParagraph"/>
              <w:numPr>
                <w:ilvl w:val="0"/>
                <w:numId w:val="17"/>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Concretó acciones clave en el marco de sus objetivos, como el desarrollo de una taxonomía de </w:t>
            </w:r>
            <w:r w:rsidRPr="00A61DFC">
              <w:rPr>
                <w:rFonts w:ascii="Open Sans Light" w:eastAsia="Open Sans Light" w:hAnsi="Open Sans Light" w:cs="Open Sans Light"/>
                <w:sz w:val="24"/>
                <w:szCs w:val="24"/>
              </w:rPr>
              <w:lastRenderedPageBreak/>
              <w:t>gasto público en la temática de infancia y adolescencia, así como el SIMONE.</w:t>
            </w:r>
          </w:p>
          <w:p w14:paraId="7D8F51C5" w14:textId="3FE9B512" w:rsidR="00C6754A" w:rsidRPr="00A61DFC" w:rsidRDefault="00C6754A" w:rsidP="00F04EDD">
            <w:pPr>
              <w:pStyle w:val="ListParagraph"/>
              <w:numPr>
                <w:ilvl w:val="0"/>
                <w:numId w:val="17"/>
              </w:numPr>
              <w:ind w:left="315" w:hanging="283"/>
              <w:jc w:val="both"/>
              <w:rPr>
                <w:rFonts w:ascii="Open Sans Light" w:eastAsia="Open Sans Light" w:hAnsi="Open Sans Light" w:cs="Open Sans Light"/>
                <w:sz w:val="24"/>
                <w:szCs w:val="24"/>
              </w:rPr>
            </w:pPr>
            <w:r>
              <w:rPr>
                <w:rFonts w:ascii="Open Sans Light" w:eastAsia="Open Sans Light" w:hAnsi="Open Sans Light" w:cs="Open Sans Light"/>
                <w:sz w:val="24"/>
                <w:szCs w:val="24"/>
              </w:rPr>
              <w:t>Línea de trabajo de Comisión Multisectorial llamada La Estrategia de Acción Social con Sostenibilidad (EASS)</w:t>
            </w:r>
          </w:p>
        </w:tc>
      </w:tr>
      <w:tr w:rsidR="00EC7A4C" w:rsidRPr="00EC7A4C" w14:paraId="0ACEAE97" w14:textId="77777777" w:rsidTr="00DA42C9">
        <w:trPr>
          <w:trHeight w:val="285"/>
        </w:trPr>
        <w:tc>
          <w:tcPr>
            <w:tcW w:w="2405" w:type="dxa"/>
          </w:tcPr>
          <w:p w14:paraId="1CB9C0CC" w14:textId="77777777" w:rsidR="00AA4BAE" w:rsidRPr="00A61DFC" w:rsidRDefault="00AA4BAE" w:rsidP="00DA42C9">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lastRenderedPageBreak/>
              <w:t xml:space="preserve">Limitaciones </w:t>
            </w:r>
          </w:p>
        </w:tc>
        <w:tc>
          <w:tcPr>
            <w:tcW w:w="6127" w:type="dxa"/>
          </w:tcPr>
          <w:p w14:paraId="1D26220F" w14:textId="209376E2" w:rsidR="00AA4BAE" w:rsidRPr="00A61DFC" w:rsidRDefault="00AA4BAE" w:rsidP="00AA4BAE">
            <w:pPr>
              <w:pStyle w:val="ListParagraph"/>
              <w:numPr>
                <w:ilvl w:val="0"/>
                <w:numId w:val="18"/>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Algunos sectores no conocen a cabalidad el nivel de involucramiento que les corresponde en el marco de lo establecido en 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Por ejemplo, algunos actores entrevistados tenían la percepción de que su sector no era responsable directo de ningún resultado esperado cuando el plan aprobado sí lo señalaba como corresponsable de al menos un resultado esperado.  </w:t>
            </w:r>
          </w:p>
          <w:p w14:paraId="5AF56C05" w14:textId="6181C68A" w:rsidR="00AA4BAE" w:rsidRPr="00A61DFC" w:rsidRDefault="00AA4BAE" w:rsidP="00AA4BAE">
            <w:pPr>
              <w:pStyle w:val="ListParagraph"/>
              <w:numPr>
                <w:ilvl w:val="0"/>
                <w:numId w:val="18"/>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Alta rotación de representantes de la Comisión limitó la implementación de la agenda programática de seguimiento a los resultados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w:t>
            </w:r>
          </w:p>
          <w:p w14:paraId="143DDC1A" w14:textId="77777777" w:rsidR="00AA4BAE" w:rsidRPr="00A61DFC" w:rsidRDefault="00AA4BAE" w:rsidP="00AA4BAE">
            <w:pPr>
              <w:pStyle w:val="ListParagraph"/>
              <w:numPr>
                <w:ilvl w:val="0"/>
                <w:numId w:val="18"/>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La agenda de la Comisión era muy volátil al contexto político y no siempre se percibía una vinculación entre las sesiones.</w:t>
            </w:r>
          </w:p>
          <w:p w14:paraId="24319495" w14:textId="77777777" w:rsidR="00AA4BAE" w:rsidRPr="00A61DFC" w:rsidRDefault="00AA4BAE" w:rsidP="00AA4BAE">
            <w:pPr>
              <w:pStyle w:val="ListParagraph"/>
              <w:numPr>
                <w:ilvl w:val="0"/>
                <w:numId w:val="18"/>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Los integrantes de la CMP no siempre manifestaban las acciones específicas que realizaban para el cumplimiento de los compromisos acordados, por lo que no se podía verificar su avance.</w:t>
            </w:r>
          </w:p>
          <w:p w14:paraId="1D1DE861" w14:textId="77777777" w:rsidR="00AA4BAE" w:rsidRPr="00A61DFC" w:rsidRDefault="00AA4BAE" w:rsidP="00AA4BAE">
            <w:pPr>
              <w:pStyle w:val="ListParagraph"/>
              <w:numPr>
                <w:ilvl w:val="0"/>
                <w:numId w:val="18"/>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Existe la percepción de que los Subgrupos de trabajo no necesariamente están posicionados como prioridad en las agendas sectoriales.</w:t>
            </w:r>
          </w:p>
          <w:p w14:paraId="1F689952" w14:textId="77777777" w:rsidR="00AA4BAE" w:rsidRPr="00A61DFC" w:rsidRDefault="00AA4BAE" w:rsidP="00AA4BAE">
            <w:pPr>
              <w:pStyle w:val="ListParagraph"/>
              <w:numPr>
                <w:ilvl w:val="0"/>
                <w:numId w:val="18"/>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No siempre se contaba con información a nivel nacional, departamental, provincial y distrital, lo cual limitaba las acciones de seguimiento y toma de decisiones.</w:t>
            </w:r>
          </w:p>
        </w:tc>
      </w:tr>
      <w:tr w:rsidR="00EC7A4C" w:rsidRPr="00EC7A4C" w14:paraId="7ACE4B45" w14:textId="77777777" w:rsidTr="00D5679C">
        <w:trPr>
          <w:trHeight w:val="4397"/>
        </w:trPr>
        <w:tc>
          <w:tcPr>
            <w:tcW w:w="2405" w:type="dxa"/>
          </w:tcPr>
          <w:p w14:paraId="360C9B7E" w14:textId="77777777" w:rsidR="00AA4BAE" w:rsidRPr="00A61DFC" w:rsidRDefault="00AA4BAE" w:rsidP="00DA42C9">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lastRenderedPageBreak/>
              <w:t>Recomendaciones</w:t>
            </w:r>
          </w:p>
        </w:tc>
        <w:tc>
          <w:tcPr>
            <w:tcW w:w="6127" w:type="dxa"/>
          </w:tcPr>
          <w:p w14:paraId="1CB5F2F0" w14:textId="77777777" w:rsidR="00AA4BAE" w:rsidRPr="00A61DFC" w:rsidRDefault="00AA4BAE" w:rsidP="00AA4BAE">
            <w:pPr>
              <w:pStyle w:val="ListParagraph"/>
              <w:numPr>
                <w:ilvl w:val="0"/>
                <w:numId w:val="19"/>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Mantener vigente la Comisión Multisectorial con una representación a través de los viceministerios.</w:t>
            </w:r>
          </w:p>
          <w:p w14:paraId="0B35A394" w14:textId="77777777" w:rsidR="00AA4BAE" w:rsidRPr="00A61DFC" w:rsidRDefault="00AA4BAE" w:rsidP="00AA4BAE">
            <w:pPr>
              <w:pStyle w:val="ListParagraph"/>
              <w:numPr>
                <w:ilvl w:val="0"/>
                <w:numId w:val="19"/>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Fortalecer los sistemas de monitoreo en los sectores con recursos humanos más amplios especialmente dedicados a las políticas e intervenciones de infancia.</w:t>
            </w:r>
          </w:p>
          <w:p w14:paraId="23D115B2" w14:textId="77777777" w:rsidR="00AA4BAE" w:rsidRPr="00A61DFC" w:rsidRDefault="00AA4BAE" w:rsidP="00AA4BAE">
            <w:pPr>
              <w:pStyle w:val="ListParagraph"/>
              <w:numPr>
                <w:ilvl w:val="0"/>
                <w:numId w:val="19"/>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Elaborar productos de carácter intersectorial en las Subcomisiones de trabajo, con el objetivo de fortalecer la articulación y el compromiso de las instancias.</w:t>
            </w:r>
          </w:p>
          <w:p w14:paraId="273A1898" w14:textId="0917DC26" w:rsidR="00AA4BAE" w:rsidRPr="00A61DFC" w:rsidRDefault="00AA4BAE" w:rsidP="00AA4BAE">
            <w:pPr>
              <w:pStyle w:val="ListParagraph"/>
              <w:numPr>
                <w:ilvl w:val="0"/>
                <w:numId w:val="19"/>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Convocar a autoridades regionales y locales a las sesiones de la CMP para escuchar las dificultades en la implementación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en sus territorios y elaborar estrategias para la mejora.</w:t>
            </w:r>
          </w:p>
        </w:tc>
      </w:tr>
    </w:tbl>
    <w:p w14:paraId="572A7DEA" w14:textId="77777777" w:rsidR="00AA4BAE" w:rsidRPr="00A61DFC" w:rsidRDefault="00AA4BAE" w:rsidP="00AA4BAE">
      <w:pPr>
        <w:spacing w:after="0" w:line="240" w:lineRule="auto"/>
        <w:jc w:val="both"/>
        <w:rPr>
          <w:rFonts w:ascii="Open Sans Light" w:eastAsia="Open Sans Light" w:hAnsi="Open Sans Light" w:cs="Open Sans Light"/>
          <w:sz w:val="24"/>
          <w:szCs w:val="24"/>
        </w:rPr>
      </w:pPr>
    </w:p>
    <w:p w14:paraId="4DCE356E" w14:textId="303D1D00" w:rsidR="00CE1E8B" w:rsidRDefault="008A3452" w:rsidP="0066172E">
      <w:pPr>
        <w:spacing w:line="240" w:lineRule="auto"/>
        <w:jc w:val="both"/>
        <w:rPr>
          <w:rFonts w:ascii="Open Sans Light" w:eastAsia="Open Sans Light" w:hAnsi="Open Sans Light" w:cs="Open Sans Light"/>
          <w:sz w:val="24"/>
          <w:szCs w:val="24"/>
        </w:rPr>
      </w:pPr>
      <w:r>
        <w:rPr>
          <w:rFonts w:ascii="Open Sans Light" w:eastAsia="Open Sans Light" w:hAnsi="Open Sans Light" w:cs="Open Sans Light"/>
          <w:sz w:val="24"/>
          <w:szCs w:val="24"/>
        </w:rPr>
        <w:t xml:space="preserve">Por otro lado, la subcomisión del Resultado Esperado número 14: “Las y los Adolescentes no son objeto de explotación sexual”, </w:t>
      </w:r>
      <w:r w:rsidR="0085086D">
        <w:rPr>
          <w:rFonts w:ascii="Open Sans Light" w:eastAsia="Open Sans Light" w:hAnsi="Open Sans Light" w:cs="Open Sans Light"/>
          <w:sz w:val="24"/>
          <w:szCs w:val="24"/>
        </w:rPr>
        <w:t xml:space="preserve">en vista de la carencia de línea de base sobre este problema, </w:t>
      </w:r>
      <w:r>
        <w:rPr>
          <w:rFonts w:ascii="Open Sans Light" w:eastAsia="Open Sans Light" w:hAnsi="Open Sans Light" w:cs="Open Sans Light"/>
          <w:sz w:val="24"/>
          <w:szCs w:val="24"/>
        </w:rPr>
        <w:t xml:space="preserve">impulsó planes de trabajo enfocados </w:t>
      </w:r>
      <w:r w:rsidR="00C56200">
        <w:rPr>
          <w:rFonts w:ascii="Open Sans Light" w:eastAsia="Open Sans Light" w:hAnsi="Open Sans Light" w:cs="Open Sans Light"/>
          <w:sz w:val="24"/>
          <w:szCs w:val="24"/>
        </w:rPr>
        <w:t>en la identificación y diferenciación entre explotación sexual y la trata de personas</w:t>
      </w:r>
      <w:r w:rsidR="0085086D">
        <w:rPr>
          <w:rFonts w:ascii="Open Sans Light" w:eastAsia="Open Sans Light" w:hAnsi="Open Sans Light" w:cs="Open Sans Light"/>
          <w:sz w:val="24"/>
          <w:szCs w:val="24"/>
        </w:rPr>
        <w:t xml:space="preserve">. </w:t>
      </w:r>
    </w:p>
    <w:p w14:paraId="71368A1B" w14:textId="0A33F87C" w:rsidR="001759EE" w:rsidRDefault="00AA4BAE" w:rsidP="00EE22BE">
      <w:pPr>
        <w:spacing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En líneas generales, existe una valoración positiva sobre la CMP como espacio de articulación intersectorial para el seguimiento y evaluación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en la que resaltaron como principales logros los reportes anuales de seguimiento, la creación del SIMONE y el posicionamiento de la temática de NNA en la agenda pública. No obstante, varias personas entrevistadas coincidieron en distintas limitaciones en la implementación del CMP como, por ejemplo, la disponibilidad de información desagregada a nivel territorial y el hecho de no tener definido procesos para demostrar el cumplimiento de los compromisos producto de las sesiones.</w:t>
      </w:r>
      <w:r w:rsidR="001759EE">
        <w:rPr>
          <w:rFonts w:ascii="Open Sans Light" w:eastAsia="Open Sans Light" w:hAnsi="Open Sans Light" w:cs="Open Sans Light"/>
          <w:sz w:val="24"/>
          <w:szCs w:val="24"/>
        </w:rPr>
        <w:t xml:space="preserve"> </w:t>
      </w:r>
    </w:p>
    <w:p w14:paraId="6C15F582" w14:textId="4EBB43BB" w:rsidR="00AA4BAE" w:rsidRPr="00A61DFC" w:rsidRDefault="00EB4DA0" w:rsidP="00F03883">
      <w:pPr>
        <w:spacing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En relación con</w:t>
      </w:r>
      <w:r w:rsidR="00AA4BAE" w:rsidRPr="00A61DFC">
        <w:rPr>
          <w:rFonts w:ascii="Open Sans Light" w:eastAsia="Open Sans Light" w:hAnsi="Open Sans Light" w:cs="Open Sans Light"/>
          <w:sz w:val="24"/>
          <w:szCs w:val="24"/>
        </w:rPr>
        <w:t xml:space="preserve"> los logros y limitaciones identificados, es importante resaltar que las personas entrevistadas enfatizaron la necesidad de fortalecer la articulación intergubernamental y no solo la intersectorial, dado que se requiere de los distintos niveles de gobiernos para el logro de los resultados esperados.</w:t>
      </w:r>
    </w:p>
    <w:p w14:paraId="21787D08" w14:textId="7A827395" w:rsidR="00AA4BAE" w:rsidRDefault="00AA4BAE" w:rsidP="00F03883">
      <w:pPr>
        <w:spacing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Adicionalmente de las entrevistas realizadas, se consideró medir, de manera aproximada, el compromiso de los sectores miembros del CMP con 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a través de la asistencia a las sesiones de, al menos, un representante designado. Por ello, a partir de las actas de la CMP, se sistematizaron las asistencias de titulares y alternos de las entidades públicas, sin considerar a las instituciones invitadas. Entre 2012 y 2021, la CMP realizó 68 </w:t>
      </w:r>
      <w:r w:rsidRPr="00A61DFC">
        <w:rPr>
          <w:rFonts w:ascii="Open Sans Light" w:eastAsia="Open Sans Light" w:hAnsi="Open Sans Light" w:cs="Open Sans Light"/>
          <w:sz w:val="24"/>
          <w:szCs w:val="24"/>
        </w:rPr>
        <w:lastRenderedPageBreak/>
        <w:t>sesiones, con un rango de 6 a 8 sesiones anuales. Al respecto, se identificó que ciertos sectores tuvieron mayor presencia en las sesiones de la Comisión, tales como MIMP, MINJUSDH, MTC e INEI, mientras que existen 6 entidades con menos del 50% de asistencia.</w:t>
      </w:r>
    </w:p>
    <w:p w14:paraId="7F93A43C" w14:textId="2C8F45AD" w:rsidR="00AA4BAE" w:rsidRPr="00A61DFC" w:rsidRDefault="005B49BF" w:rsidP="00F03883">
      <w:pPr>
        <w:spacing w:line="240" w:lineRule="auto"/>
        <w:jc w:val="both"/>
        <w:rPr>
          <w:rFonts w:ascii="Open Sans Light" w:eastAsia="Open Sans Light" w:hAnsi="Open Sans Light" w:cs="Open Sans Light"/>
          <w:b/>
          <w:bCs/>
          <w:sz w:val="24"/>
          <w:szCs w:val="24"/>
        </w:rPr>
      </w:pPr>
      <w:r>
        <w:rPr>
          <w:rFonts w:ascii="Open Sans Light" w:eastAsia="Open Sans Light" w:hAnsi="Open Sans Light" w:cs="Open Sans Light"/>
          <w:sz w:val="24"/>
          <w:szCs w:val="24"/>
        </w:rPr>
        <w:t xml:space="preserve">También es pertinente señalar que, en las sesiones realizadas con los </w:t>
      </w:r>
      <w:r w:rsidRPr="00A61DFC">
        <w:rPr>
          <w:rFonts w:ascii="Open Sans Light" w:eastAsia="Open Sans Light" w:hAnsi="Open Sans Light" w:cs="Open Sans Light"/>
          <w:sz w:val="24"/>
          <w:szCs w:val="24"/>
        </w:rPr>
        <w:t>sectores miembros del CMP</w:t>
      </w:r>
      <w:r>
        <w:rPr>
          <w:rFonts w:ascii="Open Sans Light" w:eastAsia="Open Sans Light" w:hAnsi="Open Sans Light" w:cs="Open Sans Light"/>
          <w:sz w:val="24"/>
          <w:szCs w:val="24"/>
        </w:rPr>
        <w:t xml:space="preserve">, algunos miembros </w:t>
      </w:r>
      <w:r w:rsidR="00CF4A43">
        <w:rPr>
          <w:rFonts w:ascii="Open Sans Light" w:eastAsia="Open Sans Light" w:hAnsi="Open Sans Light" w:cs="Open Sans Light"/>
          <w:sz w:val="24"/>
          <w:szCs w:val="24"/>
        </w:rPr>
        <w:t xml:space="preserve">tuvieron </w:t>
      </w:r>
      <w:r>
        <w:rPr>
          <w:rFonts w:ascii="Open Sans Light" w:eastAsia="Open Sans Light" w:hAnsi="Open Sans Light" w:cs="Open Sans Light"/>
          <w:sz w:val="24"/>
          <w:szCs w:val="24"/>
        </w:rPr>
        <w:t>baja asistencia por debajo de 5% (</w:t>
      </w:r>
      <w:r w:rsidRPr="00D717B8">
        <w:rPr>
          <w:rFonts w:ascii="Open Sans Light" w:eastAsia="Open Sans Light" w:hAnsi="Open Sans Light" w:cs="Open Sans Light"/>
          <w:sz w:val="24"/>
          <w:szCs w:val="24"/>
        </w:rPr>
        <w:t xml:space="preserve">véase </w:t>
      </w:r>
      <w:r w:rsidRPr="004D0E60">
        <w:rPr>
          <w:rFonts w:ascii="Open Sans Light" w:eastAsia="Open Sans Light" w:hAnsi="Open Sans Light" w:cs="Open Sans Light"/>
          <w:sz w:val="24"/>
          <w:szCs w:val="24"/>
        </w:rPr>
        <w:t xml:space="preserve">Tabla </w:t>
      </w:r>
      <w:r w:rsidR="009C1BBA" w:rsidRPr="004D0E60">
        <w:rPr>
          <w:rFonts w:ascii="Open Sans Light" w:eastAsia="Open Sans Light" w:hAnsi="Open Sans Light" w:cs="Open Sans Light"/>
          <w:sz w:val="24"/>
          <w:szCs w:val="24"/>
        </w:rPr>
        <w:t>12</w:t>
      </w:r>
      <w:r w:rsidRPr="004D0E60">
        <w:rPr>
          <w:rFonts w:ascii="Open Sans Light" w:eastAsia="Open Sans Light" w:hAnsi="Open Sans Light" w:cs="Open Sans Light"/>
          <w:sz w:val="24"/>
          <w:szCs w:val="24"/>
        </w:rPr>
        <w:t>), es</w:t>
      </w:r>
      <w:r>
        <w:rPr>
          <w:rFonts w:ascii="Open Sans Light" w:eastAsia="Open Sans Light" w:hAnsi="Open Sans Light" w:cs="Open Sans Light"/>
          <w:sz w:val="24"/>
          <w:szCs w:val="24"/>
        </w:rPr>
        <w:t xml:space="preserve"> decir de las 68 sesiones entre 2012-2021, solo asistieron a 3 sesiones. Respecto a la última sesión realizada el presente año, 3 sectores miembros</w:t>
      </w:r>
      <w:r w:rsidRPr="00A61DFC">
        <w:rPr>
          <w:rFonts w:ascii="Open Sans Light" w:eastAsia="Open Sans Light" w:hAnsi="Open Sans Light" w:cs="Open Sans Light"/>
          <w:sz w:val="24"/>
          <w:szCs w:val="24"/>
        </w:rPr>
        <w:t xml:space="preserve"> del CMP</w:t>
      </w:r>
      <w:r>
        <w:rPr>
          <w:rFonts w:ascii="Open Sans Light" w:eastAsia="Open Sans Light" w:hAnsi="Open Sans Light" w:cs="Open Sans Light"/>
          <w:sz w:val="24"/>
          <w:szCs w:val="24"/>
        </w:rPr>
        <w:t xml:space="preserve"> no estuvieron presentes en ninguna de las sesiones.</w:t>
      </w:r>
    </w:p>
    <w:p w14:paraId="499CA235" w14:textId="2C72445C" w:rsidR="00074B87" w:rsidRPr="00EC7A4C" w:rsidRDefault="00D717B8" w:rsidP="00074B87">
      <w:pPr>
        <w:pStyle w:val="ESTILOTABLA"/>
        <w:rPr>
          <w:i w:val="0"/>
        </w:rPr>
      </w:pPr>
      <w:r w:rsidRPr="00E1753D">
        <w:t xml:space="preserve">Tabla </w:t>
      </w:r>
      <w:r w:rsidR="00354646">
        <w:fldChar w:fldCharType="begin"/>
      </w:r>
      <w:r w:rsidR="00354646">
        <w:instrText xml:space="preserve"> SEQ Tabla \* ARABIC </w:instrText>
      </w:r>
      <w:r w:rsidR="00354646">
        <w:fldChar w:fldCharType="separate"/>
      </w:r>
      <w:r w:rsidR="00846FB2">
        <w:rPr>
          <w:noProof/>
        </w:rPr>
        <w:t>12</w:t>
      </w:r>
      <w:r w:rsidR="00354646">
        <w:rPr>
          <w:noProof/>
        </w:rPr>
        <w:fldChar w:fldCharType="end"/>
      </w:r>
      <w:r w:rsidRPr="00E1753D">
        <w:t>.</w:t>
      </w:r>
      <w:r w:rsidRPr="00E1753D">
        <w:rPr>
          <w:rFonts w:eastAsia="Open Sans Light"/>
          <w:b/>
          <w:color w:val="000000"/>
          <w:szCs w:val="24"/>
        </w:rPr>
        <w:t xml:space="preserve"> </w:t>
      </w:r>
      <w:r w:rsidR="00074B87" w:rsidRPr="004D0E60">
        <w:rPr>
          <w:rFonts w:eastAsia="Open Sans Light"/>
          <w:b/>
          <w:bCs/>
          <w:szCs w:val="24"/>
        </w:rPr>
        <w:t>Asistencia al menos un representante a las sesiones del CMP</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2"/>
        <w:gridCol w:w="4414"/>
        <w:gridCol w:w="1213"/>
        <w:gridCol w:w="1213"/>
        <w:gridCol w:w="1262"/>
      </w:tblGrid>
      <w:tr w:rsidR="00EC7A4C" w:rsidRPr="00EC7A4C" w14:paraId="4CA38847" w14:textId="77777777" w:rsidTr="00F04EDD">
        <w:trPr>
          <w:trHeight w:val="290"/>
          <w:tblHeader/>
          <w:jc w:val="center"/>
        </w:trPr>
        <w:tc>
          <w:tcPr>
            <w:tcW w:w="392" w:type="dxa"/>
            <w:shd w:val="clear" w:color="auto" w:fill="000000" w:themeFill="text1"/>
          </w:tcPr>
          <w:p w14:paraId="5E108543"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p>
        </w:tc>
        <w:tc>
          <w:tcPr>
            <w:tcW w:w="4414" w:type="dxa"/>
            <w:shd w:val="clear" w:color="auto" w:fill="000000" w:themeFill="text1"/>
            <w:noWrap/>
            <w:vAlign w:val="center"/>
            <w:hideMark/>
          </w:tcPr>
          <w:p w14:paraId="3AD531BC"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r w:rsidRPr="00A61DFC">
              <w:rPr>
                <w:rFonts w:ascii="Open Sans Light" w:eastAsia="Times New Roman" w:hAnsi="Open Sans Light" w:cs="Open Sans Light"/>
                <w:b/>
                <w:bCs/>
                <w:lang w:val="es-PE"/>
              </w:rPr>
              <w:t>Entidad</w:t>
            </w:r>
          </w:p>
        </w:tc>
        <w:tc>
          <w:tcPr>
            <w:tcW w:w="1213" w:type="dxa"/>
            <w:shd w:val="clear" w:color="auto" w:fill="000000" w:themeFill="text1"/>
            <w:noWrap/>
            <w:vAlign w:val="center"/>
            <w:hideMark/>
          </w:tcPr>
          <w:p w14:paraId="1FE1BD56"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r w:rsidRPr="00A61DFC">
              <w:rPr>
                <w:rFonts w:ascii="Open Sans Light" w:eastAsia="Times New Roman" w:hAnsi="Open Sans Light" w:cs="Open Sans Light"/>
                <w:b/>
                <w:bCs/>
                <w:lang w:val="es-PE"/>
              </w:rPr>
              <w:t>Total de sesiones</w:t>
            </w:r>
          </w:p>
        </w:tc>
        <w:tc>
          <w:tcPr>
            <w:tcW w:w="1213" w:type="dxa"/>
            <w:shd w:val="clear" w:color="auto" w:fill="000000" w:themeFill="text1"/>
            <w:noWrap/>
            <w:vAlign w:val="center"/>
            <w:hideMark/>
          </w:tcPr>
          <w:p w14:paraId="32293D06"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r w:rsidRPr="00A61DFC">
              <w:rPr>
                <w:rFonts w:ascii="Open Sans Light" w:eastAsia="Times New Roman" w:hAnsi="Open Sans Light" w:cs="Open Sans Light"/>
                <w:b/>
                <w:bCs/>
                <w:lang w:val="es-PE"/>
              </w:rPr>
              <w:t>Sesiones asistidas</w:t>
            </w:r>
          </w:p>
        </w:tc>
        <w:tc>
          <w:tcPr>
            <w:tcW w:w="1262" w:type="dxa"/>
            <w:shd w:val="clear" w:color="auto" w:fill="000000" w:themeFill="text1"/>
            <w:noWrap/>
            <w:vAlign w:val="center"/>
            <w:hideMark/>
          </w:tcPr>
          <w:p w14:paraId="7316CC2B"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r w:rsidRPr="00A61DFC">
              <w:rPr>
                <w:rFonts w:ascii="Open Sans Light" w:eastAsia="Times New Roman" w:hAnsi="Open Sans Light" w:cs="Open Sans Light"/>
                <w:b/>
                <w:bCs/>
                <w:lang w:val="es-PE"/>
              </w:rPr>
              <w:t>Porcentaje de asistencia</w:t>
            </w:r>
          </w:p>
        </w:tc>
      </w:tr>
      <w:tr w:rsidR="00EC7A4C" w:rsidRPr="00EC7A4C" w14:paraId="120D0955" w14:textId="77777777" w:rsidTr="00F04EDD">
        <w:trPr>
          <w:trHeight w:val="290"/>
          <w:jc w:val="center"/>
        </w:trPr>
        <w:tc>
          <w:tcPr>
            <w:tcW w:w="392" w:type="dxa"/>
          </w:tcPr>
          <w:p w14:paraId="38AFF2F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w:t>
            </w:r>
          </w:p>
        </w:tc>
        <w:tc>
          <w:tcPr>
            <w:tcW w:w="4414" w:type="dxa"/>
            <w:shd w:val="clear" w:color="auto" w:fill="auto"/>
            <w:noWrap/>
            <w:vAlign w:val="center"/>
            <w:hideMark/>
          </w:tcPr>
          <w:p w14:paraId="5108F28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MIMP</w:t>
            </w:r>
          </w:p>
        </w:tc>
        <w:tc>
          <w:tcPr>
            <w:tcW w:w="1213" w:type="dxa"/>
            <w:shd w:val="clear" w:color="auto" w:fill="auto"/>
            <w:noWrap/>
          </w:tcPr>
          <w:p w14:paraId="5F4C139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04990BDC" w14:textId="26719492"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w:t>
            </w:r>
            <w:r w:rsidR="003A64D6">
              <w:rPr>
                <w:rFonts w:ascii="Open Sans Light" w:eastAsia="Times New Roman" w:hAnsi="Open Sans Light" w:cs="Open Sans Light"/>
                <w:lang w:val="es-PE"/>
              </w:rPr>
              <w:t>8</w:t>
            </w:r>
          </w:p>
        </w:tc>
        <w:tc>
          <w:tcPr>
            <w:tcW w:w="1262" w:type="dxa"/>
            <w:shd w:val="clear" w:color="auto" w:fill="E7E6E6" w:themeFill="background2"/>
            <w:noWrap/>
            <w:vAlign w:val="center"/>
            <w:hideMark/>
          </w:tcPr>
          <w:p w14:paraId="7E68B5A2" w14:textId="6E5D7E20" w:rsidR="00AA4BAE" w:rsidRPr="00A61DFC" w:rsidRDefault="003A64D6" w:rsidP="00DA42C9">
            <w:pPr>
              <w:spacing w:after="0" w:line="240" w:lineRule="auto"/>
              <w:jc w:val="center"/>
              <w:rPr>
                <w:rFonts w:ascii="Open Sans Light" w:eastAsia="Times New Roman" w:hAnsi="Open Sans Light" w:cs="Open Sans Light"/>
                <w:lang w:val="es-PE"/>
              </w:rPr>
            </w:pPr>
            <w:r>
              <w:rPr>
                <w:rFonts w:ascii="Open Sans Light" w:eastAsia="Times New Roman" w:hAnsi="Open Sans Light" w:cs="Open Sans Light"/>
                <w:lang w:val="es-PE"/>
              </w:rPr>
              <w:t>100</w:t>
            </w:r>
            <w:r w:rsidR="00AA4BAE" w:rsidRPr="00A61DFC">
              <w:rPr>
                <w:rFonts w:ascii="Open Sans Light" w:eastAsia="Times New Roman" w:hAnsi="Open Sans Light" w:cs="Open Sans Light"/>
                <w:lang w:val="es-PE"/>
              </w:rPr>
              <w:t>%</w:t>
            </w:r>
          </w:p>
        </w:tc>
      </w:tr>
      <w:tr w:rsidR="00EC7A4C" w:rsidRPr="00EC7A4C" w14:paraId="094AF43E" w14:textId="77777777" w:rsidTr="00F04EDD">
        <w:trPr>
          <w:trHeight w:val="290"/>
          <w:jc w:val="center"/>
        </w:trPr>
        <w:tc>
          <w:tcPr>
            <w:tcW w:w="392" w:type="dxa"/>
          </w:tcPr>
          <w:p w14:paraId="192BB09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2</w:t>
            </w:r>
          </w:p>
        </w:tc>
        <w:tc>
          <w:tcPr>
            <w:tcW w:w="4414" w:type="dxa"/>
            <w:shd w:val="clear" w:color="auto" w:fill="auto"/>
            <w:noWrap/>
            <w:vAlign w:val="center"/>
          </w:tcPr>
          <w:p w14:paraId="3C213E0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MINJUSDH</w:t>
            </w:r>
          </w:p>
        </w:tc>
        <w:tc>
          <w:tcPr>
            <w:tcW w:w="1213" w:type="dxa"/>
            <w:shd w:val="clear" w:color="auto" w:fill="auto"/>
            <w:noWrap/>
          </w:tcPr>
          <w:p w14:paraId="6254A75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64A3D16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61</w:t>
            </w:r>
          </w:p>
        </w:tc>
        <w:tc>
          <w:tcPr>
            <w:tcW w:w="1262" w:type="dxa"/>
            <w:shd w:val="clear" w:color="auto" w:fill="E7E6E6" w:themeFill="background2"/>
            <w:noWrap/>
            <w:vAlign w:val="center"/>
          </w:tcPr>
          <w:p w14:paraId="7BA5235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90%</w:t>
            </w:r>
          </w:p>
        </w:tc>
      </w:tr>
      <w:tr w:rsidR="00EC7A4C" w:rsidRPr="00EC7A4C" w14:paraId="5A9A4C02" w14:textId="77777777" w:rsidTr="00F04EDD">
        <w:trPr>
          <w:trHeight w:val="290"/>
          <w:jc w:val="center"/>
        </w:trPr>
        <w:tc>
          <w:tcPr>
            <w:tcW w:w="392" w:type="dxa"/>
          </w:tcPr>
          <w:p w14:paraId="1B88A46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w:t>
            </w:r>
          </w:p>
        </w:tc>
        <w:tc>
          <w:tcPr>
            <w:tcW w:w="4414" w:type="dxa"/>
            <w:shd w:val="clear" w:color="auto" w:fill="auto"/>
            <w:noWrap/>
            <w:vAlign w:val="center"/>
            <w:hideMark/>
          </w:tcPr>
          <w:p w14:paraId="6417A78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MTC</w:t>
            </w:r>
          </w:p>
        </w:tc>
        <w:tc>
          <w:tcPr>
            <w:tcW w:w="1213" w:type="dxa"/>
            <w:shd w:val="clear" w:color="auto" w:fill="auto"/>
            <w:noWrap/>
          </w:tcPr>
          <w:p w14:paraId="7A82FB5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0DF26C1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58</w:t>
            </w:r>
          </w:p>
        </w:tc>
        <w:tc>
          <w:tcPr>
            <w:tcW w:w="1262" w:type="dxa"/>
            <w:shd w:val="clear" w:color="auto" w:fill="E7E6E6" w:themeFill="background2"/>
            <w:noWrap/>
            <w:vAlign w:val="center"/>
          </w:tcPr>
          <w:p w14:paraId="28297C8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85%</w:t>
            </w:r>
          </w:p>
        </w:tc>
      </w:tr>
      <w:tr w:rsidR="00EC7A4C" w:rsidRPr="00EC7A4C" w14:paraId="53D26781" w14:textId="77777777" w:rsidTr="00F04EDD">
        <w:trPr>
          <w:trHeight w:val="290"/>
          <w:jc w:val="center"/>
        </w:trPr>
        <w:tc>
          <w:tcPr>
            <w:tcW w:w="392" w:type="dxa"/>
          </w:tcPr>
          <w:p w14:paraId="6C62DF3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w:t>
            </w:r>
          </w:p>
        </w:tc>
        <w:tc>
          <w:tcPr>
            <w:tcW w:w="4414" w:type="dxa"/>
            <w:shd w:val="clear" w:color="auto" w:fill="auto"/>
            <w:noWrap/>
            <w:vAlign w:val="center"/>
            <w:hideMark/>
          </w:tcPr>
          <w:p w14:paraId="281914F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INEI</w:t>
            </w:r>
          </w:p>
        </w:tc>
        <w:tc>
          <w:tcPr>
            <w:tcW w:w="1213" w:type="dxa"/>
            <w:shd w:val="clear" w:color="auto" w:fill="auto"/>
            <w:noWrap/>
          </w:tcPr>
          <w:p w14:paraId="65455FF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317EFDE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55</w:t>
            </w:r>
          </w:p>
        </w:tc>
        <w:tc>
          <w:tcPr>
            <w:tcW w:w="1262" w:type="dxa"/>
            <w:shd w:val="clear" w:color="auto" w:fill="E7E6E6" w:themeFill="background2"/>
            <w:noWrap/>
            <w:vAlign w:val="center"/>
          </w:tcPr>
          <w:p w14:paraId="6FDEDD0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81%</w:t>
            </w:r>
          </w:p>
        </w:tc>
      </w:tr>
      <w:tr w:rsidR="00EC7A4C" w:rsidRPr="00EC7A4C" w14:paraId="73797C80" w14:textId="77777777" w:rsidTr="00F04EDD">
        <w:trPr>
          <w:trHeight w:val="290"/>
          <w:jc w:val="center"/>
        </w:trPr>
        <w:tc>
          <w:tcPr>
            <w:tcW w:w="392" w:type="dxa"/>
          </w:tcPr>
          <w:p w14:paraId="49D9936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w:t>
            </w:r>
          </w:p>
        </w:tc>
        <w:tc>
          <w:tcPr>
            <w:tcW w:w="4414" w:type="dxa"/>
            <w:shd w:val="clear" w:color="auto" w:fill="auto"/>
            <w:noWrap/>
            <w:vAlign w:val="center"/>
          </w:tcPr>
          <w:p w14:paraId="3AF8EAE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MININTER</w:t>
            </w:r>
          </w:p>
        </w:tc>
        <w:tc>
          <w:tcPr>
            <w:tcW w:w="1213" w:type="dxa"/>
            <w:shd w:val="clear" w:color="auto" w:fill="auto"/>
            <w:noWrap/>
          </w:tcPr>
          <w:p w14:paraId="7A59606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51D38B1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52</w:t>
            </w:r>
          </w:p>
        </w:tc>
        <w:tc>
          <w:tcPr>
            <w:tcW w:w="1262" w:type="dxa"/>
            <w:shd w:val="clear" w:color="auto" w:fill="E7E6E6" w:themeFill="background2"/>
            <w:noWrap/>
            <w:vAlign w:val="center"/>
          </w:tcPr>
          <w:p w14:paraId="3B8B8BA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76%</w:t>
            </w:r>
          </w:p>
        </w:tc>
      </w:tr>
      <w:tr w:rsidR="00EC7A4C" w:rsidRPr="00EC7A4C" w14:paraId="5DD04F15" w14:textId="77777777" w:rsidTr="00F04EDD">
        <w:trPr>
          <w:trHeight w:val="290"/>
          <w:jc w:val="center"/>
        </w:trPr>
        <w:tc>
          <w:tcPr>
            <w:tcW w:w="392" w:type="dxa"/>
          </w:tcPr>
          <w:p w14:paraId="16AA3DD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w:t>
            </w:r>
          </w:p>
        </w:tc>
        <w:tc>
          <w:tcPr>
            <w:tcW w:w="4414" w:type="dxa"/>
            <w:shd w:val="clear" w:color="auto" w:fill="auto"/>
            <w:noWrap/>
            <w:vAlign w:val="center"/>
            <w:hideMark/>
          </w:tcPr>
          <w:p w14:paraId="1C1397B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RENIEC</w:t>
            </w:r>
          </w:p>
        </w:tc>
        <w:tc>
          <w:tcPr>
            <w:tcW w:w="1213" w:type="dxa"/>
            <w:shd w:val="clear" w:color="auto" w:fill="auto"/>
            <w:noWrap/>
          </w:tcPr>
          <w:p w14:paraId="36AFC77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1084938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51</w:t>
            </w:r>
          </w:p>
        </w:tc>
        <w:tc>
          <w:tcPr>
            <w:tcW w:w="1262" w:type="dxa"/>
            <w:shd w:val="clear" w:color="auto" w:fill="E7E6E6" w:themeFill="background2"/>
            <w:noWrap/>
            <w:vAlign w:val="center"/>
          </w:tcPr>
          <w:p w14:paraId="491C4D5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75%</w:t>
            </w:r>
          </w:p>
        </w:tc>
      </w:tr>
      <w:tr w:rsidR="00EC7A4C" w:rsidRPr="00EC7A4C" w14:paraId="317A9BB3" w14:textId="77777777" w:rsidTr="00F04EDD">
        <w:trPr>
          <w:trHeight w:val="290"/>
          <w:jc w:val="center"/>
        </w:trPr>
        <w:tc>
          <w:tcPr>
            <w:tcW w:w="392" w:type="dxa"/>
          </w:tcPr>
          <w:p w14:paraId="1B76CD3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w:t>
            </w:r>
          </w:p>
        </w:tc>
        <w:tc>
          <w:tcPr>
            <w:tcW w:w="4414" w:type="dxa"/>
            <w:shd w:val="clear" w:color="auto" w:fill="auto"/>
            <w:noWrap/>
            <w:vAlign w:val="center"/>
            <w:hideMark/>
          </w:tcPr>
          <w:p w14:paraId="37ABA91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MINSA</w:t>
            </w:r>
          </w:p>
        </w:tc>
        <w:tc>
          <w:tcPr>
            <w:tcW w:w="1213" w:type="dxa"/>
            <w:shd w:val="clear" w:color="auto" w:fill="auto"/>
            <w:noWrap/>
          </w:tcPr>
          <w:p w14:paraId="4F82F00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6D40505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48</w:t>
            </w:r>
          </w:p>
        </w:tc>
        <w:tc>
          <w:tcPr>
            <w:tcW w:w="1262" w:type="dxa"/>
            <w:shd w:val="clear" w:color="auto" w:fill="E7E6E6" w:themeFill="background2"/>
            <w:noWrap/>
            <w:vAlign w:val="center"/>
          </w:tcPr>
          <w:p w14:paraId="5756A16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71%</w:t>
            </w:r>
          </w:p>
        </w:tc>
      </w:tr>
      <w:tr w:rsidR="00EC7A4C" w:rsidRPr="00EC7A4C" w14:paraId="4425ACF6" w14:textId="77777777" w:rsidTr="00F04EDD">
        <w:trPr>
          <w:trHeight w:val="290"/>
          <w:jc w:val="center"/>
        </w:trPr>
        <w:tc>
          <w:tcPr>
            <w:tcW w:w="392" w:type="dxa"/>
          </w:tcPr>
          <w:p w14:paraId="47B3ED1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8</w:t>
            </w:r>
          </w:p>
        </w:tc>
        <w:tc>
          <w:tcPr>
            <w:tcW w:w="4414" w:type="dxa"/>
            <w:shd w:val="clear" w:color="auto" w:fill="auto"/>
            <w:noWrap/>
            <w:vAlign w:val="center"/>
          </w:tcPr>
          <w:p w14:paraId="5C9BFECC"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MINISTERIO PUBLICO</w:t>
            </w:r>
          </w:p>
        </w:tc>
        <w:tc>
          <w:tcPr>
            <w:tcW w:w="1213" w:type="dxa"/>
            <w:shd w:val="clear" w:color="auto" w:fill="auto"/>
            <w:noWrap/>
          </w:tcPr>
          <w:p w14:paraId="678AB7B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4FB6DEF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48</w:t>
            </w:r>
          </w:p>
        </w:tc>
        <w:tc>
          <w:tcPr>
            <w:tcW w:w="1262" w:type="dxa"/>
            <w:shd w:val="clear" w:color="auto" w:fill="E7E6E6" w:themeFill="background2"/>
            <w:noWrap/>
            <w:vAlign w:val="center"/>
          </w:tcPr>
          <w:p w14:paraId="3595854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71%</w:t>
            </w:r>
          </w:p>
        </w:tc>
      </w:tr>
      <w:tr w:rsidR="00EC7A4C" w:rsidRPr="00EC7A4C" w14:paraId="1BC0805C" w14:textId="77777777" w:rsidTr="00F04EDD">
        <w:trPr>
          <w:trHeight w:val="290"/>
          <w:jc w:val="center"/>
        </w:trPr>
        <w:tc>
          <w:tcPr>
            <w:tcW w:w="392" w:type="dxa"/>
          </w:tcPr>
          <w:p w14:paraId="7469227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9</w:t>
            </w:r>
          </w:p>
        </w:tc>
        <w:tc>
          <w:tcPr>
            <w:tcW w:w="4414" w:type="dxa"/>
            <w:shd w:val="clear" w:color="auto" w:fill="auto"/>
            <w:noWrap/>
            <w:vAlign w:val="center"/>
            <w:hideMark/>
          </w:tcPr>
          <w:p w14:paraId="005D46C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DEVIDA</w:t>
            </w:r>
          </w:p>
        </w:tc>
        <w:tc>
          <w:tcPr>
            <w:tcW w:w="1213" w:type="dxa"/>
            <w:shd w:val="clear" w:color="auto" w:fill="auto"/>
            <w:noWrap/>
          </w:tcPr>
          <w:p w14:paraId="1570A4F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1D74A64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48</w:t>
            </w:r>
          </w:p>
        </w:tc>
        <w:tc>
          <w:tcPr>
            <w:tcW w:w="1262" w:type="dxa"/>
            <w:shd w:val="clear" w:color="auto" w:fill="E7E6E6" w:themeFill="background2"/>
            <w:noWrap/>
            <w:vAlign w:val="center"/>
          </w:tcPr>
          <w:p w14:paraId="1F1C4CF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71%</w:t>
            </w:r>
          </w:p>
        </w:tc>
      </w:tr>
      <w:tr w:rsidR="00EC7A4C" w:rsidRPr="00EC7A4C" w14:paraId="7DC005C7" w14:textId="77777777" w:rsidTr="00F04EDD">
        <w:trPr>
          <w:trHeight w:val="290"/>
          <w:jc w:val="center"/>
        </w:trPr>
        <w:tc>
          <w:tcPr>
            <w:tcW w:w="392" w:type="dxa"/>
          </w:tcPr>
          <w:p w14:paraId="430915D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10</w:t>
            </w:r>
          </w:p>
        </w:tc>
        <w:tc>
          <w:tcPr>
            <w:tcW w:w="4414" w:type="dxa"/>
            <w:shd w:val="clear" w:color="auto" w:fill="auto"/>
            <w:noWrap/>
            <w:vAlign w:val="center"/>
          </w:tcPr>
          <w:p w14:paraId="4E980A2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MINAM</w:t>
            </w:r>
          </w:p>
        </w:tc>
        <w:tc>
          <w:tcPr>
            <w:tcW w:w="1213" w:type="dxa"/>
            <w:shd w:val="clear" w:color="auto" w:fill="auto"/>
            <w:noWrap/>
          </w:tcPr>
          <w:p w14:paraId="39CAA90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2EC42F9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47</w:t>
            </w:r>
          </w:p>
        </w:tc>
        <w:tc>
          <w:tcPr>
            <w:tcW w:w="1262" w:type="dxa"/>
            <w:shd w:val="clear" w:color="auto" w:fill="E7E6E6" w:themeFill="background2"/>
            <w:noWrap/>
            <w:vAlign w:val="center"/>
          </w:tcPr>
          <w:p w14:paraId="3763765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69%</w:t>
            </w:r>
          </w:p>
        </w:tc>
      </w:tr>
      <w:tr w:rsidR="00EC7A4C" w:rsidRPr="00EC7A4C" w14:paraId="2021C7FC" w14:textId="77777777" w:rsidTr="00F04EDD">
        <w:trPr>
          <w:trHeight w:val="290"/>
          <w:jc w:val="center"/>
        </w:trPr>
        <w:tc>
          <w:tcPr>
            <w:tcW w:w="392" w:type="dxa"/>
          </w:tcPr>
          <w:p w14:paraId="4AAA8E2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11</w:t>
            </w:r>
          </w:p>
        </w:tc>
        <w:tc>
          <w:tcPr>
            <w:tcW w:w="4414" w:type="dxa"/>
            <w:shd w:val="clear" w:color="auto" w:fill="auto"/>
            <w:noWrap/>
            <w:vAlign w:val="center"/>
          </w:tcPr>
          <w:p w14:paraId="0C1BD5D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MIDIS</w:t>
            </w:r>
          </w:p>
        </w:tc>
        <w:tc>
          <w:tcPr>
            <w:tcW w:w="1213" w:type="dxa"/>
            <w:shd w:val="clear" w:color="auto" w:fill="auto"/>
            <w:noWrap/>
          </w:tcPr>
          <w:p w14:paraId="22E68B7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01822F1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46</w:t>
            </w:r>
          </w:p>
        </w:tc>
        <w:tc>
          <w:tcPr>
            <w:tcW w:w="1262" w:type="dxa"/>
            <w:shd w:val="clear" w:color="auto" w:fill="E7E6E6" w:themeFill="background2"/>
            <w:noWrap/>
            <w:vAlign w:val="center"/>
          </w:tcPr>
          <w:p w14:paraId="7A54BE9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r>
      <w:tr w:rsidR="00EC7A4C" w:rsidRPr="00EC7A4C" w14:paraId="54035ECB" w14:textId="77777777" w:rsidTr="00F04EDD">
        <w:trPr>
          <w:trHeight w:val="290"/>
          <w:jc w:val="center"/>
        </w:trPr>
        <w:tc>
          <w:tcPr>
            <w:tcW w:w="392" w:type="dxa"/>
          </w:tcPr>
          <w:p w14:paraId="4B01D50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12</w:t>
            </w:r>
          </w:p>
        </w:tc>
        <w:tc>
          <w:tcPr>
            <w:tcW w:w="4414" w:type="dxa"/>
            <w:shd w:val="clear" w:color="auto" w:fill="auto"/>
            <w:noWrap/>
            <w:vAlign w:val="center"/>
          </w:tcPr>
          <w:p w14:paraId="2057510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MINEDU</w:t>
            </w:r>
          </w:p>
        </w:tc>
        <w:tc>
          <w:tcPr>
            <w:tcW w:w="1213" w:type="dxa"/>
            <w:shd w:val="clear" w:color="auto" w:fill="auto"/>
            <w:noWrap/>
          </w:tcPr>
          <w:p w14:paraId="50CB61D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2574493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46</w:t>
            </w:r>
          </w:p>
        </w:tc>
        <w:tc>
          <w:tcPr>
            <w:tcW w:w="1262" w:type="dxa"/>
            <w:shd w:val="clear" w:color="auto" w:fill="E7E6E6" w:themeFill="background2"/>
            <w:noWrap/>
            <w:vAlign w:val="center"/>
          </w:tcPr>
          <w:p w14:paraId="7929CF5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r>
      <w:tr w:rsidR="00EC7A4C" w:rsidRPr="00EC7A4C" w14:paraId="3A4D6891" w14:textId="77777777" w:rsidTr="00F04EDD">
        <w:trPr>
          <w:trHeight w:val="290"/>
          <w:jc w:val="center"/>
        </w:trPr>
        <w:tc>
          <w:tcPr>
            <w:tcW w:w="392" w:type="dxa"/>
          </w:tcPr>
          <w:p w14:paraId="2058821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13</w:t>
            </w:r>
          </w:p>
        </w:tc>
        <w:tc>
          <w:tcPr>
            <w:tcW w:w="4414" w:type="dxa"/>
            <w:shd w:val="clear" w:color="auto" w:fill="auto"/>
            <w:noWrap/>
            <w:vAlign w:val="center"/>
          </w:tcPr>
          <w:p w14:paraId="7E82845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PCM</w:t>
            </w:r>
          </w:p>
        </w:tc>
        <w:tc>
          <w:tcPr>
            <w:tcW w:w="1213" w:type="dxa"/>
            <w:shd w:val="clear" w:color="auto" w:fill="auto"/>
            <w:noWrap/>
          </w:tcPr>
          <w:p w14:paraId="701CDAD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1E04827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43</w:t>
            </w:r>
          </w:p>
        </w:tc>
        <w:tc>
          <w:tcPr>
            <w:tcW w:w="1262" w:type="dxa"/>
            <w:shd w:val="clear" w:color="auto" w:fill="E7E6E6" w:themeFill="background2"/>
            <w:noWrap/>
            <w:vAlign w:val="center"/>
          </w:tcPr>
          <w:p w14:paraId="2E0CC0C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64%</w:t>
            </w:r>
          </w:p>
        </w:tc>
      </w:tr>
      <w:tr w:rsidR="00EC7A4C" w:rsidRPr="00EC7A4C" w14:paraId="7EE40001" w14:textId="77777777" w:rsidTr="00F04EDD">
        <w:trPr>
          <w:trHeight w:val="290"/>
          <w:jc w:val="center"/>
        </w:trPr>
        <w:tc>
          <w:tcPr>
            <w:tcW w:w="392" w:type="dxa"/>
          </w:tcPr>
          <w:p w14:paraId="46B1525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14</w:t>
            </w:r>
          </w:p>
        </w:tc>
        <w:tc>
          <w:tcPr>
            <w:tcW w:w="4414" w:type="dxa"/>
            <w:shd w:val="clear" w:color="auto" w:fill="auto"/>
            <w:noWrap/>
            <w:vAlign w:val="center"/>
            <w:hideMark/>
          </w:tcPr>
          <w:p w14:paraId="1BB0173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MTPE</w:t>
            </w:r>
          </w:p>
        </w:tc>
        <w:tc>
          <w:tcPr>
            <w:tcW w:w="1213" w:type="dxa"/>
            <w:shd w:val="clear" w:color="auto" w:fill="auto"/>
            <w:noWrap/>
          </w:tcPr>
          <w:p w14:paraId="4D77636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782C8E9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42</w:t>
            </w:r>
          </w:p>
        </w:tc>
        <w:tc>
          <w:tcPr>
            <w:tcW w:w="1262" w:type="dxa"/>
            <w:shd w:val="clear" w:color="auto" w:fill="E7E6E6" w:themeFill="background2"/>
            <w:noWrap/>
            <w:vAlign w:val="center"/>
          </w:tcPr>
          <w:p w14:paraId="6067884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62%</w:t>
            </w:r>
          </w:p>
        </w:tc>
      </w:tr>
      <w:tr w:rsidR="00EC7A4C" w:rsidRPr="00EC7A4C" w14:paraId="699BFA2C" w14:textId="77777777" w:rsidTr="00F04EDD">
        <w:trPr>
          <w:trHeight w:val="290"/>
          <w:jc w:val="center"/>
        </w:trPr>
        <w:tc>
          <w:tcPr>
            <w:tcW w:w="392" w:type="dxa"/>
          </w:tcPr>
          <w:p w14:paraId="0BE11C0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15</w:t>
            </w:r>
          </w:p>
        </w:tc>
        <w:tc>
          <w:tcPr>
            <w:tcW w:w="4414" w:type="dxa"/>
            <w:shd w:val="clear" w:color="auto" w:fill="auto"/>
            <w:noWrap/>
            <w:vAlign w:val="center"/>
          </w:tcPr>
          <w:p w14:paraId="55FC0CB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PJ</w:t>
            </w:r>
          </w:p>
        </w:tc>
        <w:tc>
          <w:tcPr>
            <w:tcW w:w="1213" w:type="dxa"/>
            <w:shd w:val="clear" w:color="auto" w:fill="auto"/>
            <w:noWrap/>
          </w:tcPr>
          <w:p w14:paraId="41814EE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18BBEBA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40</w:t>
            </w:r>
          </w:p>
        </w:tc>
        <w:tc>
          <w:tcPr>
            <w:tcW w:w="1262" w:type="dxa"/>
            <w:shd w:val="clear" w:color="auto" w:fill="E7E6E6" w:themeFill="background2"/>
            <w:noWrap/>
            <w:vAlign w:val="center"/>
          </w:tcPr>
          <w:p w14:paraId="7C4B237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59%</w:t>
            </w:r>
          </w:p>
        </w:tc>
      </w:tr>
      <w:tr w:rsidR="00EC7A4C" w:rsidRPr="00EC7A4C" w14:paraId="50584E54" w14:textId="77777777" w:rsidTr="00F04EDD">
        <w:trPr>
          <w:trHeight w:val="290"/>
          <w:jc w:val="center"/>
        </w:trPr>
        <w:tc>
          <w:tcPr>
            <w:tcW w:w="392" w:type="dxa"/>
          </w:tcPr>
          <w:p w14:paraId="1FD94C8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16</w:t>
            </w:r>
          </w:p>
        </w:tc>
        <w:tc>
          <w:tcPr>
            <w:tcW w:w="4414" w:type="dxa"/>
            <w:shd w:val="clear" w:color="auto" w:fill="auto"/>
            <w:noWrap/>
            <w:vAlign w:val="center"/>
          </w:tcPr>
          <w:p w14:paraId="6E59385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MINCETUR</w:t>
            </w:r>
          </w:p>
        </w:tc>
        <w:tc>
          <w:tcPr>
            <w:tcW w:w="1213" w:type="dxa"/>
            <w:shd w:val="clear" w:color="auto" w:fill="auto"/>
            <w:noWrap/>
          </w:tcPr>
          <w:p w14:paraId="6FD28FD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7BE5BE5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39</w:t>
            </w:r>
          </w:p>
        </w:tc>
        <w:tc>
          <w:tcPr>
            <w:tcW w:w="1262" w:type="dxa"/>
            <w:shd w:val="clear" w:color="auto" w:fill="E7E6E6" w:themeFill="background2"/>
            <w:noWrap/>
            <w:vAlign w:val="center"/>
          </w:tcPr>
          <w:p w14:paraId="37C309B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57%</w:t>
            </w:r>
          </w:p>
        </w:tc>
      </w:tr>
      <w:tr w:rsidR="00EC7A4C" w:rsidRPr="00EC7A4C" w14:paraId="534A4586" w14:textId="77777777" w:rsidTr="00F04EDD">
        <w:trPr>
          <w:trHeight w:val="290"/>
          <w:jc w:val="center"/>
        </w:trPr>
        <w:tc>
          <w:tcPr>
            <w:tcW w:w="392" w:type="dxa"/>
          </w:tcPr>
          <w:p w14:paraId="66C1C3B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17</w:t>
            </w:r>
          </w:p>
        </w:tc>
        <w:tc>
          <w:tcPr>
            <w:tcW w:w="4414" w:type="dxa"/>
            <w:shd w:val="clear" w:color="auto" w:fill="auto"/>
            <w:noWrap/>
            <w:vAlign w:val="center"/>
          </w:tcPr>
          <w:p w14:paraId="327EC74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INDECI</w:t>
            </w:r>
          </w:p>
        </w:tc>
        <w:tc>
          <w:tcPr>
            <w:tcW w:w="1213" w:type="dxa"/>
            <w:shd w:val="clear" w:color="auto" w:fill="auto"/>
            <w:noWrap/>
          </w:tcPr>
          <w:p w14:paraId="44AEFF2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087F3C4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33</w:t>
            </w:r>
          </w:p>
        </w:tc>
        <w:tc>
          <w:tcPr>
            <w:tcW w:w="1262" w:type="dxa"/>
            <w:shd w:val="clear" w:color="auto" w:fill="E7E6E6" w:themeFill="background2"/>
            <w:noWrap/>
            <w:vAlign w:val="center"/>
          </w:tcPr>
          <w:p w14:paraId="14386A1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49%</w:t>
            </w:r>
          </w:p>
        </w:tc>
      </w:tr>
      <w:tr w:rsidR="00EC7A4C" w:rsidRPr="00EC7A4C" w14:paraId="19CAB167" w14:textId="77777777" w:rsidTr="00F04EDD">
        <w:trPr>
          <w:trHeight w:val="290"/>
          <w:jc w:val="center"/>
        </w:trPr>
        <w:tc>
          <w:tcPr>
            <w:tcW w:w="392" w:type="dxa"/>
          </w:tcPr>
          <w:p w14:paraId="635A11B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18</w:t>
            </w:r>
          </w:p>
        </w:tc>
        <w:tc>
          <w:tcPr>
            <w:tcW w:w="4414" w:type="dxa"/>
            <w:shd w:val="clear" w:color="auto" w:fill="auto"/>
            <w:noWrap/>
            <w:vAlign w:val="center"/>
          </w:tcPr>
          <w:p w14:paraId="1166E39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MINCUL</w:t>
            </w:r>
          </w:p>
        </w:tc>
        <w:tc>
          <w:tcPr>
            <w:tcW w:w="1213" w:type="dxa"/>
            <w:shd w:val="clear" w:color="auto" w:fill="auto"/>
            <w:noWrap/>
          </w:tcPr>
          <w:p w14:paraId="3334E0B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68</w:t>
            </w:r>
          </w:p>
        </w:tc>
        <w:tc>
          <w:tcPr>
            <w:tcW w:w="1213" w:type="dxa"/>
            <w:shd w:val="clear" w:color="auto" w:fill="auto"/>
            <w:noWrap/>
            <w:vAlign w:val="center"/>
          </w:tcPr>
          <w:p w14:paraId="0E9E427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30</w:t>
            </w:r>
          </w:p>
        </w:tc>
        <w:tc>
          <w:tcPr>
            <w:tcW w:w="1262" w:type="dxa"/>
            <w:shd w:val="clear" w:color="auto" w:fill="E7E6E6" w:themeFill="background2"/>
            <w:noWrap/>
            <w:vAlign w:val="center"/>
          </w:tcPr>
          <w:p w14:paraId="6868DBF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44%</w:t>
            </w:r>
          </w:p>
        </w:tc>
      </w:tr>
    </w:tbl>
    <w:p w14:paraId="5DD731A7" w14:textId="3725F2AB" w:rsidR="00AA4BAE" w:rsidRPr="00A61DFC" w:rsidRDefault="00AA4BAE" w:rsidP="004D0E60">
      <w:pPr>
        <w:spacing w:before="240"/>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De manera complementaria, se consideró pertinente analizar el tipo de representante que asiste a las sesiones según entidad. Al respecto, se identifica que la mayoría de </w:t>
      </w:r>
      <w:r w:rsidR="00EF0CCC" w:rsidRPr="00A61DFC">
        <w:rPr>
          <w:rFonts w:ascii="Open Sans Light" w:eastAsia="Open Sans Light" w:hAnsi="Open Sans Light" w:cs="Open Sans Light"/>
          <w:sz w:val="24"/>
          <w:szCs w:val="24"/>
        </w:rPr>
        <w:t>los asistentes</w:t>
      </w:r>
      <w:r w:rsidRPr="00A61DFC">
        <w:rPr>
          <w:rFonts w:ascii="Open Sans Light" w:eastAsia="Open Sans Light" w:hAnsi="Open Sans Light" w:cs="Open Sans Light"/>
          <w:sz w:val="24"/>
          <w:szCs w:val="24"/>
        </w:rPr>
        <w:t xml:space="preserve"> de las 68 sesiones entre 2012 y 2021 eran representantes alternos de las entidades (84%). </w:t>
      </w:r>
    </w:p>
    <w:p w14:paraId="58B0A115" w14:textId="6F837D53" w:rsidR="00FC0BFB" w:rsidRPr="00442AA6" w:rsidRDefault="00442AA6" w:rsidP="00FC0BFB">
      <w:pPr>
        <w:pStyle w:val="ESTILOTABLA"/>
        <w:rPr>
          <w:i w:val="0"/>
        </w:rPr>
      </w:pPr>
      <w:r w:rsidRPr="00E1753D">
        <w:t xml:space="preserve">Tabla </w:t>
      </w:r>
      <w:r w:rsidR="00354646">
        <w:fldChar w:fldCharType="begin"/>
      </w:r>
      <w:r w:rsidR="00354646">
        <w:instrText xml:space="preserve"> SEQ Tabla \* ARABIC </w:instrText>
      </w:r>
      <w:r w:rsidR="00354646">
        <w:fldChar w:fldCharType="separate"/>
      </w:r>
      <w:r w:rsidR="00846FB2">
        <w:rPr>
          <w:noProof/>
        </w:rPr>
        <w:t>13</w:t>
      </w:r>
      <w:r w:rsidR="00354646">
        <w:rPr>
          <w:noProof/>
        </w:rPr>
        <w:fldChar w:fldCharType="end"/>
      </w:r>
      <w:r w:rsidRPr="00442AA6">
        <w:t>.</w:t>
      </w:r>
      <w:r w:rsidRPr="00442AA6">
        <w:rPr>
          <w:rFonts w:eastAsia="Open Sans Light"/>
          <w:b/>
          <w:color w:val="000000"/>
          <w:szCs w:val="24"/>
        </w:rPr>
        <w:t xml:space="preserve"> </w:t>
      </w:r>
      <w:r w:rsidR="00FC0BFB" w:rsidRPr="004D0E60">
        <w:rPr>
          <w:rFonts w:eastAsia="Open Sans Light"/>
          <w:b/>
          <w:bCs/>
          <w:szCs w:val="24"/>
        </w:rPr>
        <w:t>Tipo de representante que asiste a las sesiones del CMP</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1"/>
        <w:gridCol w:w="4425"/>
        <w:gridCol w:w="1216"/>
        <w:gridCol w:w="1216"/>
        <w:gridCol w:w="1216"/>
      </w:tblGrid>
      <w:tr w:rsidR="00EC7A4C" w:rsidRPr="00EC7A4C" w14:paraId="466EFCD3" w14:textId="77777777" w:rsidTr="00DA42C9">
        <w:trPr>
          <w:trHeight w:val="290"/>
          <w:tblHeader/>
          <w:jc w:val="center"/>
        </w:trPr>
        <w:tc>
          <w:tcPr>
            <w:tcW w:w="421" w:type="dxa"/>
            <w:shd w:val="clear" w:color="auto" w:fill="000000" w:themeFill="text1"/>
          </w:tcPr>
          <w:p w14:paraId="3769D62E" w14:textId="77777777" w:rsidR="00AA4BAE" w:rsidRPr="00442AA6" w:rsidRDefault="00AA4BAE" w:rsidP="00DA42C9">
            <w:pPr>
              <w:spacing w:after="0" w:line="240" w:lineRule="auto"/>
              <w:jc w:val="center"/>
              <w:rPr>
                <w:rFonts w:ascii="Open Sans Light" w:eastAsia="Times New Roman" w:hAnsi="Open Sans Light" w:cs="Open Sans Light"/>
                <w:b/>
                <w:bCs/>
                <w:lang w:val="es-PE"/>
              </w:rPr>
            </w:pPr>
          </w:p>
        </w:tc>
        <w:tc>
          <w:tcPr>
            <w:tcW w:w="4425" w:type="dxa"/>
            <w:shd w:val="clear" w:color="auto" w:fill="000000" w:themeFill="text1"/>
            <w:noWrap/>
            <w:vAlign w:val="center"/>
            <w:hideMark/>
          </w:tcPr>
          <w:p w14:paraId="724A6399" w14:textId="77777777" w:rsidR="00AA4BAE" w:rsidRPr="00442AA6" w:rsidRDefault="00AA4BAE" w:rsidP="00DA42C9">
            <w:pPr>
              <w:spacing w:after="0" w:line="240" w:lineRule="auto"/>
              <w:jc w:val="center"/>
              <w:rPr>
                <w:rFonts w:ascii="Open Sans Light" w:eastAsia="Times New Roman" w:hAnsi="Open Sans Light" w:cs="Open Sans Light"/>
                <w:b/>
                <w:bCs/>
                <w:lang w:val="es-PE"/>
              </w:rPr>
            </w:pPr>
            <w:r w:rsidRPr="00442AA6">
              <w:rPr>
                <w:rFonts w:ascii="Open Sans Light" w:eastAsia="Times New Roman" w:hAnsi="Open Sans Light" w:cs="Open Sans Light"/>
                <w:b/>
                <w:bCs/>
                <w:lang w:val="es-PE"/>
              </w:rPr>
              <w:t>Entidad</w:t>
            </w:r>
          </w:p>
        </w:tc>
        <w:tc>
          <w:tcPr>
            <w:tcW w:w="1216" w:type="dxa"/>
            <w:shd w:val="clear" w:color="auto" w:fill="000000" w:themeFill="text1"/>
            <w:noWrap/>
            <w:vAlign w:val="center"/>
            <w:hideMark/>
          </w:tcPr>
          <w:p w14:paraId="2ADBC9F6" w14:textId="77777777" w:rsidR="00AA4BAE" w:rsidRPr="00442AA6" w:rsidRDefault="00AA4BAE" w:rsidP="00DA42C9">
            <w:pPr>
              <w:spacing w:after="0" w:line="240" w:lineRule="auto"/>
              <w:jc w:val="center"/>
              <w:rPr>
                <w:rFonts w:ascii="Open Sans Light" w:eastAsia="Times New Roman" w:hAnsi="Open Sans Light" w:cs="Open Sans Light"/>
                <w:b/>
                <w:bCs/>
                <w:lang w:val="es-PE"/>
              </w:rPr>
            </w:pPr>
            <w:r w:rsidRPr="00442AA6">
              <w:rPr>
                <w:rFonts w:ascii="Open Sans Light" w:eastAsia="Times New Roman" w:hAnsi="Open Sans Light" w:cs="Open Sans Light"/>
                <w:b/>
                <w:bCs/>
                <w:lang w:val="es-PE"/>
              </w:rPr>
              <w:t>Alterno</w:t>
            </w:r>
          </w:p>
        </w:tc>
        <w:tc>
          <w:tcPr>
            <w:tcW w:w="1216" w:type="dxa"/>
            <w:shd w:val="clear" w:color="auto" w:fill="000000" w:themeFill="text1"/>
            <w:noWrap/>
            <w:vAlign w:val="center"/>
            <w:hideMark/>
          </w:tcPr>
          <w:p w14:paraId="4CDFB311" w14:textId="77777777" w:rsidR="00AA4BAE" w:rsidRPr="00442AA6" w:rsidRDefault="00AA4BAE" w:rsidP="00DA42C9">
            <w:pPr>
              <w:spacing w:after="0" w:line="240" w:lineRule="auto"/>
              <w:jc w:val="center"/>
              <w:rPr>
                <w:rFonts w:ascii="Open Sans Light" w:eastAsia="Times New Roman" w:hAnsi="Open Sans Light" w:cs="Open Sans Light"/>
                <w:b/>
                <w:bCs/>
                <w:lang w:val="es-PE"/>
              </w:rPr>
            </w:pPr>
            <w:r w:rsidRPr="00442AA6">
              <w:rPr>
                <w:rFonts w:ascii="Open Sans Light" w:eastAsia="Times New Roman" w:hAnsi="Open Sans Light" w:cs="Open Sans Light"/>
                <w:b/>
                <w:bCs/>
                <w:lang w:val="es-PE"/>
              </w:rPr>
              <w:t>Titular</w:t>
            </w:r>
          </w:p>
        </w:tc>
        <w:tc>
          <w:tcPr>
            <w:tcW w:w="1216" w:type="dxa"/>
            <w:shd w:val="clear" w:color="auto" w:fill="000000" w:themeFill="text1"/>
            <w:noWrap/>
            <w:vAlign w:val="center"/>
            <w:hideMark/>
          </w:tcPr>
          <w:p w14:paraId="3CE55EB4"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r w:rsidRPr="00442AA6">
              <w:rPr>
                <w:rFonts w:ascii="Open Sans Light" w:eastAsia="Times New Roman" w:hAnsi="Open Sans Light" w:cs="Open Sans Light"/>
                <w:b/>
                <w:bCs/>
                <w:lang w:val="es-PE"/>
              </w:rPr>
              <w:t>Total</w:t>
            </w:r>
          </w:p>
        </w:tc>
      </w:tr>
      <w:tr w:rsidR="00EC7A4C" w:rsidRPr="00EC7A4C" w14:paraId="4AB4566C" w14:textId="77777777" w:rsidTr="00DA42C9">
        <w:trPr>
          <w:trHeight w:val="290"/>
          <w:jc w:val="center"/>
        </w:trPr>
        <w:tc>
          <w:tcPr>
            <w:tcW w:w="421" w:type="dxa"/>
          </w:tcPr>
          <w:p w14:paraId="2AE617E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w:t>
            </w:r>
          </w:p>
        </w:tc>
        <w:tc>
          <w:tcPr>
            <w:tcW w:w="4425" w:type="dxa"/>
            <w:shd w:val="clear" w:color="auto" w:fill="auto"/>
            <w:noWrap/>
            <w:vAlign w:val="center"/>
            <w:hideMark/>
          </w:tcPr>
          <w:p w14:paraId="582FA5F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MIMP</w:t>
            </w:r>
          </w:p>
        </w:tc>
        <w:tc>
          <w:tcPr>
            <w:tcW w:w="1216" w:type="dxa"/>
            <w:shd w:val="clear" w:color="auto" w:fill="auto"/>
            <w:noWrap/>
            <w:vAlign w:val="center"/>
            <w:hideMark/>
          </w:tcPr>
          <w:p w14:paraId="36FE3B7C"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63</w:t>
            </w:r>
          </w:p>
        </w:tc>
        <w:tc>
          <w:tcPr>
            <w:tcW w:w="1216" w:type="dxa"/>
            <w:shd w:val="clear" w:color="auto" w:fill="auto"/>
            <w:noWrap/>
            <w:vAlign w:val="center"/>
            <w:hideMark/>
          </w:tcPr>
          <w:p w14:paraId="523CE69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52</w:t>
            </w:r>
          </w:p>
        </w:tc>
        <w:tc>
          <w:tcPr>
            <w:tcW w:w="1216" w:type="dxa"/>
            <w:shd w:val="clear" w:color="auto" w:fill="E7E6E6" w:themeFill="background2"/>
            <w:noWrap/>
            <w:vAlign w:val="center"/>
            <w:hideMark/>
          </w:tcPr>
          <w:p w14:paraId="0566902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115</w:t>
            </w:r>
          </w:p>
        </w:tc>
      </w:tr>
      <w:tr w:rsidR="00EC7A4C" w:rsidRPr="00EC7A4C" w14:paraId="2C8FD89B" w14:textId="77777777" w:rsidTr="00DA42C9">
        <w:trPr>
          <w:trHeight w:val="290"/>
          <w:jc w:val="center"/>
        </w:trPr>
        <w:tc>
          <w:tcPr>
            <w:tcW w:w="421" w:type="dxa"/>
          </w:tcPr>
          <w:p w14:paraId="0364408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2</w:t>
            </w:r>
          </w:p>
        </w:tc>
        <w:tc>
          <w:tcPr>
            <w:tcW w:w="4425" w:type="dxa"/>
            <w:shd w:val="clear" w:color="auto" w:fill="auto"/>
            <w:noWrap/>
            <w:vAlign w:val="center"/>
            <w:hideMark/>
          </w:tcPr>
          <w:p w14:paraId="380D60D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MTC</w:t>
            </w:r>
          </w:p>
        </w:tc>
        <w:tc>
          <w:tcPr>
            <w:tcW w:w="1216" w:type="dxa"/>
            <w:shd w:val="clear" w:color="auto" w:fill="auto"/>
            <w:noWrap/>
            <w:vAlign w:val="center"/>
            <w:hideMark/>
          </w:tcPr>
          <w:p w14:paraId="7448654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60</w:t>
            </w:r>
          </w:p>
        </w:tc>
        <w:tc>
          <w:tcPr>
            <w:tcW w:w="1216" w:type="dxa"/>
            <w:shd w:val="clear" w:color="auto" w:fill="auto"/>
            <w:noWrap/>
            <w:vAlign w:val="center"/>
            <w:hideMark/>
          </w:tcPr>
          <w:p w14:paraId="1863355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w:t>
            </w:r>
          </w:p>
        </w:tc>
        <w:tc>
          <w:tcPr>
            <w:tcW w:w="1216" w:type="dxa"/>
            <w:shd w:val="clear" w:color="auto" w:fill="E7E6E6" w:themeFill="background2"/>
            <w:noWrap/>
            <w:vAlign w:val="center"/>
            <w:hideMark/>
          </w:tcPr>
          <w:p w14:paraId="3101C92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65</w:t>
            </w:r>
          </w:p>
        </w:tc>
      </w:tr>
      <w:tr w:rsidR="00EC7A4C" w:rsidRPr="00EC7A4C" w14:paraId="62C79C6A" w14:textId="77777777" w:rsidTr="00DA42C9">
        <w:trPr>
          <w:trHeight w:val="290"/>
          <w:jc w:val="center"/>
        </w:trPr>
        <w:tc>
          <w:tcPr>
            <w:tcW w:w="421" w:type="dxa"/>
          </w:tcPr>
          <w:p w14:paraId="2575858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lastRenderedPageBreak/>
              <w:t>3</w:t>
            </w:r>
          </w:p>
        </w:tc>
        <w:tc>
          <w:tcPr>
            <w:tcW w:w="4425" w:type="dxa"/>
            <w:shd w:val="clear" w:color="auto" w:fill="auto"/>
            <w:noWrap/>
            <w:vAlign w:val="center"/>
            <w:hideMark/>
          </w:tcPr>
          <w:p w14:paraId="28916ADC"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MINJUSDH</w:t>
            </w:r>
          </w:p>
        </w:tc>
        <w:tc>
          <w:tcPr>
            <w:tcW w:w="1216" w:type="dxa"/>
            <w:shd w:val="clear" w:color="auto" w:fill="auto"/>
            <w:noWrap/>
            <w:vAlign w:val="center"/>
            <w:hideMark/>
          </w:tcPr>
          <w:p w14:paraId="6DBD3E5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52</w:t>
            </w:r>
          </w:p>
        </w:tc>
        <w:tc>
          <w:tcPr>
            <w:tcW w:w="1216" w:type="dxa"/>
            <w:shd w:val="clear" w:color="auto" w:fill="auto"/>
            <w:noWrap/>
            <w:vAlign w:val="center"/>
            <w:hideMark/>
          </w:tcPr>
          <w:p w14:paraId="100D168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12</w:t>
            </w:r>
          </w:p>
        </w:tc>
        <w:tc>
          <w:tcPr>
            <w:tcW w:w="1216" w:type="dxa"/>
            <w:shd w:val="clear" w:color="auto" w:fill="E7E6E6" w:themeFill="background2"/>
            <w:noWrap/>
            <w:vAlign w:val="center"/>
            <w:hideMark/>
          </w:tcPr>
          <w:p w14:paraId="6124FB3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64</w:t>
            </w:r>
          </w:p>
        </w:tc>
      </w:tr>
      <w:tr w:rsidR="00EC7A4C" w:rsidRPr="00EC7A4C" w14:paraId="745E92EC" w14:textId="77777777" w:rsidTr="00DA42C9">
        <w:trPr>
          <w:trHeight w:val="290"/>
          <w:jc w:val="center"/>
        </w:trPr>
        <w:tc>
          <w:tcPr>
            <w:tcW w:w="421" w:type="dxa"/>
          </w:tcPr>
          <w:p w14:paraId="1EC88A5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w:t>
            </w:r>
          </w:p>
        </w:tc>
        <w:tc>
          <w:tcPr>
            <w:tcW w:w="4425" w:type="dxa"/>
            <w:shd w:val="clear" w:color="auto" w:fill="auto"/>
            <w:noWrap/>
            <w:vAlign w:val="center"/>
            <w:hideMark/>
          </w:tcPr>
          <w:p w14:paraId="0E70F54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INEI</w:t>
            </w:r>
          </w:p>
        </w:tc>
        <w:tc>
          <w:tcPr>
            <w:tcW w:w="1216" w:type="dxa"/>
            <w:shd w:val="clear" w:color="auto" w:fill="auto"/>
            <w:noWrap/>
            <w:vAlign w:val="center"/>
            <w:hideMark/>
          </w:tcPr>
          <w:p w14:paraId="1E7EFA1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46</w:t>
            </w:r>
          </w:p>
        </w:tc>
        <w:tc>
          <w:tcPr>
            <w:tcW w:w="1216" w:type="dxa"/>
            <w:shd w:val="clear" w:color="auto" w:fill="auto"/>
            <w:noWrap/>
            <w:vAlign w:val="center"/>
            <w:hideMark/>
          </w:tcPr>
          <w:p w14:paraId="084E096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14</w:t>
            </w:r>
          </w:p>
        </w:tc>
        <w:tc>
          <w:tcPr>
            <w:tcW w:w="1216" w:type="dxa"/>
            <w:shd w:val="clear" w:color="auto" w:fill="E7E6E6" w:themeFill="background2"/>
            <w:noWrap/>
            <w:vAlign w:val="center"/>
            <w:hideMark/>
          </w:tcPr>
          <w:p w14:paraId="34CB3FE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60</w:t>
            </w:r>
          </w:p>
        </w:tc>
      </w:tr>
      <w:tr w:rsidR="00EC7A4C" w:rsidRPr="00EC7A4C" w14:paraId="0A69D0D4" w14:textId="77777777" w:rsidTr="00DA42C9">
        <w:trPr>
          <w:trHeight w:val="290"/>
          <w:jc w:val="center"/>
        </w:trPr>
        <w:tc>
          <w:tcPr>
            <w:tcW w:w="421" w:type="dxa"/>
          </w:tcPr>
          <w:p w14:paraId="6B374F0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w:t>
            </w:r>
          </w:p>
        </w:tc>
        <w:tc>
          <w:tcPr>
            <w:tcW w:w="4425" w:type="dxa"/>
            <w:shd w:val="clear" w:color="auto" w:fill="auto"/>
            <w:noWrap/>
            <w:vAlign w:val="center"/>
            <w:hideMark/>
          </w:tcPr>
          <w:p w14:paraId="43E0DED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RENIEC</w:t>
            </w:r>
          </w:p>
        </w:tc>
        <w:tc>
          <w:tcPr>
            <w:tcW w:w="1216" w:type="dxa"/>
            <w:shd w:val="clear" w:color="auto" w:fill="auto"/>
            <w:noWrap/>
            <w:vAlign w:val="center"/>
            <w:hideMark/>
          </w:tcPr>
          <w:p w14:paraId="24D2E48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58</w:t>
            </w:r>
          </w:p>
        </w:tc>
        <w:tc>
          <w:tcPr>
            <w:tcW w:w="1216" w:type="dxa"/>
            <w:shd w:val="clear" w:color="auto" w:fill="auto"/>
            <w:noWrap/>
            <w:vAlign w:val="center"/>
            <w:hideMark/>
          </w:tcPr>
          <w:p w14:paraId="499709B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2</w:t>
            </w:r>
          </w:p>
        </w:tc>
        <w:tc>
          <w:tcPr>
            <w:tcW w:w="1216" w:type="dxa"/>
            <w:shd w:val="clear" w:color="auto" w:fill="E7E6E6" w:themeFill="background2"/>
            <w:noWrap/>
            <w:vAlign w:val="center"/>
            <w:hideMark/>
          </w:tcPr>
          <w:p w14:paraId="425D253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60</w:t>
            </w:r>
          </w:p>
        </w:tc>
      </w:tr>
      <w:tr w:rsidR="00EC7A4C" w:rsidRPr="00EC7A4C" w14:paraId="654B592F" w14:textId="77777777" w:rsidTr="00DA42C9">
        <w:trPr>
          <w:trHeight w:val="290"/>
          <w:jc w:val="center"/>
        </w:trPr>
        <w:tc>
          <w:tcPr>
            <w:tcW w:w="421" w:type="dxa"/>
          </w:tcPr>
          <w:p w14:paraId="187D15A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w:t>
            </w:r>
          </w:p>
        </w:tc>
        <w:tc>
          <w:tcPr>
            <w:tcW w:w="4425" w:type="dxa"/>
            <w:shd w:val="clear" w:color="auto" w:fill="auto"/>
            <w:noWrap/>
            <w:vAlign w:val="center"/>
            <w:hideMark/>
          </w:tcPr>
          <w:p w14:paraId="11B584B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MINSA</w:t>
            </w:r>
          </w:p>
        </w:tc>
        <w:tc>
          <w:tcPr>
            <w:tcW w:w="1216" w:type="dxa"/>
            <w:shd w:val="clear" w:color="auto" w:fill="auto"/>
            <w:noWrap/>
            <w:vAlign w:val="center"/>
            <w:hideMark/>
          </w:tcPr>
          <w:p w14:paraId="7BB00A8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47</w:t>
            </w:r>
          </w:p>
        </w:tc>
        <w:tc>
          <w:tcPr>
            <w:tcW w:w="1216" w:type="dxa"/>
            <w:shd w:val="clear" w:color="auto" w:fill="auto"/>
            <w:noWrap/>
            <w:vAlign w:val="center"/>
            <w:hideMark/>
          </w:tcPr>
          <w:p w14:paraId="2B91F9C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9</w:t>
            </w:r>
          </w:p>
        </w:tc>
        <w:tc>
          <w:tcPr>
            <w:tcW w:w="1216" w:type="dxa"/>
            <w:shd w:val="clear" w:color="auto" w:fill="E7E6E6" w:themeFill="background2"/>
            <w:noWrap/>
            <w:vAlign w:val="center"/>
            <w:hideMark/>
          </w:tcPr>
          <w:p w14:paraId="1A27008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56</w:t>
            </w:r>
          </w:p>
        </w:tc>
      </w:tr>
      <w:tr w:rsidR="00EC7A4C" w:rsidRPr="00EC7A4C" w14:paraId="62DCD94A" w14:textId="77777777" w:rsidTr="00DA42C9">
        <w:trPr>
          <w:trHeight w:val="290"/>
          <w:jc w:val="center"/>
        </w:trPr>
        <w:tc>
          <w:tcPr>
            <w:tcW w:w="421" w:type="dxa"/>
          </w:tcPr>
          <w:p w14:paraId="16A957B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w:t>
            </w:r>
          </w:p>
        </w:tc>
        <w:tc>
          <w:tcPr>
            <w:tcW w:w="4425" w:type="dxa"/>
            <w:shd w:val="clear" w:color="auto" w:fill="auto"/>
            <w:noWrap/>
            <w:vAlign w:val="center"/>
            <w:hideMark/>
          </w:tcPr>
          <w:p w14:paraId="7997A43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MININTER</w:t>
            </w:r>
          </w:p>
        </w:tc>
        <w:tc>
          <w:tcPr>
            <w:tcW w:w="1216" w:type="dxa"/>
            <w:shd w:val="clear" w:color="auto" w:fill="auto"/>
            <w:noWrap/>
            <w:vAlign w:val="center"/>
            <w:hideMark/>
          </w:tcPr>
          <w:p w14:paraId="4983681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47</w:t>
            </w:r>
          </w:p>
        </w:tc>
        <w:tc>
          <w:tcPr>
            <w:tcW w:w="1216" w:type="dxa"/>
            <w:shd w:val="clear" w:color="auto" w:fill="auto"/>
            <w:noWrap/>
            <w:vAlign w:val="center"/>
            <w:hideMark/>
          </w:tcPr>
          <w:p w14:paraId="513CDDF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w:t>
            </w:r>
          </w:p>
        </w:tc>
        <w:tc>
          <w:tcPr>
            <w:tcW w:w="1216" w:type="dxa"/>
            <w:shd w:val="clear" w:color="auto" w:fill="E7E6E6" w:themeFill="background2"/>
            <w:noWrap/>
            <w:vAlign w:val="center"/>
            <w:hideMark/>
          </w:tcPr>
          <w:p w14:paraId="271B717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53</w:t>
            </w:r>
          </w:p>
        </w:tc>
      </w:tr>
      <w:tr w:rsidR="00EC7A4C" w:rsidRPr="00EC7A4C" w14:paraId="3B26C23E" w14:textId="77777777" w:rsidTr="00DA42C9">
        <w:trPr>
          <w:trHeight w:val="290"/>
          <w:jc w:val="center"/>
        </w:trPr>
        <w:tc>
          <w:tcPr>
            <w:tcW w:w="421" w:type="dxa"/>
          </w:tcPr>
          <w:p w14:paraId="4D88DDC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8</w:t>
            </w:r>
          </w:p>
        </w:tc>
        <w:tc>
          <w:tcPr>
            <w:tcW w:w="4425" w:type="dxa"/>
            <w:shd w:val="clear" w:color="auto" w:fill="auto"/>
            <w:noWrap/>
            <w:vAlign w:val="center"/>
            <w:hideMark/>
          </w:tcPr>
          <w:p w14:paraId="16B0D25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DEVIDA</w:t>
            </w:r>
          </w:p>
        </w:tc>
        <w:tc>
          <w:tcPr>
            <w:tcW w:w="1216" w:type="dxa"/>
            <w:shd w:val="clear" w:color="auto" w:fill="auto"/>
            <w:noWrap/>
            <w:vAlign w:val="center"/>
            <w:hideMark/>
          </w:tcPr>
          <w:p w14:paraId="1883270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48</w:t>
            </w:r>
          </w:p>
        </w:tc>
        <w:tc>
          <w:tcPr>
            <w:tcW w:w="1216" w:type="dxa"/>
            <w:shd w:val="clear" w:color="auto" w:fill="auto"/>
            <w:noWrap/>
            <w:vAlign w:val="center"/>
            <w:hideMark/>
          </w:tcPr>
          <w:p w14:paraId="7A7D314C"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w:t>
            </w:r>
          </w:p>
        </w:tc>
        <w:tc>
          <w:tcPr>
            <w:tcW w:w="1216" w:type="dxa"/>
            <w:shd w:val="clear" w:color="auto" w:fill="E7E6E6" w:themeFill="background2"/>
            <w:noWrap/>
            <w:vAlign w:val="center"/>
            <w:hideMark/>
          </w:tcPr>
          <w:p w14:paraId="2FD9372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51</w:t>
            </w:r>
          </w:p>
        </w:tc>
      </w:tr>
      <w:tr w:rsidR="00EC7A4C" w:rsidRPr="00EC7A4C" w14:paraId="7105C8EE" w14:textId="77777777" w:rsidTr="00DA42C9">
        <w:trPr>
          <w:trHeight w:val="290"/>
          <w:jc w:val="center"/>
        </w:trPr>
        <w:tc>
          <w:tcPr>
            <w:tcW w:w="421" w:type="dxa"/>
          </w:tcPr>
          <w:p w14:paraId="58F698E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9</w:t>
            </w:r>
          </w:p>
        </w:tc>
        <w:tc>
          <w:tcPr>
            <w:tcW w:w="4425" w:type="dxa"/>
            <w:shd w:val="clear" w:color="auto" w:fill="auto"/>
            <w:noWrap/>
            <w:vAlign w:val="center"/>
            <w:hideMark/>
          </w:tcPr>
          <w:p w14:paraId="075450E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MIDIS</w:t>
            </w:r>
          </w:p>
        </w:tc>
        <w:tc>
          <w:tcPr>
            <w:tcW w:w="1216" w:type="dxa"/>
            <w:shd w:val="clear" w:color="auto" w:fill="auto"/>
            <w:noWrap/>
            <w:vAlign w:val="center"/>
            <w:hideMark/>
          </w:tcPr>
          <w:p w14:paraId="48B05AE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40</w:t>
            </w:r>
          </w:p>
        </w:tc>
        <w:tc>
          <w:tcPr>
            <w:tcW w:w="1216" w:type="dxa"/>
            <w:shd w:val="clear" w:color="auto" w:fill="auto"/>
            <w:noWrap/>
            <w:vAlign w:val="center"/>
            <w:hideMark/>
          </w:tcPr>
          <w:p w14:paraId="309B1C9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10</w:t>
            </w:r>
          </w:p>
        </w:tc>
        <w:tc>
          <w:tcPr>
            <w:tcW w:w="1216" w:type="dxa"/>
            <w:shd w:val="clear" w:color="auto" w:fill="E7E6E6" w:themeFill="background2"/>
            <w:noWrap/>
            <w:vAlign w:val="center"/>
            <w:hideMark/>
          </w:tcPr>
          <w:p w14:paraId="49A599B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50</w:t>
            </w:r>
          </w:p>
        </w:tc>
      </w:tr>
      <w:tr w:rsidR="00EC7A4C" w:rsidRPr="00EC7A4C" w14:paraId="4B03316A" w14:textId="77777777" w:rsidTr="00DA42C9">
        <w:trPr>
          <w:trHeight w:val="290"/>
          <w:jc w:val="center"/>
        </w:trPr>
        <w:tc>
          <w:tcPr>
            <w:tcW w:w="421" w:type="dxa"/>
          </w:tcPr>
          <w:p w14:paraId="05FA440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10</w:t>
            </w:r>
          </w:p>
        </w:tc>
        <w:tc>
          <w:tcPr>
            <w:tcW w:w="4425" w:type="dxa"/>
            <w:shd w:val="clear" w:color="auto" w:fill="auto"/>
            <w:noWrap/>
            <w:vAlign w:val="center"/>
            <w:hideMark/>
          </w:tcPr>
          <w:p w14:paraId="6D118EA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MINEDU</w:t>
            </w:r>
          </w:p>
        </w:tc>
        <w:tc>
          <w:tcPr>
            <w:tcW w:w="1216" w:type="dxa"/>
            <w:shd w:val="clear" w:color="auto" w:fill="auto"/>
            <w:noWrap/>
            <w:vAlign w:val="center"/>
            <w:hideMark/>
          </w:tcPr>
          <w:p w14:paraId="559A4DAC"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42</w:t>
            </w:r>
          </w:p>
        </w:tc>
        <w:tc>
          <w:tcPr>
            <w:tcW w:w="1216" w:type="dxa"/>
            <w:shd w:val="clear" w:color="auto" w:fill="auto"/>
            <w:noWrap/>
            <w:vAlign w:val="center"/>
            <w:hideMark/>
          </w:tcPr>
          <w:p w14:paraId="1BA2918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w:t>
            </w:r>
          </w:p>
        </w:tc>
        <w:tc>
          <w:tcPr>
            <w:tcW w:w="1216" w:type="dxa"/>
            <w:shd w:val="clear" w:color="auto" w:fill="E7E6E6" w:themeFill="background2"/>
            <w:noWrap/>
            <w:vAlign w:val="center"/>
            <w:hideMark/>
          </w:tcPr>
          <w:p w14:paraId="46B5E44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49</w:t>
            </w:r>
          </w:p>
        </w:tc>
      </w:tr>
      <w:tr w:rsidR="00EC7A4C" w:rsidRPr="00EC7A4C" w14:paraId="75C8DEA5" w14:textId="77777777" w:rsidTr="00DA42C9">
        <w:trPr>
          <w:trHeight w:val="290"/>
          <w:jc w:val="center"/>
        </w:trPr>
        <w:tc>
          <w:tcPr>
            <w:tcW w:w="421" w:type="dxa"/>
          </w:tcPr>
          <w:p w14:paraId="548B7D2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11</w:t>
            </w:r>
          </w:p>
        </w:tc>
        <w:tc>
          <w:tcPr>
            <w:tcW w:w="4425" w:type="dxa"/>
            <w:shd w:val="clear" w:color="auto" w:fill="auto"/>
            <w:noWrap/>
            <w:vAlign w:val="center"/>
            <w:hideMark/>
          </w:tcPr>
          <w:p w14:paraId="064C621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MINISTERIO PUBLICO</w:t>
            </w:r>
          </w:p>
        </w:tc>
        <w:tc>
          <w:tcPr>
            <w:tcW w:w="1216" w:type="dxa"/>
            <w:shd w:val="clear" w:color="auto" w:fill="auto"/>
            <w:noWrap/>
            <w:vAlign w:val="center"/>
            <w:hideMark/>
          </w:tcPr>
          <w:p w14:paraId="3B5BAC9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47</w:t>
            </w:r>
          </w:p>
        </w:tc>
        <w:tc>
          <w:tcPr>
            <w:tcW w:w="1216" w:type="dxa"/>
            <w:shd w:val="clear" w:color="auto" w:fill="auto"/>
            <w:noWrap/>
            <w:vAlign w:val="center"/>
            <w:hideMark/>
          </w:tcPr>
          <w:p w14:paraId="46F8614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w:t>
            </w:r>
          </w:p>
        </w:tc>
        <w:tc>
          <w:tcPr>
            <w:tcW w:w="1216" w:type="dxa"/>
            <w:shd w:val="clear" w:color="auto" w:fill="E7E6E6" w:themeFill="background2"/>
            <w:noWrap/>
            <w:vAlign w:val="center"/>
            <w:hideMark/>
          </w:tcPr>
          <w:p w14:paraId="41B91E3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48</w:t>
            </w:r>
          </w:p>
        </w:tc>
      </w:tr>
      <w:tr w:rsidR="00EC7A4C" w:rsidRPr="00EC7A4C" w14:paraId="18DEB405" w14:textId="77777777" w:rsidTr="00DA42C9">
        <w:trPr>
          <w:trHeight w:val="290"/>
          <w:jc w:val="center"/>
        </w:trPr>
        <w:tc>
          <w:tcPr>
            <w:tcW w:w="421" w:type="dxa"/>
          </w:tcPr>
          <w:p w14:paraId="361268C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12</w:t>
            </w:r>
          </w:p>
        </w:tc>
        <w:tc>
          <w:tcPr>
            <w:tcW w:w="4425" w:type="dxa"/>
            <w:shd w:val="clear" w:color="auto" w:fill="auto"/>
            <w:noWrap/>
            <w:vAlign w:val="center"/>
            <w:hideMark/>
          </w:tcPr>
          <w:p w14:paraId="7B49CE6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MINAM</w:t>
            </w:r>
          </w:p>
        </w:tc>
        <w:tc>
          <w:tcPr>
            <w:tcW w:w="1216" w:type="dxa"/>
            <w:shd w:val="clear" w:color="auto" w:fill="auto"/>
            <w:noWrap/>
            <w:vAlign w:val="center"/>
            <w:hideMark/>
          </w:tcPr>
          <w:p w14:paraId="597FAC1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44</w:t>
            </w:r>
          </w:p>
        </w:tc>
        <w:tc>
          <w:tcPr>
            <w:tcW w:w="1216" w:type="dxa"/>
            <w:shd w:val="clear" w:color="auto" w:fill="auto"/>
            <w:noWrap/>
            <w:vAlign w:val="center"/>
            <w:hideMark/>
          </w:tcPr>
          <w:p w14:paraId="11F9DF9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w:t>
            </w:r>
          </w:p>
        </w:tc>
        <w:tc>
          <w:tcPr>
            <w:tcW w:w="1216" w:type="dxa"/>
            <w:shd w:val="clear" w:color="auto" w:fill="E7E6E6" w:themeFill="background2"/>
            <w:noWrap/>
            <w:vAlign w:val="center"/>
            <w:hideMark/>
          </w:tcPr>
          <w:p w14:paraId="3A02CF7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47</w:t>
            </w:r>
          </w:p>
        </w:tc>
      </w:tr>
      <w:tr w:rsidR="00EC7A4C" w:rsidRPr="00EC7A4C" w14:paraId="55A8CCA9" w14:textId="77777777" w:rsidTr="00DA42C9">
        <w:trPr>
          <w:trHeight w:val="290"/>
          <w:jc w:val="center"/>
        </w:trPr>
        <w:tc>
          <w:tcPr>
            <w:tcW w:w="421" w:type="dxa"/>
          </w:tcPr>
          <w:p w14:paraId="32ACF3D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13</w:t>
            </w:r>
          </w:p>
        </w:tc>
        <w:tc>
          <w:tcPr>
            <w:tcW w:w="4425" w:type="dxa"/>
            <w:shd w:val="clear" w:color="auto" w:fill="auto"/>
            <w:noWrap/>
            <w:vAlign w:val="center"/>
            <w:hideMark/>
          </w:tcPr>
          <w:p w14:paraId="301358A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MTPE</w:t>
            </w:r>
          </w:p>
        </w:tc>
        <w:tc>
          <w:tcPr>
            <w:tcW w:w="1216" w:type="dxa"/>
            <w:shd w:val="clear" w:color="auto" w:fill="auto"/>
            <w:noWrap/>
            <w:vAlign w:val="center"/>
            <w:hideMark/>
          </w:tcPr>
          <w:p w14:paraId="713C8E1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38</w:t>
            </w:r>
          </w:p>
        </w:tc>
        <w:tc>
          <w:tcPr>
            <w:tcW w:w="1216" w:type="dxa"/>
            <w:shd w:val="clear" w:color="auto" w:fill="auto"/>
            <w:noWrap/>
            <w:vAlign w:val="center"/>
            <w:hideMark/>
          </w:tcPr>
          <w:p w14:paraId="3B24655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w:t>
            </w:r>
          </w:p>
        </w:tc>
        <w:tc>
          <w:tcPr>
            <w:tcW w:w="1216" w:type="dxa"/>
            <w:shd w:val="clear" w:color="auto" w:fill="E7E6E6" w:themeFill="background2"/>
            <w:noWrap/>
            <w:vAlign w:val="center"/>
            <w:hideMark/>
          </w:tcPr>
          <w:p w14:paraId="7E4FC79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45</w:t>
            </w:r>
          </w:p>
        </w:tc>
      </w:tr>
      <w:tr w:rsidR="00EC7A4C" w:rsidRPr="00EC7A4C" w14:paraId="6DF2C4FE" w14:textId="77777777" w:rsidTr="00DA42C9">
        <w:trPr>
          <w:trHeight w:val="290"/>
          <w:jc w:val="center"/>
        </w:trPr>
        <w:tc>
          <w:tcPr>
            <w:tcW w:w="421" w:type="dxa"/>
          </w:tcPr>
          <w:p w14:paraId="47C0634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14</w:t>
            </w:r>
          </w:p>
        </w:tc>
        <w:tc>
          <w:tcPr>
            <w:tcW w:w="4425" w:type="dxa"/>
            <w:shd w:val="clear" w:color="auto" w:fill="auto"/>
            <w:noWrap/>
            <w:vAlign w:val="center"/>
            <w:hideMark/>
          </w:tcPr>
          <w:p w14:paraId="3AAEA77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PCM</w:t>
            </w:r>
          </w:p>
        </w:tc>
        <w:tc>
          <w:tcPr>
            <w:tcW w:w="1216" w:type="dxa"/>
            <w:shd w:val="clear" w:color="auto" w:fill="auto"/>
            <w:noWrap/>
            <w:vAlign w:val="center"/>
            <w:hideMark/>
          </w:tcPr>
          <w:p w14:paraId="595B4AE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40</w:t>
            </w:r>
          </w:p>
        </w:tc>
        <w:tc>
          <w:tcPr>
            <w:tcW w:w="1216" w:type="dxa"/>
            <w:shd w:val="clear" w:color="auto" w:fill="auto"/>
            <w:noWrap/>
            <w:vAlign w:val="center"/>
            <w:hideMark/>
          </w:tcPr>
          <w:p w14:paraId="1E56905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w:t>
            </w:r>
          </w:p>
        </w:tc>
        <w:tc>
          <w:tcPr>
            <w:tcW w:w="1216" w:type="dxa"/>
            <w:shd w:val="clear" w:color="auto" w:fill="E7E6E6" w:themeFill="background2"/>
            <w:noWrap/>
            <w:vAlign w:val="center"/>
            <w:hideMark/>
          </w:tcPr>
          <w:p w14:paraId="79EC011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45</w:t>
            </w:r>
          </w:p>
        </w:tc>
      </w:tr>
      <w:tr w:rsidR="00EC7A4C" w:rsidRPr="00EC7A4C" w14:paraId="4778101C" w14:textId="77777777" w:rsidTr="00DA42C9">
        <w:trPr>
          <w:trHeight w:val="290"/>
          <w:jc w:val="center"/>
        </w:trPr>
        <w:tc>
          <w:tcPr>
            <w:tcW w:w="421" w:type="dxa"/>
          </w:tcPr>
          <w:p w14:paraId="157C250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15</w:t>
            </w:r>
          </w:p>
        </w:tc>
        <w:tc>
          <w:tcPr>
            <w:tcW w:w="4425" w:type="dxa"/>
            <w:shd w:val="clear" w:color="auto" w:fill="auto"/>
            <w:noWrap/>
            <w:vAlign w:val="center"/>
            <w:hideMark/>
          </w:tcPr>
          <w:p w14:paraId="56A4846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PJ</w:t>
            </w:r>
          </w:p>
        </w:tc>
        <w:tc>
          <w:tcPr>
            <w:tcW w:w="1216" w:type="dxa"/>
            <w:shd w:val="clear" w:color="auto" w:fill="auto"/>
            <w:noWrap/>
            <w:vAlign w:val="center"/>
            <w:hideMark/>
          </w:tcPr>
          <w:p w14:paraId="0077887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41</w:t>
            </w:r>
          </w:p>
        </w:tc>
        <w:tc>
          <w:tcPr>
            <w:tcW w:w="1216" w:type="dxa"/>
            <w:shd w:val="clear" w:color="auto" w:fill="auto"/>
            <w:noWrap/>
            <w:vAlign w:val="center"/>
            <w:hideMark/>
          </w:tcPr>
          <w:p w14:paraId="04BAB6B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w:t>
            </w:r>
          </w:p>
        </w:tc>
        <w:tc>
          <w:tcPr>
            <w:tcW w:w="1216" w:type="dxa"/>
            <w:shd w:val="clear" w:color="auto" w:fill="E7E6E6" w:themeFill="background2"/>
            <w:noWrap/>
            <w:vAlign w:val="center"/>
            <w:hideMark/>
          </w:tcPr>
          <w:p w14:paraId="0A00458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42</w:t>
            </w:r>
          </w:p>
        </w:tc>
      </w:tr>
      <w:tr w:rsidR="00EC7A4C" w:rsidRPr="00EC7A4C" w14:paraId="4F319C89" w14:textId="77777777" w:rsidTr="00DA42C9">
        <w:trPr>
          <w:trHeight w:val="290"/>
          <w:jc w:val="center"/>
        </w:trPr>
        <w:tc>
          <w:tcPr>
            <w:tcW w:w="421" w:type="dxa"/>
          </w:tcPr>
          <w:p w14:paraId="640EE85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16</w:t>
            </w:r>
          </w:p>
        </w:tc>
        <w:tc>
          <w:tcPr>
            <w:tcW w:w="4425" w:type="dxa"/>
            <w:shd w:val="clear" w:color="auto" w:fill="auto"/>
            <w:noWrap/>
            <w:vAlign w:val="center"/>
            <w:hideMark/>
          </w:tcPr>
          <w:p w14:paraId="2AF4C37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MINCETUR</w:t>
            </w:r>
          </w:p>
        </w:tc>
        <w:tc>
          <w:tcPr>
            <w:tcW w:w="1216" w:type="dxa"/>
            <w:shd w:val="clear" w:color="auto" w:fill="auto"/>
            <w:noWrap/>
            <w:vAlign w:val="center"/>
            <w:hideMark/>
          </w:tcPr>
          <w:p w14:paraId="0AFBDFB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37</w:t>
            </w:r>
          </w:p>
        </w:tc>
        <w:tc>
          <w:tcPr>
            <w:tcW w:w="1216" w:type="dxa"/>
            <w:shd w:val="clear" w:color="auto" w:fill="auto"/>
            <w:noWrap/>
            <w:vAlign w:val="center"/>
            <w:hideMark/>
          </w:tcPr>
          <w:p w14:paraId="7BC1178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w:t>
            </w:r>
          </w:p>
        </w:tc>
        <w:tc>
          <w:tcPr>
            <w:tcW w:w="1216" w:type="dxa"/>
            <w:shd w:val="clear" w:color="auto" w:fill="E7E6E6" w:themeFill="background2"/>
            <w:noWrap/>
            <w:vAlign w:val="center"/>
            <w:hideMark/>
          </w:tcPr>
          <w:p w14:paraId="39B0D03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40</w:t>
            </w:r>
          </w:p>
        </w:tc>
      </w:tr>
      <w:tr w:rsidR="00EC7A4C" w:rsidRPr="00EC7A4C" w14:paraId="36C38436" w14:textId="77777777" w:rsidTr="00DA42C9">
        <w:trPr>
          <w:trHeight w:val="290"/>
          <w:jc w:val="center"/>
        </w:trPr>
        <w:tc>
          <w:tcPr>
            <w:tcW w:w="421" w:type="dxa"/>
          </w:tcPr>
          <w:p w14:paraId="3D4F0E9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17</w:t>
            </w:r>
          </w:p>
        </w:tc>
        <w:tc>
          <w:tcPr>
            <w:tcW w:w="4425" w:type="dxa"/>
            <w:shd w:val="clear" w:color="auto" w:fill="auto"/>
            <w:noWrap/>
            <w:vAlign w:val="center"/>
            <w:hideMark/>
          </w:tcPr>
          <w:p w14:paraId="1CEF49A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INDECI</w:t>
            </w:r>
          </w:p>
        </w:tc>
        <w:tc>
          <w:tcPr>
            <w:tcW w:w="1216" w:type="dxa"/>
            <w:shd w:val="clear" w:color="auto" w:fill="auto"/>
            <w:noWrap/>
            <w:vAlign w:val="center"/>
            <w:hideMark/>
          </w:tcPr>
          <w:p w14:paraId="22E9C8F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32</w:t>
            </w:r>
          </w:p>
        </w:tc>
        <w:tc>
          <w:tcPr>
            <w:tcW w:w="1216" w:type="dxa"/>
            <w:shd w:val="clear" w:color="auto" w:fill="auto"/>
            <w:noWrap/>
            <w:vAlign w:val="center"/>
            <w:hideMark/>
          </w:tcPr>
          <w:p w14:paraId="7DCE724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w:t>
            </w:r>
          </w:p>
        </w:tc>
        <w:tc>
          <w:tcPr>
            <w:tcW w:w="1216" w:type="dxa"/>
            <w:shd w:val="clear" w:color="auto" w:fill="E7E6E6" w:themeFill="background2"/>
            <w:noWrap/>
            <w:vAlign w:val="center"/>
            <w:hideMark/>
          </w:tcPr>
          <w:p w14:paraId="74031ED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37</w:t>
            </w:r>
          </w:p>
        </w:tc>
      </w:tr>
      <w:tr w:rsidR="00EC7A4C" w:rsidRPr="00EC7A4C" w14:paraId="672F42ED" w14:textId="77777777" w:rsidTr="00DA42C9">
        <w:trPr>
          <w:trHeight w:val="290"/>
          <w:jc w:val="center"/>
        </w:trPr>
        <w:tc>
          <w:tcPr>
            <w:tcW w:w="421" w:type="dxa"/>
          </w:tcPr>
          <w:p w14:paraId="05B3DE9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18</w:t>
            </w:r>
          </w:p>
        </w:tc>
        <w:tc>
          <w:tcPr>
            <w:tcW w:w="4425" w:type="dxa"/>
            <w:shd w:val="clear" w:color="auto" w:fill="auto"/>
            <w:noWrap/>
            <w:vAlign w:val="center"/>
            <w:hideMark/>
          </w:tcPr>
          <w:p w14:paraId="606E171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MINCUL</w:t>
            </w:r>
          </w:p>
        </w:tc>
        <w:tc>
          <w:tcPr>
            <w:tcW w:w="1216" w:type="dxa"/>
            <w:shd w:val="clear" w:color="auto" w:fill="auto"/>
            <w:noWrap/>
            <w:vAlign w:val="center"/>
            <w:hideMark/>
          </w:tcPr>
          <w:p w14:paraId="7A7808C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29</w:t>
            </w:r>
          </w:p>
        </w:tc>
        <w:tc>
          <w:tcPr>
            <w:tcW w:w="1216" w:type="dxa"/>
            <w:shd w:val="clear" w:color="auto" w:fill="auto"/>
            <w:noWrap/>
            <w:vAlign w:val="center"/>
            <w:hideMark/>
          </w:tcPr>
          <w:p w14:paraId="69F64C3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2</w:t>
            </w:r>
          </w:p>
        </w:tc>
        <w:tc>
          <w:tcPr>
            <w:tcW w:w="1216" w:type="dxa"/>
            <w:shd w:val="clear" w:color="auto" w:fill="E7E6E6" w:themeFill="background2"/>
            <w:noWrap/>
            <w:vAlign w:val="center"/>
            <w:hideMark/>
          </w:tcPr>
          <w:p w14:paraId="28D7504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31</w:t>
            </w:r>
          </w:p>
        </w:tc>
      </w:tr>
      <w:tr w:rsidR="00EC7A4C" w:rsidRPr="00EC7A4C" w14:paraId="037B1343" w14:textId="77777777" w:rsidTr="00DA42C9">
        <w:trPr>
          <w:trHeight w:val="290"/>
          <w:jc w:val="center"/>
        </w:trPr>
        <w:tc>
          <w:tcPr>
            <w:tcW w:w="4846" w:type="dxa"/>
            <w:gridSpan w:val="2"/>
          </w:tcPr>
          <w:p w14:paraId="66CE345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Total</w:t>
            </w:r>
          </w:p>
        </w:tc>
        <w:tc>
          <w:tcPr>
            <w:tcW w:w="1216" w:type="dxa"/>
            <w:shd w:val="clear" w:color="auto" w:fill="auto"/>
            <w:noWrap/>
            <w:vAlign w:val="center"/>
          </w:tcPr>
          <w:p w14:paraId="0FBA2E9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814</w:t>
            </w:r>
          </w:p>
        </w:tc>
        <w:tc>
          <w:tcPr>
            <w:tcW w:w="1216" w:type="dxa"/>
            <w:shd w:val="clear" w:color="auto" w:fill="auto"/>
            <w:noWrap/>
            <w:vAlign w:val="center"/>
          </w:tcPr>
          <w:p w14:paraId="749A39E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150</w:t>
            </w:r>
          </w:p>
        </w:tc>
        <w:tc>
          <w:tcPr>
            <w:tcW w:w="1216" w:type="dxa"/>
            <w:shd w:val="clear" w:color="auto" w:fill="E7E6E6" w:themeFill="background2"/>
            <w:noWrap/>
            <w:vAlign w:val="center"/>
          </w:tcPr>
          <w:p w14:paraId="5BAC7E6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964</w:t>
            </w:r>
          </w:p>
        </w:tc>
      </w:tr>
    </w:tbl>
    <w:p w14:paraId="239EA7E4" w14:textId="77777777" w:rsidR="00AA4BAE" w:rsidRPr="00A61DFC" w:rsidRDefault="00AA4BAE" w:rsidP="00AA4BAE">
      <w:pPr>
        <w:jc w:val="both"/>
        <w:rPr>
          <w:rFonts w:ascii="Open Sans Light" w:eastAsia="Open Sans Light" w:hAnsi="Open Sans Light" w:cs="Open Sans Light"/>
          <w:sz w:val="24"/>
          <w:szCs w:val="24"/>
        </w:rPr>
      </w:pPr>
    </w:p>
    <w:p w14:paraId="189B924C" w14:textId="2058E0EB" w:rsidR="00AA4BAE" w:rsidRDefault="00AA4BAE" w:rsidP="00AA4BAE">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Asimismo, en todas las entidades que participaron en al menos 3 sesiones, a excepción del MIMP, los representantes alternos participaron como únicos representantes de su entidad en más del 74% de sesiones, a pesar de la importancia política de la CMP como espacio de toma de decisiones en el marco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w:t>
      </w:r>
    </w:p>
    <w:p w14:paraId="491765BA" w14:textId="04A892F2" w:rsidR="00FC0BFB" w:rsidRPr="00EC7A4C" w:rsidRDefault="00442AA6" w:rsidP="00FC0BFB">
      <w:pPr>
        <w:pStyle w:val="ESTILOTABLA"/>
        <w:rPr>
          <w:i w:val="0"/>
        </w:rPr>
      </w:pPr>
      <w:r w:rsidRPr="00E1753D">
        <w:t xml:space="preserve">Tabla </w:t>
      </w:r>
      <w:r w:rsidR="00354646">
        <w:fldChar w:fldCharType="begin"/>
      </w:r>
      <w:r w:rsidR="00354646">
        <w:instrText xml:space="preserve"> SEQ Tabla \* ARABIC </w:instrText>
      </w:r>
      <w:r w:rsidR="00354646">
        <w:fldChar w:fldCharType="separate"/>
      </w:r>
      <w:r w:rsidR="00846FB2">
        <w:rPr>
          <w:noProof/>
        </w:rPr>
        <w:t>14</w:t>
      </w:r>
      <w:r w:rsidR="00354646">
        <w:rPr>
          <w:noProof/>
        </w:rPr>
        <w:fldChar w:fldCharType="end"/>
      </w:r>
      <w:r w:rsidRPr="00E1753D">
        <w:t>.</w:t>
      </w:r>
      <w:r w:rsidRPr="00E1753D">
        <w:rPr>
          <w:rFonts w:eastAsia="Open Sans Light"/>
          <w:b/>
          <w:color w:val="000000"/>
          <w:szCs w:val="24"/>
        </w:rPr>
        <w:t xml:space="preserve"> </w:t>
      </w:r>
      <w:r w:rsidR="00FC0BFB" w:rsidRPr="004D0E60">
        <w:rPr>
          <w:rFonts w:eastAsia="Open Sans Light"/>
          <w:b/>
          <w:bCs/>
          <w:i w:val="0"/>
          <w:szCs w:val="24"/>
        </w:rPr>
        <w:t>Representante alterno como único representante de la entidad en las sesiones del CMP</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2"/>
        <w:gridCol w:w="3226"/>
        <w:gridCol w:w="1304"/>
        <w:gridCol w:w="1991"/>
        <w:gridCol w:w="1411"/>
      </w:tblGrid>
      <w:tr w:rsidR="00EC7A4C" w:rsidRPr="00EC7A4C" w14:paraId="326A91A7" w14:textId="77777777" w:rsidTr="00DA42C9">
        <w:trPr>
          <w:trHeight w:val="290"/>
          <w:tblHeader/>
          <w:jc w:val="center"/>
        </w:trPr>
        <w:tc>
          <w:tcPr>
            <w:tcW w:w="562" w:type="dxa"/>
            <w:shd w:val="clear" w:color="auto" w:fill="000000" w:themeFill="text1"/>
          </w:tcPr>
          <w:p w14:paraId="248593FF"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p>
        </w:tc>
        <w:tc>
          <w:tcPr>
            <w:tcW w:w="3226" w:type="dxa"/>
            <w:shd w:val="clear" w:color="auto" w:fill="000000" w:themeFill="text1"/>
            <w:noWrap/>
            <w:vAlign w:val="center"/>
            <w:hideMark/>
          </w:tcPr>
          <w:p w14:paraId="338B7275"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r w:rsidRPr="00A61DFC">
              <w:rPr>
                <w:rFonts w:ascii="Open Sans Light" w:eastAsia="Times New Roman" w:hAnsi="Open Sans Light" w:cs="Open Sans Light"/>
                <w:b/>
                <w:bCs/>
                <w:lang w:val="es-PE"/>
              </w:rPr>
              <w:t>Entidad</w:t>
            </w:r>
          </w:p>
        </w:tc>
        <w:tc>
          <w:tcPr>
            <w:tcW w:w="1304" w:type="dxa"/>
            <w:shd w:val="clear" w:color="auto" w:fill="000000" w:themeFill="text1"/>
            <w:noWrap/>
            <w:vAlign w:val="center"/>
          </w:tcPr>
          <w:p w14:paraId="07B2BDA9"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r w:rsidRPr="00A61DFC">
              <w:rPr>
                <w:rFonts w:ascii="Open Sans Light" w:hAnsi="Open Sans Light" w:cs="Open Sans Light"/>
                <w:b/>
                <w:bCs/>
              </w:rPr>
              <w:t>Sesiones asistidas</w:t>
            </w:r>
          </w:p>
        </w:tc>
        <w:tc>
          <w:tcPr>
            <w:tcW w:w="1991" w:type="dxa"/>
            <w:shd w:val="clear" w:color="auto" w:fill="000000" w:themeFill="text1"/>
            <w:noWrap/>
            <w:vAlign w:val="center"/>
          </w:tcPr>
          <w:p w14:paraId="6F22B6FC"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r w:rsidRPr="00A61DFC">
              <w:rPr>
                <w:rFonts w:ascii="Open Sans Light" w:hAnsi="Open Sans Light" w:cs="Open Sans Light"/>
                <w:b/>
                <w:bCs/>
              </w:rPr>
              <w:t>Asistencia solamente de representante alterno</w:t>
            </w:r>
          </w:p>
        </w:tc>
        <w:tc>
          <w:tcPr>
            <w:tcW w:w="1411" w:type="dxa"/>
            <w:shd w:val="clear" w:color="auto" w:fill="000000" w:themeFill="text1"/>
            <w:noWrap/>
            <w:vAlign w:val="center"/>
          </w:tcPr>
          <w:p w14:paraId="21D2E366" w14:textId="77777777" w:rsidR="00AA4BAE" w:rsidRPr="00A61DFC" w:rsidRDefault="00AA4BAE" w:rsidP="00DA42C9">
            <w:pPr>
              <w:spacing w:after="0" w:line="240" w:lineRule="auto"/>
              <w:jc w:val="center"/>
              <w:rPr>
                <w:rFonts w:ascii="Open Sans Light" w:eastAsia="Times New Roman" w:hAnsi="Open Sans Light" w:cs="Open Sans Light"/>
                <w:b/>
                <w:bCs/>
                <w:lang w:val="es-PE"/>
              </w:rPr>
            </w:pPr>
            <w:r w:rsidRPr="00A61DFC">
              <w:rPr>
                <w:rFonts w:ascii="Open Sans Light" w:hAnsi="Open Sans Light" w:cs="Open Sans Light"/>
                <w:b/>
                <w:bCs/>
              </w:rPr>
              <w:t>Porcentaje</w:t>
            </w:r>
          </w:p>
        </w:tc>
      </w:tr>
      <w:tr w:rsidR="00EC7A4C" w:rsidRPr="00EC7A4C" w14:paraId="42548E9E" w14:textId="77777777" w:rsidTr="00DA42C9">
        <w:trPr>
          <w:trHeight w:val="290"/>
          <w:jc w:val="center"/>
        </w:trPr>
        <w:tc>
          <w:tcPr>
            <w:tcW w:w="562" w:type="dxa"/>
          </w:tcPr>
          <w:p w14:paraId="3D62861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w:t>
            </w:r>
          </w:p>
        </w:tc>
        <w:tc>
          <w:tcPr>
            <w:tcW w:w="3226" w:type="dxa"/>
            <w:shd w:val="clear" w:color="auto" w:fill="auto"/>
            <w:noWrap/>
            <w:vAlign w:val="center"/>
            <w:hideMark/>
          </w:tcPr>
          <w:p w14:paraId="07BEF2B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MINISTERIO PUBLICO</w:t>
            </w:r>
          </w:p>
        </w:tc>
        <w:tc>
          <w:tcPr>
            <w:tcW w:w="1304" w:type="dxa"/>
            <w:shd w:val="clear" w:color="auto" w:fill="auto"/>
            <w:noWrap/>
            <w:vAlign w:val="center"/>
          </w:tcPr>
          <w:p w14:paraId="4371AEC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48</w:t>
            </w:r>
          </w:p>
        </w:tc>
        <w:tc>
          <w:tcPr>
            <w:tcW w:w="1991" w:type="dxa"/>
            <w:shd w:val="clear" w:color="auto" w:fill="auto"/>
            <w:noWrap/>
            <w:vAlign w:val="bottom"/>
          </w:tcPr>
          <w:p w14:paraId="7B4A8B1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47</w:t>
            </w:r>
          </w:p>
        </w:tc>
        <w:tc>
          <w:tcPr>
            <w:tcW w:w="1411" w:type="dxa"/>
            <w:shd w:val="clear" w:color="auto" w:fill="E7E6E6" w:themeFill="background2"/>
            <w:noWrap/>
            <w:vAlign w:val="bottom"/>
          </w:tcPr>
          <w:p w14:paraId="75C5DA4C"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98%</w:t>
            </w:r>
          </w:p>
        </w:tc>
      </w:tr>
      <w:tr w:rsidR="00EC7A4C" w:rsidRPr="00EC7A4C" w14:paraId="157CDDB7" w14:textId="77777777" w:rsidTr="00DA42C9">
        <w:trPr>
          <w:trHeight w:val="290"/>
          <w:jc w:val="center"/>
        </w:trPr>
        <w:tc>
          <w:tcPr>
            <w:tcW w:w="562" w:type="dxa"/>
          </w:tcPr>
          <w:p w14:paraId="40F02AB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2</w:t>
            </w:r>
          </w:p>
        </w:tc>
        <w:tc>
          <w:tcPr>
            <w:tcW w:w="3226" w:type="dxa"/>
            <w:shd w:val="clear" w:color="auto" w:fill="auto"/>
            <w:noWrap/>
            <w:vAlign w:val="center"/>
            <w:hideMark/>
          </w:tcPr>
          <w:p w14:paraId="58A3E78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PJ</w:t>
            </w:r>
          </w:p>
        </w:tc>
        <w:tc>
          <w:tcPr>
            <w:tcW w:w="1304" w:type="dxa"/>
            <w:shd w:val="clear" w:color="auto" w:fill="auto"/>
            <w:noWrap/>
            <w:vAlign w:val="center"/>
          </w:tcPr>
          <w:p w14:paraId="22F6FF1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40</w:t>
            </w:r>
          </w:p>
        </w:tc>
        <w:tc>
          <w:tcPr>
            <w:tcW w:w="1991" w:type="dxa"/>
            <w:shd w:val="clear" w:color="auto" w:fill="auto"/>
            <w:noWrap/>
            <w:vAlign w:val="bottom"/>
          </w:tcPr>
          <w:p w14:paraId="78A4DA4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39</w:t>
            </w:r>
          </w:p>
        </w:tc>
        <w:tc>
          <w:tcPr>
            <w:tcW w:w="1411" w:type="dxa"/>
            <w:shd w:val="clear" w:color="auto" w:fill="E7E6E6" w:themeFill="background2"/>
            <w:noWrap/>
            <w:vAlign w:val="bottom"/>
          </w:tcPr>
          <w:p w14:paraId="675726E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98%</w:t>
            </w:r>
          </w:p>
        </w:tc>
      </w:tr>
      <w:tr w:rsidR="00EC7A4C" w:rsidRPr="00EC7A4C" w14:paraId="1F1C01B6" w14:textId="77777777" w:rsidTr="00DA42C9">
        <w:trPr>
          <w:trHeight w:val="290"/>
          <w:jc w:val="center"/>
        </w:trPr>
        <w:tc>
          <w:tcPr>
            <w:tcW w:w="562" w:type="dxa"/>
          </w:tcPr>
          <w:p w14:paraId="72526ED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3</w:t>
            </w:r>
          </w:p>
        </w:tc>
        <w:tc>
          <w:tcPr>
            <w:tcW w:w="3226" w:type="dxa"/>
            <w:shd w:val="clear" w:color="auto" w:fill="auto"/>
            <w:noWrap/>
            <w:vAlign w:val="center"/>
            <w:hideMark/>
          </w:tcPr>
          <w:p w14:paraId="5F74667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RENIEC</w:t>
            </w:r>
          </w:p>
        </w:tc>
        <w:tc>
          <w:tcPr>
            <w:tcW w:w="1304" w:type="dxa"/>
            <w:shd w:val="clear" w:color="auto" w:fill="auto"/>
            <w:noWrap/>
            <w:vAlign w:val="center"/>
          </w:tcPr>
          <w:p w14:paraId="0F8B83A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51</w:t>
            </w:r>
          </w:p>
        </w:tc>
        <w:tc>
          <w:tcPr>
            <w:tcW w:w="1991" w:type="dxa"/>
            <w:shd w:val="clear" w:color="auto" w:fill="auto"/>
            <w:noWrap/>
            <w:vAlign w:val="bottom"/>
          </w:tcPr>
          <w:p w14:paraId="7647504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49</w:t>
            </w:r>
          </w:p>
        </w:tc>
        <w:tc>
          <w:tcPr>
            <w:tcW w:w="1411" w:type="dxa"/>
            <w:shd w:val="clear" w:color="auto" w:fill="E7E6E6" w:themeFill="background2"/>
            <w:noWrap/>
            <w:vAlign w:val="bottom"/>
          </w:tcPr>
          <w:p w14:paraId="28DF71C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96%</w:t>
            </w:r>
          </w:p>
        </w:tc>
      </w:tr>
      <w:tr w:rsidR="00EC7A4C" w:rsidRPr="00EC7A4C" w14:paraId="4BEF70D9" w14:textId="77777777" w:rsidTr="00DA42C9">
        <w:trPr>
          <w:trHeight w:val="290"/>
          <w:jc w:val="center"/>
        </w:trPr>
        <w:tc>
          <w:tcPr>
            <w:tcW w:w="562" w:type="dxa"/>
          </w:tcPr>
          <w:p w14:paraId="0187477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5</w:t>
            </w:r>
          </w:p>
        </w:tc>
        <w:tc>
          <w:tcPr>
            <w:tcW w:w="3226" w:type="dxa"/>
            <w:shd w:val="clear" w:color="auto" w:fill="auto"/>
            <w:noWrap/>
            <w:vAlign w:val="center"/>
            <w:hideMark/>
          </w:tcPr>
          <w:p w14:paraId="3DCC71B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DEVIDA</w:t>
            </w:r>
          </w:p>
        </w:tc>
        <w:tc>
          <w:tcPr>
            <w:tcW w:w="1304" w:type="dxa"/>
            <w:shd w:val="clear" w:color="auto" w:fill="auto"/>
            <w:noWrap/>
            <w:vAlign w:val="center"/>
          </w:tcPr>
          <w:p w14:paraId="67339E7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48</w:t>
            </w:r>
          </w:p>
        </w:tc>
        <w:tc>
          <w:tcPr>
            <w:tcW w:w="1991" w:type="dxa"/>
            <w:shd w:val="clear" w:color="auto" w:fill="auto"/>
            <w:noWrap/>
            <w:vAlign w:val="bottom"/>
          </w:tcPr>
          <w:p w14:paraId="42536C3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45</w:t>
            </w:r>
          </w:p>
        </w:tc>
        <w:tc>
          <w:tcPr>
            <w:tcW w:w="1411" w:type="dxa"/>
            <w:shd w:val="clear" w:color="auto" w:fill="E7E6E6" w:themeFill="background2"/>
            <w:noWrap/>
            <w:vAlign w:val="bottom"/>
          </w:tcPr>
          <w:p w14:paraId="156B2EC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94%</w:t>
            </w:r>
          </w:p>
        </w:tc>
      </w:tr>
      <w:tr w:rsidR="00EC7A4C" w:rsidRPr="00EC7A4C" w14:paraId="6D5C2B9E" w14:textId="77777777" w:rsidTr="00DA42C9">
        <w:trPr>
          <w:trHeight w:val="290"/>
          <w:jc w:val="center"/>
        </w:trPr>
        <w:tc>
          <w:tcPr>
            <w:tcW w:w="562" w:type="dxa"/>
          </w:tcPr>
          <w:p w14:paraId="3BC910C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6</w:t>
            </w:r>
          </w:p>
        </w:tc>
        <w:tc>
          <w:tcPr>
            <w:tcW w:w="3226" w:type="dxa"/>
            <w:shd w:val="clear" w:color="auto" w:fill="auto"/>
            <w:noWrap/>
            <w:vAlign w:val="center"/>
            <w:hideMark/>
          </w:tcPr>
          <w:p w14:paraId="2B952A8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MINAM</w:t>
            </w:r>
          </w:p>
        </w:tc>
        <w:tc>
          <w:tcPr>
            <w:tcW w:w="1304" w:type="dxa"/>
            <w:shd w:val="clear" w:color="auto" w:fill="auto"/>
            <w:noWrap/>
            <w:vAlign w:val="center"/>
          </w:tcPr>
          <w:p w14:paraId="148DA2D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47</w:t>
            </w:r>
          </w:p>
        </w:tc>
        <w:tc>
          <w:tcPr>
            <w:tcW w:w="1991" w:type="dxa"/>
            <w:shd w:val="clear" w:color="auto" w:fill="auto"/>
            <w:noWrap/>
            <w:vAlign w:val="bottom"/>
          </w:tcPr>
          <w:p w14:paraId="18ADAAA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44</w:t>
            </w:r>
          </w:p>
        </w:tc>
        <w:tc>
          <w:tcPr>
            <w:tcW w:w="1411" w:type="dxa"/>
            <w:shd w:val="clear" w:color="auto" w:fill="E7E6E6" w:themeFill="background2"/>
            <w:noWrap/>
            <w:vAlign w:val="bottom"/>
          </w:tcPr>
          <w:p w14:paraId="59780B7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94%</w:t>
            </w:r>
          </w:p>
        </w:tc>
      </w:tr>
      <w:tr w:rsidR="00EC7A4C" w:rsidRPr="00EC7A4C" w14:paraId="692AB276" w14:textId="77777777" w:rsidTr="00DA42C9">
        <w:trPr>
          <w:trHeight w:val="290"/>
          <w:jc w:val="center"/>
        </w:trPr>
        <w:tc>
          <w:tcPr>
            <w:tcW w:w="562" w:type="dxa"/>
          </w:tcPr>
          <w:p w14:paraId="04023B5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7</w:t>
            </w:r>
          </w:p>
        </w:tc>
        <w:tc>
          <w:tcPr>
            <w:tcW w:w="3226" w:type="dxa"/>
            <w:shd w:val="clear" w:color="auto" w:fill="auto"/>
            <w:noWrap/>
            <w:vAlign w:val="center"/>
            <w:hideMark/>
          </w:tcPr>
          <w:p w14:paraId="64AC5F6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MINCUL</w:t>
            </w:r>
          </w:p>
        </w:tc>
        <w:tc>
          <w:tcPr>
            <w:tcW w:w="1304" w:type="dxa"/>
            <w:shd w:val="clear" w:color="auto" w:fill="auto"/>
            <w:noWrap/>
            <w:vAlign w:val="center"/>
          </w:tcPr>
          <w:p w14:paraId="43D620C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30</w:t>
            </w:r>
          </w:p>
        </w:tc>
        <w:tc>
          <w:tcPr>
            <w:tcW w:w="1991" w:type="dxa"/>
            <w:shd w:val="clear" w:color="auto" w:fill="auto"/>
            <w:noWrap/>
            <w:vAlign w:val="bottom"/>
          </w:tcPr>
          <w:p w14:paraId="08B565D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28</w:t>
            </w:r>
          </w:p>
        </w:tc>
        <w:tc>
          <w:tcPr>
            <w:tcW w:w="1411" w:type="dxa"/>
            <w:shd w:val="clear" w:color="auto" w:fill="E7E6E6" w:themeFill="background2"/>
            <w:noWrap/>
            <w:vAlign w:val="bottom"/>
          </w:tcPr>
          <w:p w14:paraId="32119FC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93%</w:t>
            </w:r>
          </w:p>
        </w:tc>
      </w:tr>
      <w:tr w:rsidR="00EC7A4C" w:rsidRPr="00EC7A4C" w14:paraId="71EC7DA4" w14:textId="77777777" w:rsidTr="00DA42C9">
        <w:trPr>
          <w:trHeight w:val="290"/>
          <w:jc w:val="center"/>
        </w:trPr>
        <w:tc>
          <w:tcPr>
            <w:tcW w:w="562" w:type="dxa"/>
          </w:tcPr>
          <w:p w14:paraId="260D42A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8</w:t>
            </w:r>
          </w:p>
        </w:tc>
        <w:tc>
          <w:tcPr>
            <w:tcW w:w="3226" w:type="dxa"/>
            <w:shd w:val="clear" w:color="auto" w:fill="auto"/>
            <w:noWrap/>
            <w:vAlign w:val="center"/>
            <w:hideMark/>
          </w:tcPr>
          <w:p w14:paraId="65C35FE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MINCETUR</w:t>
            </w:r>
          </w:p>
        </w:tc>
        <w:tc>
          <w:tcPr>
            <w:tcW w:w="1304" w:type="dxa"/>
            <w:shd w:val="clear" w:color="auto" w:fill="auto"/>
            <w:noWrap/>
            <w:vAlign w:val="center"/>
          </w:tcPr>
          <w:p w14:paraId="134218B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39</w:t>
            </w:r>
          </w:p>
        </w:tc>
        <w:tc>
          <w:tcPr>
            <w:tcW w:w="1991" w:type="dxa"/>
            <w:shd w:val="clear" w:color="auto" w:fill="auto"/>
            <w:noWrap/>
            <w:vAlign w:val="bottom"/>
          </w:tcPr>
          <w:p w14:paraId="69BA5C5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36</w:t>
            </w:r>
          </w:p>
        </w:tc>
        <w:tc>
          <w:tcPr>
            <w:tcW w:w="1411" w:type="dxa"/>
            <w:shd w:val="clear" w:color="auto" w:fill="E7E6E6" w:themeFill="background2"/>
            <w:noWrap/>
            <w:vAlign w:val="bottom"/>
          </w:tcPr>
          <w:p w14:paraId="2D74B91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92%</w:t>
            </w:r>
          </w:p>
        </w:tc>
      </w:tr>
      <w:tr w:rsidR="00EC7A4C" w:rsidRPr="00EC7A4C" w14:paraId="5870DDD3" w14:textId="77777777" w:rsidTr="00DA42C9">
        <w:trPr>
          <w:trHeight w:val="290"/>
          <w:jc w:val="center"/>
        </w:trPr>
        <w:tc>
          <w:tcPr>
            <w:tcW w:w="562" w:type="dxa"/>
          </w:tcPr>
          <w:p w14:paraId="189CECD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9</w:t>
            </w:r>
          </w:p>
        </w:tc>
        <w:tc>
          <w:tcPr>
            <w:tcW w:w="3226" w:type="dxa"/>
            <w:shd w:val="clear" w:color="auto" w:fill="auto"/>
            <w:noWrap/>
            <w:vAlign w:val="center"/>
            <w:hideMark/>
          </w:tcPr>
          <w:p w14:paraId="5736120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MTC</w:t>
            </w:r>
          </w:p>
        </w:tc>
        <w:tc>
          <w:tcPr>
            <w:tcW w:w="1304" w:type="dxa"/>
            <w:shd w:val="clear" w:color="auto" w:fill="auto"/>
            <w:noWrap/>
            <w:vAlign w:val="center"/>
          </w:tcPr>
          <w:p w14:paraId="505E52E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58</w:t>
            </w:r>
          </w:p>
        </w:tc>
        <w:tc>
          <w:tcPr>
            <w:tcW w:w="1991" w:type="dxa"/>
            <w:shd w:val="clear" w:color="auto" w:fill="auto"/>
            <w:noWrap/>
            <w:vAlign w:val="bottom"/>
          </w:tcPr>
          <w:p w14:paraId="4DA0841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53</w:t>
            </w:r>
          </w:p>
        </w:tc>
        <w:tc>
          <w:tcPr>
            <w:tcW w:w="1411" w:type="dxa"/>
            <w:shd w:val="clear" w:color="auto" w:fill="E7E6E6" w:themeFill="background2"/>
            <w:noWrap/>
            <w:vAlign w:val="bottom"/>
          </w:tcPr>
          <w:p w14:paraId="21F894C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91%</w:t>
            </w:r>
          </w:p>
        </w:tc>
      </w:tr>
      <w:tr w:rsidR="00EC7A4C" w:rsidRPr="00EC7A4C" w14:paraId="658ACDE4" w14:textId="77777777" w:rsidTr="00DA42C9">
        <w:trPr>
          <w:trHeight w:val="290"/>
          <w:jc w:val="center"/>
        </w:trPr>
        <w:tc>
          <w:tcPr>
            <w:tcW w:w="562" w:type="dxa"/>
          </w:tcPr>
          <w:p w14:paraId="7CFADCB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10</w:t>
            </w:r>
          </w:p>
        </w:tc>
        <w:tc>
          <w:tcPr>
            <w:tcW w:w="3226" w:type="dxa"/>
            <w:shd w:val="clear" w:color="auto" w:fill="auto"/>
            <w:noWrap/>
            <w:vAlign w:val="center"/>
            <w:hideMark/>
          </w:tcPr>
          <w:p w14:paraId="3EF1418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MININTER</w:t>
            </w:r>
          </w:p>
        </w:tc>
        <w:tc>
          <w:tcPr>
            <w:tcW w:w="1304" w:type="dxa"/>
            <w:shd w:val="clear" w:color="auto" w:fill="auto"/>
            <w:noWrap/>
            <w:vAlign w:val="center"/>
          </w:tcPr>
          <w:p w14:paraId="486AA53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52</w:t>
            </w:r>
          </w:p>
        </w:tc>
        <w:tc>
          <w:tcPr>
            <w:tcW w:w="1991" w:type="dxa"/>
            <w:shd w:val="clear" w:color="auto" w:fill="auto"/>
            <w:noWrap/>
            <w:vAlign w:val="bottom"/>
          </w:tcPr>
          <w:p w14:paraId="3E500C8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46</w:t>
            </w:r>
          </w:p>
        </w:tc>
        <w:tc>
          <w:tcPr>
            <w:tcW w:w="1411" w:type="dxa"/>
            <w:shd w:val="clear" w:color="auto" w:fill="E7E6E6" w:themeFill="background2"/>
            <w:noWrap/>
            <w:vAlign w:val="bottom"/>
          </w:tcPr>
          <w:p w14:paraId="1FFDC56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88%</w:t>
            </w:r>
          </w:p>
        </w:tc>
      </w:tr>
      <w:tr w:rsidR="00EC7A4C" w:rsidRPr="00EC7A4C" w14:paraId="0FA21F35" w14:textId="77777777" w:rsidTr="00DA42C9">
        <w:trPr>
          <w:trHeight w:val="290"/>
          <w:jc w:val="center"/>
        </w:trPr>
        <w:tc>
          <w:tcPr>
            <w:tcW w:w="562" w:type="dxa"/>
          </w:tcPr>
          <w:p w14:paraId="19099CF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11</w:t>
            </w:r>
          </w:p>
        </w:tc>
        <w:tc>
          <w:tcPr>
            <w:tcW w:w="3226" w:type="dxa"/>
            <w:shd w:val="clear" w:color="auto" w:fill="auto"/>
            <w:noWrap/>
            <w:vAlign w:val="center"/>
            <w:hideMark/>
          </w:tcPr>
          <w:p w14:paraId="20D864B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PCM</w:t>
            </w:r>
          </w:p>
        </w:tc>
        <w:tc>
          <w:tcPr>
            <w:tcW w:w="1304" w:type="dxa"/>
            <w:shd w:val="clear" w:color="auto" w:fill="auto"/>
            <w:noWrap/>
            <w:vAlign w:val="center"/>
          </w:tcPr>
          <w:p w14:paraId="289D5D6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43</w:t>
            </w:r>
          </w:p>
        </w:tc>
        <w:tc>
          <w:tcPr>
            <w:tcW w:w="1991" w:type="dxa"/>
            <w:shd w:val="clear" w:color="auto" w:fill="auto"/>
            <w:noWrap/>
            <w:vAlign w:val="bottom"/>
          </w:tcPr>
          <w:p w14:paraId="38163CB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38</w:t>
            </w:r>
          </w:p>
        </w:tc>
        <w:tc>
          <w:tcPr>
            <w:tcW w:w="1411" w:type="dxa"/>
            <w:shd w:val="clear" w:color="auto" w:fill="E7E6E6" w:themeFill="background2"/>
            <w:noWrap/>
            <w:vAlign w:val="bottom"/>
          </w:tcPr>
          <w:p w14:paraId="48235C8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88%</w:t>
            </w:r>
          </w:p>
        </w:tc>
      </w:tr>
      <w:tr w:rsidR="00EC7A4C" w:rsidRPr="00EC7A4C" w14:paraId="5F0044AF" w14:textId="77777777" w:rsidTr="00DA42C9">
        <w:trPr>
          <w:trHeight w:val="290"/>
          <w:jc w:val="center"/>
        </w:trPr>
        <w:tc>
          <w:tcPr>
            <w:tcW w:w="562" w:type="dxa"/>
          </w:tcPr>
          <w:p w14:paraId="5993FE8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lastRenderedPageBreak/>
              <w:t>12</w:t>
            </w:r>
          </w:p>
        </w:tc>
        <w:tc>
          <w:tcPr>
            <w:tcW w:w="3226" w:type="dxa"/>
            <w:shd w:val="clear" w:color="auto" w:fill="auto"/>
            <w:noWrap/>
            <w:vAlign w:val="center"/>
            <w:hideMark/>
          </w:tcPr>
          <w:p w14:paraId="1D979B4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INDECI</w:t>
            </w:r>
          </w:p>
        </w:tc>
        <w:tc>
          <w:tcPr>
            <w:tcW w:w="1304" w:type="dxa"/>
            <w:shd w:val="clear" w:color="auto" w:fill="auto"/>
            <w:noWrap/>
            <w:vAlign w:val="center"/>
          </w:tcPr>
          <w:p w14:paraId="5C2D4C7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33</w:t>
            </w:r>
          </w:p>
        </w:tc>
        <w:tc>
          <w:tcPr>
            <w:tcW w:w="1991" w:type="dxa"/>
            <w:shd w:val="clear" w:color="auto" w:fill="auto"/>
            <w:noWrap/>
            <w:vAlign w:val="bottom"/>
          </w:tcPr>
          <w:p w14:paraId="50DB17E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28</w:t>
            </w:r>
          </w:p>
        </w:tc>
        <w:tc>
          <w:tcPr>
            <w:tcW w:w="1411" w:type="dxa"/>
            <w:shd w:val="clear" w:color="auto" w:fill="E7E6E6" w:themeFill="background2"/>
            <w:noWrap/>
            <w:vAlign w:val="bottom"/>
          </w:tcPr>
          <w:p w14:paraId="00307B8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85%</w:t>
            </w:r>
          </w:p>
        </w:tc>
      </w:tr>
      <w:tr w:rsidR="00EC7A4C" w:rsidRPr="00EC7A4C" w14:paraId="0F5699C1" w14:textId="77777777" w:rsidTr="00DA42C9">
        <w:trPr>
          <w:trHeight w:val="290"/>
          <w:jc w:val="center"/>
        </w:trPr>
        <w:tc>
          <w:tcPr>
            <w:tcW w:w="562" w:type="dxa"/>
          </w:tcPr>
          <w:p w14:paraId="2857C87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13</w:t>
            </w:r>
          </w:p>
        </w:tc>
        <w:tc>
          <w:tcPr>
            <w:tcW w:w="3226" w:type="dxa"/>
            <w:shd w:val="clear" w:color="auto" w:fill="auto"/>
            <w:noWrap/>
            <w:vAlign w:val="center"/>
            <w:hideMark/>
          </w:tcPr>
          <w:p w14:paraId="4AB24BC1"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MINEDU</w:t>
            </w:r>
          </w:p>
        </w:tc>
        <w:tc>
          <w:tcPr>
            <w:tcW w:w="1304" w:type="dxa"/>
            <w:shd w:val="clear" w:color="auto" w:fill="auto"/>
            <w:noWrap/>
            <w:vAlign w:val="center"/>
          </w:tcPr>
          <w:p w14:paraId="351112BD"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46</w:t>
            </w:r>
          </w:p>
        </w:tc>
        <w:tc>
          <w:tcPr>
            <w:tcW w:w="1991" w:type="dxa"/>
            <w:shd w:val="clear" w:color="auto" w:fill="auto"/>
            <w:noWrap/>
            <w:vAlign w:val="bottom"/>
          </w:tcPr>
          <w:p w14:paraId="6B08BE8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39</w:t>
            </w:r>
          </w:p>
        </w:tc>
        <w:tc>
          <w:tcPr>
            <w:tcW w:w="1411" w:type="dxa"/>
            <w:shd w:val="clear" w:color="auto" w:fill="E7E6E6" w:themeFill="background2"/>
            <w:noWrap/>
            <w:vAlign w:val="bottom"/>
          </w:tcPr>
          <w:p w14:paraId="4981B05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85%</w:t>
            </w:r>
          </w:p>
        </w:tc>
      </w:tr>
      <w:tr w:rsidR="00EC7A4C" w:rsidRPr="00EC7A4C" w14:paraId="34EA5773" w14:textId="77777777" w:rsidTr="00DA42C9">
        <w:trPr>
          <w:trHeight w:val="290"/>
          <w:jc w:val="center"/>
        </w:trPr>
        <w:tc>
          <w:tcPr>
            <w:tcW w:w="562" w:type="dxa"/>
          </w:tcPr>
          <w:p w14:paraId="085531AC"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14</w:t>
            </w:r>
          </w:p>
        </w:tc>
        <w:tc>
          <w:tcPr>
            <w:tcW w:w="3226" w:type="dxa"/>
            <w:shd w:val="clear" w:color="auto" w:fill="auto"/>
            <w:noWrap/>
            <w:vAlign w:val="center"/>
            <w:hideMark/>
          </w:tcPr>
          <w:p w14:paraId="475F3B92"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MTPE</w:t>
            </w:r>
          </w:p>
        </w:tc>
        <w:tc>
          <w:tcPr>
            <w:tcW w:w="1304" w:type="dxa"/>
            <w:shd w:val="clear" w:color="auto" w:fill="auto"/>
            <w:noWrap/>
            <w:vAlign w:val="center"/>
          </w:tcPr>
          <w:p w14:paraId="2B7D30B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42</w:t>
            </w:r>
          </w:p>
        </w:tc>
        <w:tc>
          <w:tcPr>
            <w:tcW w:w="1991" w:type="dxa"/>
            <w:shd w:val="clear" w:color="auto" w:fill="auto"/>
            <w:noWrap/>
            <w:vAlign w:val="bottom"/>
          </w:tcPr>
          <w:p w14:paraId="7CC202A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35</w:t>
            </w:r>
          </w:p>
        </w:tc>
        <w:tc>
          <w:tcPr>
            <w:tcW w:w="1411" w:type="dxa"/>
            <w:shd w:val="clear" w:color="auto" w:fill="E7E6E6" w:themeFill="background2"/>
            <w:noWrap/>
            <w:vAlign w:val="bottom"/>
          </w:tcPr>
          <w:p w14:paraId="39EC2F9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83%</w:t>
            </w:r>
          </w:p>
        </w:tc>
      </w:tr>
      <w:tr w:rsidR="00EC7A4C" w:rsidRPr="00EC7A4C" w14:paraId="48A8EEAC" w14:textId="77777777" w:rsidTr="00DA42C9">
        <w:trPr>
          <w:trHeight w:val="290"/>
          <w:jc w:val="center"/>
        </w:trPr>
        <w:tc>
          <w:tcPr>
            <w:tcW w:w="562" w:type="dxa"/>
          </w:tcPr>
          <w:p w14:paraId="1D2994F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15</w:t>
            </w:r>
          </w:p>
        </w:tc>
        <w:tc>
          <w:tcPr>
            <w:tcW w:w="3226" w:type="dxa"/>
            <w:shd w:val="clear" w:color="auto" w:fill="auto"/>
            <w:noWrap/>
            <w:vAlign w:val="center"/>
            <w:hideMark/>
          </w:tcPr>
          <w:p w14:paraId="5F44BEC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MINSA</w:t>
            </w:r>
          </w:p>
        </w:tc>
        <w:tc>
          <w:tcPr>
            <w:tcW w:w="1304" w:type="dxa"/>
            <w:shd w:val="clear" w:color="auto" w:fill="auto"/>
            <w:noWrap/>
            <w:vAlign w:val="center"/>
          </w:tcPr>
          <w:p w14:paraId="6B583D4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48</w:t>
            </w:r>
          </w:p>
        </w:tc>
        <w:tc>
          <w:tcPr>
            <w:tcW w:w="1991" w:type="dxa"/>
            <w:shd w:val="clear" w:color="auto" w:fill="auto"/>
            <w:noWrap/>
            <w:vAlign w:val="bottom"/>
          </w:tcPr>
          <w:p w14:paraId="333383DE"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39</w:t>
            </w:r>
          </w:p>
        </w:tc>
        <w:tc>
          <w:tcPr>
            <w:tcW w:w="1411" w:type="dxa"/>
            <w:shd w:val="clear" w:color="auto" w:fill="E7E6E6" w:themeFill="background2"/>
            <w:noWrap/>
            <w:vAlign w:val="bottom"/>
          </w:tcPr>
          <w:p w14:paraId="5A56A29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81%</w:t>
            </w:r>
          </w:p>
        </w:tc>
      </w:tr>
      <w:tr w:rsidR="00EC7A4C" w:rsidRPr="00EC7A4C" w14:paraId="65206B0A" w14:textId="77777777" w:rsidTr="00DA42C9">
        <w:trPr>
          <w:trHeight w:val="290"/>
          <w:jc w:val="center"/>
        </w:trPr>
        <w:tc>
          <w:tcPr>
            <w:tcW w:w="562" w:type="dxa"/>
          </w:tcPr>
          <w:p w14:paraId="13D9189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16</w:t>
            </w:r>
          </w:p>
        </w:tc>
        <w:tc>
          <w:tcPr>
            <w:tcW w:w="3226" w:type="dxa"/>
            <w:shd w:val="clear" w:color="auto" w:fill="auto"/>
            <w:noWrap/>
            <w:vAlign w:val="center"/>
            <w:hideMark/>
          </w:tcPr>
          <w:p w14:paraId="0A907BF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MINJUSDH</w:t>
            </w:r>
          </w:p>
        </w:tc>
        <w:tc>
          <w:tcPr>
            <w:tcW w:w="1304" w:type="dxa"/>
            <w:shd w:val="clear" w:color="auto" w:fill="auto"/>
            <w:noWrap/>
            <w:vAlign w:val="center"/>
          </w:tcPr>
          <w:p w14:paraId="63EFC3C3"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61</w:t>
            </w:r>
          </w:p>
        </w:tc>
        <w:tc>
          <w:tcPr>
            <w:tcW w:w="1991" w:type="dxa"/>
            <w:shd w:val="clear" w:color="auto" w:fill="auto"/>
            <w:noWrap/>
            <w:vAlign w:val="bottom"/>
          </w:tcPr>
          <w:p w14:paraId="0035E94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49</w:t>
            </w:r>
          </w:p>
        </w:tc>
        <w:tc>
          <w:tcPr>
            <w:tcW w:w="1411" w:type="dxa"/>
            <w:shd w:val="clear" w:color="auto" w:fill="E7E6E6" w:themeFill="background2"/>
            <w:noWrap/>
            <w:vAlign w:val="bottom"/>
          </w:tcPr>
          <w:p w14:paraId="2F442A8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80%</w:t>
            </w:r>
          </w:p>
        </w:tc>
      </w:tr>
      <w:tr w:rsidR="00EC7A4C" w:rsidRPr="00EC7A4C" w14:paraId="2F7D3BE7" w14:textId="77777777" w:rsidTr="00DA42C9">
        <w:trPr>
          <w:trHeight w:val="290"/>
          <w:jc w:val="center"/>
        </w:trPr>
        <w:tc>
          <w:tcPr>
            <w:tcW w:w="562" w:type="dxa"/>
          </w:tcPr>
          <w:p w14:paraId="27B7395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17</w:t>
            </w:r>
          </w:p>
        </w:tc>
        <w:tc>
          <w:tcPr>
            <w:tcW w:w="3226" w:type="dxa"/>
            <w:shd w:val="clear" w:color="auto" w:fill="auto"/>
            <w:noWrap/>
            <w:vAlign w:val="center"/>
            <w:hideMark/>
          </w:tcPr>
          <w:p w14:paraId="3B20CA14"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MIDIS</w:t>
            </w:r>
          </w:p>
        </w:tc>
        <w:tc>
          <w:tcPr>
            <w:tcW w:w="1304" w:type="dxa"/>
            <w:shd w:val="clear" w:color="auto" w:fill="auto"/>
            <w:noWrap/>
            <w:vAlign w:val="center"/>
          </w:tcPr>
          <w:p w14:paraId="73F52F9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46</w:t>
            </w:r>
          </w:p>
        </w:tc>
        <w:tc>
          <w:tcPr>
            <w:tcW w:w="1991" w:type="dxa"/>
            <w:shd w:val="clear" w:color="auto" w:fill="auto"/>
            <w:noWrap/>
            <w:vAlign w:val="bottom"/>
          </w:tcPr>
          <w:p w14:paraId="202EA06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36</w:t>
            </w:r>
          </w:p>
        </w:tc>
        <w:tc>
          <w:tcPr>
            <w:tcW w:w="1411" w:type="dxa"/>
            <w:shd w:val="clear" w:color="auto" w:fill="E7E6E6" w:themeFill="background2"/>
            <w:noWrap/>
            <w:vAlign w:val="bottom"/>
          </w:tcPr>
          <w:p w14:paraId="37CC30E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78%</w:t>
            </w:r>
          </w:p>
        </w:tc>
      </w:tr>
      <w:tr w:rsidR="00EC7A4C" w:rsidRPr="00EC7A4C" w14:paraId="3729F763" w14:textId="77777777" w:rsidTr="00DA42C9">
        <w:trPr>
          <w:trHeight w:val="290"/>
          <w:jc w:val="center"/>
        </w:trPr>
        <w:tc>
          <w:tcPr>
            <w:tcW w:w="562" w:type="dxa"/>
          </w:tcPr>
          <w:p w14:paraId="726FDDEA"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18</w:t>
            </w:r>
          </w:p>
        </w:tc>
        <w:tc>
          <w:tcPr>
            <w:tcW w:w="3226" w:type="dxa"/>
            <w:shd w:val="clear" w:color="auto" w:fill="auto"/>
            <w:noWrap/>
            <w:vAlign w:val="center"/>
            <w:hideMark/>
          </w:tcPr>
          <w:p w14:paraId="48A14169"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INEI</w:t>
            </w:r>
          </w:p>
        </w:tc>
        <w:tc>
          <w:tcPr>
            <w:tcW w:w="1304" w:type="dxa"/>
            <w:shd w:val="clear" w:color="auto" w:fill="auto"/>
            <w:noWrap/>
            <w:vAlign w:val="center"/>
          </w:tcPr>
          <w:p w14:paraId="6D572618"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55</w:t>
            </w:r>
          </w:p>
        </w:tc>
        <w:tc>
          <w:tcPr>
            <w:tcW w:w="1991" w:type="dxa"/>
            <w:shd w:val="clear" w:color="auto" w:fill="auto"/>
            <w:noWrap/>
            <w:vAlign w:val="bottom"/>
          </w:tcPr>
          <w:p w14:paraId="435D5577"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41</w:t>
            </w:r>
          </w:p>
        </w:tc>
        <w:tc>
          <w:tcPr>
            <w:tcW w:w="1411" w:type="dxa"/>
            <w:shd w:val="clear" w:color="auto" w:fill="E7E6E6" w:themeFill="background2"/>
            <w:noWrap/>
            <w:vAlign w:val="bottom"/>
          </w:tcPr>
          <w:p w14:paraId="6EA47BB0"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75%</w:t>
            </w:r>
          </w:p>
        </w:tc>
      </w:tr>
      <w:tr w:rsidR="00EC7A4C" w:rsidRPr="00EC7A4C" w14:paraId="710A579C" w14:textId="77777777" w:rsidTr="00DA42C9">
        <w:trPr>
          <w:trHeight w:val="290"/>
          <w:jc w:val="center"/>
        </w:trPr>
        <w:tc>
          <w:tcPr>
            <w:tcW w:w="562" w:type="dxa"/>
          </w:tcPr>
          <w:p w14:paraId="600472E5"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eastAsia="Times New Roman" w:hAnsi="Open Sans Light" w:cs="Open Sans Light"/>
                <w:lang w:val="es-PE"/>
              </w:rPr>
              <w:t>19</w:t>
            </w:r>
          </w:p>
        </w:tc>
        <w:tc>
          <w:tcPr>
            <w:tcW w:w="3226" w:type="dxa"/>
            <w:shd w:val="clear" w:color="auto" w:fill="auto"/>
            <w:noWrap/>
            <w:vAlign w:val="center"/>
            <w:hideMark/>
          </w:tcPr>
          <w:p w14:paraId="25B8A48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MIMP</w:t>
            </w:r>
          </w:p>
        </w:tc>
        <w:tc>
          <w:tcPr>
            <w:tcW w:w="1304" w:type="dxa"/>
            <w:shd w:val="clear" w:color="auto" w:fill="auto"/>
            <w:noWrap/>
            <w:vAlign w:val="center"/>
          </w:tcPr>
          <w:p w14:paraId="378D2ACF"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rPr>
                <w:rFonts w:ascii="Open Sans Light" w:hAnsi="Open Sans Light" w:cs="Open Sans Light"/>
              </w:rPr>
              <w:t>67</w:t>
            </w:r>
          </w:p>
        </w:tc>
        <w:tc>
          <w:tcPr>
            <w:tcW w:w="1991" w:type="dxa"/>
            <w:shd w:val="clear" w:color="auto" w:fill="auto"/>
            <w:noWrap/>
            <w:vAlign w:val="bottom"/>
          </w:tcPr>
          <w:p w14:paraId="3DB01786"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15</w:t>
            </w:r>
          </w:p>
        </w:tc>
        <w:tc>
          <w:tcPr>
            <w:tcW w:w="1411" w:type="dxa"/>
            <w:shd w:val="clear" w:color="auto" w:fill="E7E6E6" w:themeFill="background2"/>
            <w:noWrap/>
            <w:vAlign w:val="bottom"/>
          </w:tcPr>
          <w:p w14:paraId="27833EBB" w14:textId="77777777" w:rsidR="00AA4BAE" w:rsidRPr="00A61DFC" w:rsidRDefault="00AA4BAE" w:rsidP="00DA42C9">
            <w:pPr>
              <w:spacing w:after="0" w:line="240" w:lineRule="auto"/>
              <w:jc w:val="center"/>
              <w:rPr>
                <w:rFonts w:ascii="Open Sans Light" w:eastAsia="Times New Roman" w:hAnsi="Open Sans Light" w:cs="Open Sans Light"/>
                <w:lang w:val="es-PE"/>
              </w:rPr>
            </w:pPr>
            <w:r w:rsidRPr="00A61DFC">
              <w:t>22%</w:t>
            </w:r>
          </w:p>
        </w:tc>
      </w:tr>
    </w:tbl>
    <w:p w14:paraId="273489A1" w14:textId="77777777" w:rsidR="00AA4BAE" w:rsidRDefault="00AA4BAE" w:rsidP="00AA4BAE">
      <w:pPr>
        <w:rPr>
          <w:rFonts w:ascii="Open Sans Light" w:eastAsia="Open Sans Light" w:hAnsi="Open Sans Light" w:cs="Open Sans Light"/>
          <w:color w:val="FF0000"/>
          <w:sz w:val="24"/>
          <w:szCs w:val="24"/>
        </w:rPr>
      </w:pPr>
    </w:p>
    <w:p w14:paraId="25909EF6" w14:textId="77777777" w:rsidR="00AA4BAE" w:rsidRPr="00A61DFC" w:rsidRDefault="00AA4BAE" w:rsidP="00F03883">
      <w:pPr>
        <w:spacing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Grupo de Trabajo SIMONE</w:t>
      </w:r>
    </w:p>
    <w:p w14:paraId="7E95190F" w14:textId="3DC6DA21" w:rsidR="00AA4BAE" w:rsidRPr="00A61DFC" w:rsidRDefault="00AA4BAE" w:rsidP="00AA4BAE">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Según 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el Sistema de Monitoreo y Evaluación del </w:t>
      </w:r>
      <w:r w:rsidR="00D979D4">
        <w:rPr>
          <w:rFonts w:ascii="Open Sans Light" w:eastAsia="Open Sans Light" w:hAnsi="Open Sans Light" w:cs="Open Sans Light"/>
          <w:sz w:val="24"/>
          <w:szCs w:val="24"/>
        </w:rPr>
        <w:t>PNAIA</w:t>
      </w:r>
      <w:r w:rsidRPr="00A61DFC">
        <w:rPr>
          <w:rFonts w:ascii="Open Sans Light" w:eastAsia="Open Sans Light" w:hAnsi="Open Sans Light" w:cs="Open Sans Light"/>
          <w:sz w:val="24"/>
          <w:szCs w:val="24"/>
        </w:rPr>
        <w:t xml:space="preserve"> (SIMONE) tuvo por objetivo conformar </w:t>
      </w:r>
      <w:r w:rsidR="001A0FAB">
        <w:rPr>
          <w:rFonts w:ascii="Open Sans Light" w:eastAsia="Open Sans Light" w:hAnsi="Open Sans Light" w:cs="Open Sans Light"/>
          <w:sz w:val="24"/>
          <w:szCs w:val="24"/>
        </w:rPr>
        <w:t>una variedad de instrumentos que permitan</w:t>
      </w:r>
      <w:r w:rsidRPr="00A61DFC">
        <w:rPr>
          <w:rFonts w:ascii="Open Sans Light" w:eastAsia="Open Sans Light" w:hAnsi="Open Sans Light" w:cs="Open Sans Light"/>
          <w:sz w:val="24"/>
          <w:szCs w:val="24"/>
        </w:rPr>
        <w:t xml:space="preserve"> generar información útil para la toma de decisiones y garantizar el éxito en el logro de resultados, </w:t>
      </w:r>
      <w:r w:rsidR="001A0FAB">
        <w:rPr>
          <w:rFonts w:ascii="Open Sans Light" w:eastAsia="Open Sans Light" w:hAnsi="Open Sans Light" w:cs="Open Sans Light"/>
          <w:sz w:val="24"/>
          <w:szCs w:val="24"/>
        </w:rPr>
        <w:t>de esta manera se conseguiría</w:t>
      </w:r>
      <w:r w:rsidRPr="00A61DFC">
        <w:rPr>
          <w:rFonts w:ascii="Open Sans Light" w:eastAsia="Open Sans Light" w:hAnsi="Open Sans Light" w:cs="Open Sans Light"/>
          <w:sz w:val="24"/>
          <w:szCs w:val="24"/>
        </w:rPr>
        <w:t xml:space="preserve"> detectar a tiempo los problemas de información disponible que requieran medidas correctivas oportunas para su resolución y así lograr un avance sostenido hacia los resultados propuestos por 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De acuerdo con </w:t>
      </w:r>
      <w:r w:rsidR="00716166">
        <w:rPr>
          <w:rFonts w:ascii="Open Sans Light" w:eastAsia="Open Sans Light" w:hAnsi="Open Sans Light" w:cs="Open Sans Light"/>
          <w:sz w:val="24"/>
          <w:szCs w:val="24"/>
        </w:rPr>
        <w:t>el informe D000009-2021-MIMP-DPNNA-ALN</w:t>
      </w:r>
      <w:r w:rsidRPr="00A61DFC">
        <w:rPr>
          <w:rFonts w:ascii="Open Sans Light" w:eastAsia="Open Sans Light" w:hAnsi="Open Sans Light" w:cs="Open Sans Light"/>
          <w:sz w:val="24"/>
          <w:szCs w:val="24"/>
        </w:rPr>
        <w:t xml:space="preserve"> </w:t>
      </w:r>
      <w:r w:rsidR="00716166">
        <w:rPr>
          <w:rFonts w:ascii="Open Sans Light" w:eastAsia="Open Sans Light" w:hAnsi="Open Sans Light" w:cs="Open Sans Light"/>
          <w:sz w:val="24"/>
          <w:szCs w:val="24"/>
        </w:rPr>
        <w:t>sobre la S</w:t>
      </w:r>
      <w:r w:rsidRPr="00A61DFC">
        <w:rPr>
          <w:rFonts w:ascii="Open Sans Light" w:eastAsia="Open Sans Light" w:hAnsi="Open Sans Light" w:cs="Open Sans Light"/>
          <w:sz w:val="24"/>
          <w:szCs w:val="24"/>
        </w:rPr>
        <w:t>ituaci</w:t>
      </w:r>
      <w:r w:rsidR="00716166">
        <w:rPr>
          <w:rFonts w:ascii="Open Sans Light" w:eastAsia="Open Sans Light" w:hAnsi="Open Sans Light" w:cs="Open Sans Light"/>
          <w:sz w:val="24"/>
          <w:szCs w:val="24"/>
        </w:rPr>
        <w:t>ón del Sistema de Monitoreo y Evaluación del PNAIA 2012-2021</w:t>
      </w:r>
      <w:r w:rsidRPr="00A61DFC">
        <w:rPr>
          <w:rFonts w:ascii="Open Sans Light" w:eastAsia="Open Sans Light" w:hAnsi="Open Sans Light" w:cs="Open Sans Light"/>
          <w:sz w:val="24"/>
          <w:szCs w:val="24"/>
        </w:rPr>
        <w:t xml:space="preserve">, el funcionamiento del SIMONE cuenta con 4 importantes instrumentos: (i) Encuestas y registros administrativos; (ii) Fichas técnicas de los indicadores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(iii) Aplicativo Web SIMONE (base de datos); y (iv) Reportes de Información.</w:t>
      </w:r>
    </w:p>
    <w:p w14:paraId="38EF40A5" w14:textId="77777777" w:rsidR="00AA4BAE" w:rsidRPr="00A61DFC" w:rsidRDefault="00AA4BAE" w:rsidP="00AA4BAE">
      <w:pPr>
        <w:spacing w:after="0" w:line="240" w:lineRule="auto"/>
        <w:jc w:val="both"/>
        <w:rPr>
          <w:rFonts w:ascii="Open Sans Light" w:eastAsia="Open Sans Light" w:hAnsi="Open Sans Light" w:cs="Open Sans Light"/>
          <w:sz w:val="24"/>
          <w:szCs w:val="24"/>
        </w:rPr>
      </w:pPr>
    </w:p>
    <w:p w14:paraId="4D8FDEDF" w14:textId="3EB28DFD" w:rsidR="00AA4BAE" w:rsidRPr="00A61DFC" w:rsidRDefault="00AA4BAE" w:rsidP="00AA4BAE">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El MIMP es el responsable de la articulación y coordinación de este sistema, para lo cual se conformó un Grupo de Trabajo con la participación de diversas entidades públicas. Para evaluar sus logros y limitaciones; el nivel de articulación intersectorial alcanzado; así como las lecciones aprendidas y recomendaciones para el desarrollo de las acciones de seguimiento y evaluación a la PNMNNA; se realizó un </w:t>
      </w:r>
      <w:r w:rsidRPr="00EF0CCC">
        <w:rPr>
          <w:rFonts w:ascii="Open Sans Light" w:eastAsia="Open Sans Light" w:hAnsi="Open Sans Light" w:cs="Open Sans Light"/>
          <w:i/>
          <w:iCs/>
          <w:sz w:val="24"/>
          <w:szCs w:val="24"/>
        </w:rPr>
        <w:t>focus group</w:t>
      </w:r>
      <w:r w:rsidRPr="00A61DFC">
        <w:rPr>
          <w:rFonts w:ascii="Open Sans Light" w:eastAsia="Open Sans Light" w:hAnsi="Open Sans Light" w:cs="Open Sans Light"/>
          <w:sz w:val="24"/>
          <w:szCs w:val="24"/>
        </w:rPr>
        <w:t xml:space="preserve"> con representantes de los sectores MINEDU, MINSA y MIMP. </w:t>
      </w:r>
      <w:r w:rsidRPr="004D0E60">
        <w:rPr>
          <w:rFonts w:ascii="Open Sans Light" w:eastAsia="Open Sans Light" w:hAnsi="Open Sans Light" w:cs="Open Sans Light"/>
          <w:sz w:val="24"/>
          <w:szCs w:val="24"/>
        </w:rPr>
        <w:t xml:space="preserve">La Tabla </w:t>
      </w:r>
      <w:r w:rsidR="009C1BBA" w:rsidRPr="004D0E60">
        <w:rPr>
          <w:rFonts w:ascii="Open Sans Light" w:eastAsia="Open Sans Light" w:hAnsi="Open Sans Light" w:cs="Open Sans Light"/>
          <w:sz w:val="24"/>
          <w:szCs w:val="24"/>
        </w:rPr>
        <w:t>15</w:t>
      </w:r>
      <w:r w:rsidRPr="004D0E60">
        <w:rPr>
          <w:rFonts w:ascii="Open Sans Light" w:eastAsia="Open Sans Light" w:hAnsi="Open Sans Light" w:cs="Open Sans Light"/>
          <w:sz w:val="24"/>
          <w:szCs w:val="24"/>
        </w:rPr>
        <w:t xml:space="preserve"> resume</w:t>
      </w:r>
      <w:r w:rsidRPr="00492EC3">
        <w:rPr>
          <w:rFonts w:ascii="Open Sans Light" w:eastAsia="Open Sans Light" w:hAnsi="Open Sans Light" w:cs="Open Sans Light"/>
          <w:sz w:val="24"/>
          <w:szCs w:val="24"/>
        </w:rPr>
        <w:t xml:space="preserve"> las</w:t>
      </w:r>
      <w:r w:rsidRPr="00A61DFC">
        <w:rPr>
          <w:rFonts w:ascii="Open Sans Light" w:eastAsia="Open Sans Light" w:hAnsi="Open Sans Light" w:cs="Open Sans Light"/>
          <w:sz w:val="24"/>
          <w:szCs w:val="24"/>
        </w:rPr>
        <w:t xml:space="preserve"> principales conclusiones recogidas.</w:t>
      </w:r>
    </w:p>
    <w:p w14:paraId="2365DE31" w14:textId="77777777" w:rsidR="00AA4BAE" w:rsidRPr="00A61DFC" w:rsidRDefault="00AA4BAE" w:rsidP="00AA4BAE">
      <w:pPr>
        <w:spacing w:after="0" w:line="240" w:lineRule="auto"/>
        <w:jc w:val="both"/>
        <w:rPr>
          <w:rFonts w:ascii="Open Sans Light" w:eastAsia="Open Sans Light" w:hAnsi="Open Sans Light" w:cs="Open Sans Light"/>
          <w:sz w:val="24"/>
          <w:szCs w:val="24"/>
        </w:rPr>
      </w:pPr>
    </w:p>
    <w:p w14:paraId="139AB528" w14:textId="339FC490" w:rsidR="00736D7C" w:rsidRPr="00D4499E" w:rsidRDefault="00492EC3" w:rsidP="00736D7C">
      <w:pPr>
        <w:pStyle w:val="ESTILOTABLA"/>
        <w:rPr>
          <w:i w:val="0"/>
        </w:rPr>
      </w:pPr>
      <w:r w:rsidRPr="00E1753D">
        <w:t xml:space="preserve">Tabla </w:t>
      </w:r>
      <w:r w:rsidR="00354646">
        <w:fldChar w:fldCharType="begin"/>
      </w:r>
      <w:r w:rsidR="00354646">
        <w:instrText xml:space="preserve"> SEQ Tabla \* ARABIC </w:instrText>
      </w:r>
      <w:r w:rsidR="00354646">
        <w:fldChar w:fldCharType="separate"/>
      </w:r>
      <w:r w:rsidR="00846FB2">
        <w:rPr>
          <w:noProof/>
        </w:rPr>
        <w:t>15</w:t>
      </w:r>
      <w:r w:rsidR="00354646">
        <w:rPr>
          <w:noProof/>
        </w:rPr>
        <w:fldChar w:fldCharType="end"/>
      </w:r>
      <w:r w:rsidRPr="00E1753D">
        <w:t>.</w:t>
      </w:r>
      <w:r w:rsidRPr="00E1753D">
        <w:rPr>
          <w:rFonts w:eastAsia="Open Sans Light"/>
          <w:b/>
          <w:color w:val="000000"/>
          <w:szCs w:val="24"/>
        </w:rPr>
        <w:t xml:space="preserve"> </w:t>
      </w:r>
      <w:r w:rsidR="00667286" w:rsidRPr="004D0E60">
        <w:rPr>
          <w:rFonts w:eastAsia="Open Sans Light"/>
          <w:b/>
          <w:bCs/>
          <w:i w:val="0"/>
        </w:rPr>
        <w:t>Principales conclusiones de las entrevistas a actores clave del Grupo de Trabajo SIMONE</w:t>
      </w:r>
    </w:p>
    <w:tbl>
      <w:tblPr>
        <w:tblStyle w:val="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74"/>
        <w:gridCol w:w="6620"/>
      </w:tblGrid>
      <w:tr w:rsidR="00D4499E" w:rsidRPr="00D4499E" w14:paraId="60189350" w14:textId="77777777" w:rsidTr="00736D7C">
        <w:trPr>
          <w:trHeight w:val="285"/>
          <w:tblHeader/>
        </w:trPr>
        <w:tc>
          <w:tcPr>
            <w:tcW w:w="1103" w:type="pct"/>
            <w:shd w:val="clear" w:color="auto" w:fill="000000" w:themeFill="text1"/>
          </w:tcPr>
          <w:p w14:paraId="0D66FC85" w14:textId="77777777" w:rsidR="00AA4BAE" w:rsidRPr="00A61DFC" w:rsidRDefault="00AA4BAE" w:rsidP="00DA42C9">
            <w:pPr>
              <w:jc w:val="center"/>
              <w:rPr>
                <w:rFonts w:ascii="Open Sans Light" w:eastAsia="Open Sans Light" w:hAnsi="Open Sans Light" w:cs="Open Sans Light"/>
                <w:b/>
                <w:sz w:val="20"/>
                <w:szCs w:val="20"/>
              </w:rPr>
            </w:pPr>
            <w:r w:rsidRPr="00A61DFC">
              <w:rPr>
                <w:rFonts w:ascii="Open Sans Light" w:eastAsia="Open Sans Light" w:hAnsi="Open Sans Light" w:cs="Open Sans Light"/>
                <w:b/>
                <w:sz w:val="20"/>
                <w:szCs w:val="20"/>
              </w:rPr>
              <w:lastRenderedPageBreak/>
              <w:t>EJE TEMÁTICO</w:t>
            </w:r>
          </w:p>
        </w:tc>
        <w:tc>
          <w:tcPr>
            <w:tcW w:w="3897" w:type="pct"/>
            <w:shd w:val="clear" w:color="auto" w:fill="000000" w:themeFill="text1"/>
          </w:tcPr>
          <w:p w14:paraId="42F22F97" w14:textId="77777777" w:rsidR="00AA4BAE" w:rsidRPr="00A61DFC" w:rsidRDefault="00AA4BAE" w:rsidP="00DA42C9">
            <w:pPr>
              <w:jc w:val="center"/>
              <w:rPr>
                <w:rFonts w:ascii="Open Sans Light" w:eastAsia="Open Sans Light" w:hAnsi="Open Sans Light" w:cs="Open Sans Light"/>
                <w:b/>
                <w:sz w:val="20"/>
                <w:szCs w:val="20"/>
              </w:rPr>
            </w:pPr>
            <w:r w:rsidRPr="00A61DFC">
              <w:rPr>
                <w:rFonts w:ascii="Open Sans Light" w:eastAsia="Open Sans Light" w:hAnsi="Open Sans Light" w:cs="Open Sans Light"/>
                <w:b/>
                <w:sz w:val="20"/>
                <w:szCs w:val="20"/>
              </w:rPr>
              <w:t>PRINCIPALES CONCLUSIONES</w:t>
            </w:r>
          </w:p>
        </w:tc>
      </w:tr>
      <w:tr w:rsidR="00D4499E" w:rsidRPr="00D4499E" w14:paraId="131774EE" w14:textId="77777777" w:rsidTr="00736D7C">
        <w:trPr>
          <w:trHeight w:val="285"/>
        </w:trPr>
        <w:tc>
          <w:tcPr>
            <w:tcW w:w="1103" w:type="pct"/>
          </w:tcPr>
          <w:p w14:paraId="29D84DA3" w14:textId="77777777" w:rsidR="00AA4BAE" w:rsidRPr="00A61DFC" w:rsidRDefault="00AA4BAE" w:rsidP="00DA42C9">
            <w:p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Logros </w:t>
            </w:r>
          </w:p>
        </w:tc>
        <w:tc>
          <w:tcPr>
            <w:tcW w:w="3897" w:type="pct"/>
          </w:tcPr>
          <w:p w14:paraId="6A273D6E" w14:textId="77777777" w:rsidR="00AA4BAE" w:rsidRPr="00A61DFC" w:rsidRDefault="00AA4BAE" w:rsidP="00AA4BAE">
            <w:pPr>
              <w:pStyle w:val="ListParagraph"/>
              <w:numPr>
                <w:ilvl w:val="0"/>
                <w:numId w:val="11"/>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Los actores entrevistados concuerdan en que el mayor logro del SIMONE fue la elaboración y presentación de los informes de seguimiento anuales. </w:t>
            </w:r>
          </w:p>
          <w:p w14:paraId="7E6C8F48" w14:textId="77777777" w:rsidR="00AA4BAE" w:rsidRPr="00A61DFC" w:rsidRDefault="00AA4BAE" w:rsidP="00AA4BAE">
            <w:pPr>
              <w:pStyle w:val="ListParagraph"/>
              <w:numPr>
                <w:ilvl w:val="0"/>
                <w:numId w:val="11"/>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En el tiempo, hubo un progresivo incremento de los indicadores actualizados a través de la plataforma del SIMONE, pasando de 0 indicadores presentados en 2012 hasta 39 indicadores al 2020.  </w:t>
            </w:r>
          </w:p>
          <w:p w14:paraId="25C1B3B2" w14:textId="77777777" w:rsidR="00AA4BAE" w:rsidRPr="00A61DFC" w:rsidRDefault="00AA4BAE" w:rsidP="00AA4BAE">
            <w:pPr>
              <w:pStyle w:val="ListParagraph"/>
              <w:numPr>
                <w:ilvl w:val="0"/>
                <w:numId w:val="11"/>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Mejora en la calidad del reporte de información sectorial a nivel de registros administrativos para el cálculo de los indicadores.</w:t>
            </w:r>
          </w:p>
        </w:tc>
      </w:tr>
      <w:tr w:rsidR="00D4499E" w:rsidRPr="00D4499E" w14:paraId="3B09CAFC" w14:textId="77777777" w:rsidTr="00736D7C">
        <w:trPr>
          <w:trHeight w:val="285"/>
        </w:trPr>
        <w:tc>
          <w:tcPr>
            <w:tcW w:w="1103" w:type="pct"/>
          </w:tcPr>
          <w:p w14:paraId="05ED89F5" w14:textId="77777777" w:rsidR="00AA4BAE" w:rsidRPr="00A61DFC" w:rsidRDefault="00AA4BAE" w:rsidP="00DA42C9">
            <w:p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Limitaciones </w:t>
            </w:r>
          </w:p>
        </w:tc>
        <w:tc>
          <w:tcPr>
            <w:tcW w:w="3897" w:type="pct"/>
          </w:tcPr>
          <w:p w14:paraId="04D23807" w14:textId="77777777" w:rsidR="00AA4BAE" w:rsidRPr="00A61DFC" w:rsidRDefault="00AA4BAE" w:rsidP="00AA4BAE">
            <w:pPr>
              <w:pStyle w:val="ListParagraph"/>
              <w:numPr>
                <w:ilvl w:val="0"/>
                <w:numId w:val="9"/>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Como se presentó anteriormente en este informe, no todos los indicadores cuentan con metas cuantificables. Más aún, las metas se establecían al 2021, sin considerar metas anuales, lo cual dificultaba determinar si el desempeño progresivo era el adecuado para lograr la meta final.</w:t>
            </w:r>
          </w:p>
          <w:p w14:paraId="0FBC049E" w14:textId="77777777" w:rsidR="00AA4BAE" w:rsidRPr="00A61DFC" w:rsidRDefault="00AA4BAE" w:rsidP="00AA4BAE">
            <w:pPr>
              <w:pStyle w:val="ListParagraph"/>
              <w:numPr>
                <w:ilvl w:val="0"/>
                <w:numId w:val="9"/>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Una barrera para garantizar el seguimiento oportuno y permanente fue la falta de articulación entre la plataforma web y las oficinas de estadística de los ministerios, pues el administrador no permitía actualizar algunos indicadores, requerían campos adicionales para visualizar la información actualizada, no tenían el nombre actualizado, entre otros inconvenientes.</w:t>
            </w:r>
          </w:p>
        </w:tc>
      </w:tr>
      <w:tr w:rsidR="00D4499E" w:rsidRPr="00D4499E" w14:paraId="6CF40936" w14:textId="77777777" w:rsidTr="00736D7C">
        <w:trPr>
          <w:trHeight w:val="285"/>
        </w:trPr>
        <w:tc>
          <w:tcPr>
            <w:tcW w:w="1103" w:type="pct"/>
          </w:tcPr>
          <w:p w14:paraId="01BCF81F" w14:textId="77777777" w:rsidR="00AA4BAE" w:rsidRPr="00A61DFC" w:rsidRDefault="00AA4BAE" w:rsidP="00DA42C9">
            <w:p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Articulación </w:t>
            </w:r>
          </w:p>
        </w:tc>
        <w:tc>
          <w:tcPr>
            <w:tcW w:w="3897" w:type="pct"/>
          </w:tcPr>
          <w:p w14:paraId="4987772E" w14:textId="4EA6F5B6" w:rsidR="00AA4BAE" w:rsidRPr="00A61DFC" w:rsidRDefault="00AA4BAE" w:rsidP="00AA4BAE">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El G</w:t>
            </w:r>
            <w:r w:rsidR="00A32626">
              <w:rPr>
                <w:rFonts w:ascii="Open Sans Light" w:eastAsia="Open Sans Light" w:hAnsi="Open Sans Light" w:cs="Open Sans Light"/>
                <w:sz w:val="20"/>
                <w:szCs w:val="20"/>
              </w:rPr>
              <w:t xml:space="preserve">rupo de </w:t>
            </w:r>
            <w:r w:rsidRPr="00A61DFC">
              <w:rPr>
                <w:rFonts w:ascii="Open Sans Light" w:eastAsia="Open Sans Light" w:hAnsi="Open Sans Light" w:cs="Open Sans Light"/>
                <w:sz w:val="20"/>
                <w:szCs w:val="20"/>
              </w:rPr>
              <w:t>T</w:t>
            </w:r>
            <w:r w:rsidR="00A32626">
              <w:rPr>
                <w:rFonts w:ascii="Open Sans Light" w:eastAsia="Open Sans Light" w:hAnsi="Open Sans Light" w:cs="Open Sans Light"/>
                <w:sz w:val="20"/>
                <w:szCs w:val="20"/>
              </w:rPr>
              <w:t>rabajo</w:t>
            </w:r>
            <w:r w:rsidRPr="00A61DFC">
              <w:rPr>
                <w:rFonts w:ascii="Open Sans Light" w:eastAsia="Open Sans Light" w:hAnsi="Open Sans Light" w:cs="Open Sans Light"/>
                <w:sz w:val="20"/>
                <w:szCs w:val="20"/>
              </w:rPr>
              <w:t xml:space="preserve"> del SIMONE se mantuvo sostenible en el tiempo, lo cual permitió la coordinación interinstitucional para la recopilación de información. Cabe señalar que, si bien el plan aprobado incidía en que este sistema no pretendía añadir nuevas actividades a la labor regular de los sectores, sino que busca facilitarles el monitoreo y evaluación en el marco de sus responsabilidades; algunos sectores, como educación, percibían una alta y constante demanda de información para reportar los avances en el marco del </w:t>
            </w:r>
            <w:r w:rsidR="00D979D4">
              <w:rPr>
                <w:rFonts w:ascii="Open Sans Light" w:eastAsia="Open Sans Light" w:hAnsi="Open Sans Light" w:cs="Open Sans Light"/>
                <w:sz w:val="20"/>
                <w:szCs w:val="20"/>
              </w:rPr>
              <w:t>PNAIA 2012 – 2021</w:t>
            </w:r>
            <w:r w:rsidRPr="00A61DFC">
              <w:rPr>
                <w:rFonts w:ascii="Open Sans Light" w:eastAsia="Open Sans Light" w:hAnsi="Open Sans Light" w:cs="Open Sans Light"/>
                <w:sz w:val="20"/>
                <w:szCs w:val="20"/>
              </w:rPr>
              <w:t>.</w:t>
            </w:r>
          </w:p>
        </w:tc>
      </w:tr>
      <w:tr w:rsidR="00D4499E" w:rsidRPr="00D4499E" w14:paraId="276B9C1D" w14:textId="77777777" w:rsidTr="00736D7C">
        <w:trPr>
          <w:trHeight w:val="285"/>
        </w:trPr>
        <w:tc>
          <w:tcPr>
            <w:tcW w:w="1103" w:type="pct"/>
          </w:tcPr>
          <w:p w14:paraId="691243DE" w14:textId="77777777" w:rsidR="00AA4BAE" w:rsidRPr="00A61DFC" w:rsidRDefault="00AA4BAE" w:rsidP="00DA42C9">
            <w:p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Buenas prácticas y lecciones aprendidas</w:t>
            </w:r>
          </w:p>
        </w:tc>
        <w:tc>
          <w:tcPr>
            <w:tcW w:w="3897" w:type="pct"/>
          </w:tcPr>
          <w:p w14:paraId="7CC2812C" w14:textId="3EC8CC7C" w:rsidR="00AA4BAE" w:rsidRPr="00A61DFC" w:rsidRDefault="00AA4BAE" w:rsidP="00AA4BAE">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Una buena práctica impulsada por el MINEDU fue la publicación de los indicadores del </w:t>
            </w:r>
            <w:r w:rsidR="00D979D4">
              <w:rPr>
                <w:rFonts w:ascii="Open Sans Light" w:eastAsia="Open Sans Light" w:hAnsi="Open Sans Light" w:cs="Open Sans Light"/>
                <w:sz w:val="20"/>
                <w:szCs w:val="20"/>
              </w:rPr>
              <w:t>PNAIA 2012 – 2021</w:t>
            </w:r>
            <w:r w:rsidRPr="00A61DFC">
              <w:rPr>
                <w:rFonts w:ascii="Open Sans Light" w:eastAsia="Open Sans Light" w:hAnsi="Open Sans Light" w:cs="Open Sans Light"/>
                <w:sz w:val="20"/>
                <w:szCs w:val="20"/>
              </w:rPr>
              <w:t xml:space="preserve"> en el portal ESCALE que buscó contribuir a la transparencia de la información y la rendición de cuentas.</w:t>
            </w:r>
          </w:p>
          <w:p w14:paraId="4CE279E8" w14:textId="77777777" w:rsidR="00AA4BAE" w:rsidRPr="00A61DFC" w:rsidRDefault="00AA4BAE" w:rsidP="00AA4BAE">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Las/os representantes entrevistados reconocen que la toma de decisiones de decisiones basadas en la información supera los objetivos que debiera tener el SIMONE; pero, al mismo tiempo valoran la retroalimentación desde el MIMP, así como recomendaciones a partir de los resultados.</w:t>
            </w:r>
          </w:p>
        </w:tc>
      </w:tr>
      <w:tr w:rsidR="00D4499E" w:rsidRPr="00D4499E" w14:paraId="4F272AA9" w14:textId="77777777" w:rsidTr="00736D7C">
        <w:trPr>
          <w:trHeight w:val="285"/>
        </w:trPr>
        <w:tc>
          <w:tcPr>
            <w:tcW w:w="1103" w:type="pct"/>
          </w:tcPr>
          <w:p w14:paraId="6650CE6A" w14:textId="77777777" w:rsidR="00AA4BAE" w:rsidRPr="00A61DFC" w:rsidRDefault="00AA4BAE" w:rsidP="00DA42C9">
            <w:p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Recomendaciones en el marco del PNMNNA</w:t>
            </w:r>
          </w:p>
        </w:tc>
        <w:tc>
          <w:tcPr>
            <w:tcW w:w="3897" w:type="pct"/>
          </w:tcPr>
          <w:p w14:paraId="450B9618" w14:textId="77777777" w:rsidR="00AA4BAE" w:rsidRPr="00A61DFC" w:rsidRDefault="00AA4BAE" w:rsidP="00AA4BAE">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Fortalecer el seguimiento a las decisiones basadas en los resultados. Esto podrá lograrse a través una medición periódica de los indicadores y la respectiva verificación del cumplimiento de las metas multianuales ya establecidas en la PNMNNA.</w:t>
            </w:r>
          </w:p>
          <w:p w14:paraId="6889EB89" w14:textId="77777777" w:rsidR="00AA4BAE" w:rsidRPr="00A61DFC" w:rsidRDefault="00AA4BAE" w:rsidP="00AA4BAE">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Enfocar los esfuerzos en el fortalecimiento de los sistemas de recojo de información con base en los registros administrativos. Asimismo, se contribuirá a establecer un flujo estandarizado y sostenible respecto a la ruta a seguir, los plazos y las responsabilidades de los sectores en cuanto a la información generada y la toma de decisiones basada en los resultados. </w:t>
            </w:r>
          </w:p>
          <w:p w14:paraId="0E1DD84A" w14:textId="77777777" w:rsidR="00AA4BAE" w:rsidRPr="00A61DFC" w:rsidRDefault="00AA4BAE" w:rsidP="00AA4BAE">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lastRenderedPageBreak/>
              <w:t>Elaborar un tablero de desempeño o sistema de seguimiento y evaluación amigable con la ciudadanía que permita la rendición de cuentas y transparencia en la información, así como también que permita generar alertas tempranas que anticipen dificultades en los resultados obtenidos.</w:t>
            </w:r>
          </w:p>
          <w:p w14:paraId="29FF497A" w14:textId="77777777" w:rsidR="00AA4BAE" w:rsidRPr="00A61DFC" w:rsidRDefault="00AA4BAE" w:rsidP="00AA4BAE">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Fortalecer las capacidades de los funcionarios de los gobiernos subnacionales respecto a las acciones de gestión de información, seguimiento y evaluación. Asimismo, vincular presupuesto dirigido a estas acciones para garantizar el flujo de información.</w:t>
            </w:r>
          </w:p>
          <w:p w14:paraId="41B2A8CF" w14:textId="77777777" w:rsidR="00AA4BAE" w:rsidRPr="00A61DFC" w:rsidRDefault="00AA4BAE" w:rsidP="00AA4BAE">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Generar informes periódicos de seguimiento para evaluar estrategias que se incorporen en una matriz de compromisos para la mejora continua.</w:t>
            </w:r>
          </w:p>
          <w:p w14:paraId="7E02DEB8" w14:textId="77777777" w:rsidR="00AA4BAE" w:rsidRPr="00A61DFC" w:rsidRDefault="00AA4BAE" w:rsidP="00AA4BAE">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Fortalecer la articulación de las áreas temáticas con las de monitoreo y evaluación para mejorar el reporte de información.</w:t>
            </w:r>
          </w:p>
        </w:tc>
      </w:tr>
    </w:tbl>
    <w:p w14:paraId="2C9C6BF0" w14:textId="77777777" w:rsidR="00AA4BAE" w:rsidRPr="00A61DFC" w:rsidRDefault="00AA4BAE" w:rsidP="00AA4BAE">
      <w:pPr>
        <w:rPr>
          <w:rFonts w:ascii="Open Sans Light" w:eastAsia="Open Sans Light" w:hAnsi="Open Sans Light" w:cs="Open Sans Light"/>
          <w:sz w:val="24"/>
          <w:szCs w:val="24"/>
        </w:rPr>
      </w:pPr>
    </w:p>
    <w:p w14:paraId="07E5A82A" w14:textId="2D6D98B0" w:rsidR="00AA4BAE" w:rsidRDefault="00AA4BAE" w:rsidP="00AA4BAE">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De acuerdo con </w:t>
      </w:r>
      <w:r w:rsidRPr="004D0E60">
        <w:rPr>
          <w:rFonts w:ascii="Open Sans Light" w:eastAsia="Open Sans Light" w:hAnsi="Open Sans Light" w:cs="Open Sans Light"/>
          <w:sz w:val="24"/>
          <w:szCs w:val="24"/>
        </w:rPr>
        <w:t xml:space="preserve">la Tabla </w:t>
      </w:r>
      <w:r w:rsidR="00FF6081" w:rsidRPr="004D0E60">
        <w:rPr>
          <w:rFonts w:ascii="Open Sans Light" w:eastAsia="Open Sans Light" w:hAnsi="Open Sans Light" w:cs="Open Sans Light"/>
          <w:sz w:val="24"/>
          <w:szCs w:val="24"/>
        </w:rPr>
        <w:t>15</w:t>
      </w:r>
      <w:r w:rsidRPr="004D0E60">
        <w:rPr>
          <w:rFonts w:ascii="Open Sans Light" w:eastAsia="Open Sans Light" w:hAnsi="Open Sans Light" w:cs="Open Sans Light"/>
          <w:sz w:val="24"/>
          <w:szCs w:val="24"/>
        </w:rPr>
        <w:t>, el G</w:t>
      </w:r>
      <w:r w:rsidRPr="00492EC3">
        <w:rPr>
          <w:rFonts w:ascii="Open Sans Light" w:eastAsia="Open Sans Light" w:hAnsi="Open Sans Light" w:cs="Open Sans Light"/>
          <w:sz w:val="24"/>
          <w:szCs w:val="24"/>
        </w:rPr>
        <w:t>rupo</w:t>
      </w:r>
      <w:r w:rsidRPr="00A61DFC">
        <w:rPr>
          <w:rFonts w:ascii="Open Sans Light" w:eastAsia="Open Sans Light" w:hAnsi="Open Sans Light" w:cs="Open Sans Light"/>
          <w:sz w:val="24"/>
          <w:szCs w:val="24"/>
        </w:rPr>
        <w:t xml:space="preserve"> de Trabajo SIMONE tuvo como principales logros la creación de la plataforma SIMONE y el fortalecimiento de la gestión de la información, monitoreo y evaluación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Por otro lado, una limitación importante identificada fue la falta de articulación entre la plataforma SIMONE con las oficinas de estadística de los sectores que permita una actualización oportuna. Pese a ello, existe la percepción general que el SIMONE facilitó la toma de decisiones basadas en resultados y se espera que, en el marco de la PNMNNA, se puedan considerar las recomendaciones para fortalecer la articulación intersectorial.</w:t>
      </w:r>
    </w:p>
    <w:p w14:paraId="3D408D0B" w14:textId="24996278" w:rsidR="00CF4A43" w:rsidRPr="00A02485" w:rsidRDefault="00CF4A43" w:rsidP="00CF4A43">
      <w:pPr>
        <w:jc w:val="both"/>
        <w:rPr>
          <w:rFonts w:ascii="Open Sans Light" w:eastAsia="Open Sans Light" w:hAnsi="Open Sans Light" w:cs="Open Sans Light"/>
          <w:sz w:val="24"/>
          <w:szCs w:val="24"/>
        </w:rPr>
      </w:pPr>
      <w:bookmarkStart w:id="12" w:name="_Hlk91076126"/>
      <w:r w:rsidRPr="00A02485">
        <w:rPr>
          <w:rFonts w:ascii="Open Sans Light" w:eastAsia="Open Sans Light" w:hAnsi="Open Sans Light" w:cs="Open Sans Light"/>
          <w:sz w:val="24"/>
          <w:szCs w:val="24"/>
        </w:rPr>
        <w:t>Grupo de seguimiento al Gasto Público en Niñas, Niños y Adolescentes (GPNNA).</w:t>
      </w:r>
    </w:p>
    <w:p w14:paraId="07E8BAB6" w14:textId="77777777" w:rsidR="00E75611" w:rsidRPr="006C1EB7" w:rsidRDefault="00E75611" w:rsidP="00E75611">
      <w:pPr>
        <w:jc w:val="both"/>
        <w:rPr>
          <w:rFonts w:ascii="Open Sans Light" w:eastAsia="Open Sans Light" w:hAnsi="Open Sans Light" w:cs="Open Sans Light"/>
          <w:sz w:val="24"/>
          <w:szCs w:val="24"/>
        </w:rPr>
      </w:pPr>
      <w:r w:rsidRPr="00A02485">
        <w:rPr>
          <w:rFonts w:ascii="Open Sans Light" w:eastAsia="Open Sans Light" w:hAnsi="Open Sans Light" w:cs="Open Sans Light"/>
          <w:sz w:val="24"/>
          <w:szCs w:val="24"/>
        </w:rPr>
        <w:t>Este grupo de trabajo, se estableció en el marco de CMP, conformado por representantes del Ministerio de Economía y Finanzas (MEF), del Ministerio de la Mujer y Poblaciones Vulnerables (MIMP</w:t>
      </w:r>
      <w:r w:rsidRPr="006C1EB7">
        <w:rPr>
          <w:rFonts w:ascii="Open Sans Light" w:eastAsia="Open Sans Light" w:hAnsi="Open Sans Light" w:cs="Open Sans Light"/>
          <w:sz w:val="24"/>
          <w:szCs w:val="24"/>
        </w:rPr>
        <w:t xml:space="preserve">), del Ministerio de Desarrollo e Inclusión Social (MIDIS), del Ministerio de Educación (MINEDU), del Ministerio de Salud (MINSA), de la Mesa de Concertación para la Lucha contra la Pobreza (MCLCP) y del Fondo de las Naciones Unidas para la Infancia (UNICEF) con el propósito </w:t>
      </w:r>
      <w:r>
        <w:rPr>
          <w:rFonts w:ascii="Open Sans Light" w:eastAsia="Open Sans Light" w:hAnsi="Open Sans Light" w:cs="Open Sans Light"/>
          <w:sz w:val="24"/>
          <w:szCs w:val="24"/>
        </w:rPr>
        <w:t>de realizar el seguimiento al gasto público en niñas, niños y adolescentes que garanticen el ejercicio pleno de sus derechos.</w:t>
      </w:r>
    </w:p>
    <w:p w14:paraId="064F7B90" w14:textId="77777777" w:rsidR="00E75611" w:rsidRDefault="00E75611" w:rsidP="00E75611">
      <w:pPr>
        <w:jc w:val="both"/>
        <w:rPr>
          <w:rFonts w:ascii="Open Sans Light" w:eastAsia="Open Sans Light" w:hAnsi="Open Sans Light" w:cs="Open Sans Light"/>
          <w:sz w:val="24"/>
          <w:szCs w:val="24"/>
        </w:rPr>
      </w:pPr>
      <w:r>
        <w:rPr>
          <w:rFonts w:ascii="Open Sans Light" w:eastAsia="Open Sans Light" w:hAnsi="Open Sans Light" w:cs="Open Sans Light"/>
          <w:sz w:val="24"/>
          <w:szCs w:val="24"/>
        </w:rPr>
        <w:t xml:space="preserve">En esa línea, </w:t>
      </w:r>
      <w:r w:rsidRPr="006C1EB7">
        <w:rPr>
          <w:rFonts w:ascii="Open Sans Light" w:eastAsia="Open Sans Light" w:hAnsi="Open Sans Light" w:cs="Open Sans Light"/>
          <w:sz w:val="24"/>
          <w:szCs w:val="24"/>
        </w:rPr>
        <w:t xml:space="preserve">el </w:t>
      </w:r>
      <w:r>
        <w:rPr>
          <w:rFonts w:ascii="Open Sans Light" w:eastAsia="Open Sans Light" w:hAnsi="Open Sans Light" w:cs="Open Sans Light"/>
          <w:sz w:val="24"/>
          <w:szCs w:val="24"/>
        </w:rPr>
        <w:t xml:space="preserve">grupo de trabajo ha realizado desde el año 2014 al presente año, documentos metodológicos para estimar el GPNNA (2014 y 2020), así como reportes anuales del GPNNA y estudios de caso del GPNNA en temáticas de protección, estado situacional del GPNNA a nivel departamental y en espacios amazónicos. Dichos documentos han permitido visibilizar la situación de la </w:t>
      </w:r>
      <w:r>
        <w:rPr>
          <w:rFonts w:ascii="Open Sans Light" w:eastAsia="Open Sans Light" w:hAnsi="Open Sans Light" w:cs="Open Sans Light"/>
          <w:sz w:val="24"/>
          <w:szCs w:val="24"/>
        </w:rPr>
        <w:lastRenderedPageBreak/>
        <w:t>inversión realizada en esta población con el objetivo de servir como instrumento para la toma decisiones y</w:t>
      </w:r>
      <w:r w:rsidRPr="006C1EB7">
        <w:rPr>
          <w:rFonts w:ascii="Open Sans Light" w:eastAsia="Open Sans Light" w:hAnsi="Open Sans Light" w:cs="Open Sans Light"/>
          <w:sz w:val="24"/>
          <w:szCs w:val="24"/>
        </w:rPr>
        <w:t xml:space="preserve"> fortalec</w:t>
      </w:r>
      <w:r>
        <w:rPr>
          <w:rFonts w:ascii="Open Sans Light" w:eastAsia="Open Sans Light" w:hAnsi="Open Sans Light" w:cs="Open Sans Light"/>
          <w:sz w:val="24"/>
          <w:szCs w:val="24"/>
        </w:rPr>
        <w:t>er</w:t>
      </w:r>
      <w:r w:rsidRPr="006C1EB7">
        <w:rPr>
          <w:rFonts w:ascii="Open Sans Light" w:eastAsia="Open Sans Light" w:hAnsi="Open Sans Light" w:cs="Open Sans Light"/>
          <w:sz w:val="24"/>
          <w:szCs w:val="24"/>
        </w:rPr>
        <w:t xml:space="preserve"> los mecanismos de transparencia y rendición de cuentas. </w:t>
      </w:r>
    </w:p>
    <w:p w14:paraId="3243F391" w14:textId="45DD16B6" w:rsidR="00E75611" w:rsidRDefault="00E75611" w:rsidP="00E75611">
      <w:pPr>
        <w:jc w:val="both"/>
        <w:rPr>
          <w:rFonts w:ascii="Open Sans Light" w:eastAsia="Open Sans Light" w:hAnsi="Open Sans Light" w:cs="Open Sans Light"/>
          <w:sz w:val="24"/>
          <w:szCs w:val="24"/>
        </w:rPr>
      </w:pPr>
      <w:r>
        <w:rPr>
          <w:rFonts w:ascii="Open Sans Light" w:eastAsia="Open Sans Light" w:hAnsi="Open Sans Light" w:cs="Open Sans Light"/>
          <w:sz w:val="24"/>
          <w:szCs w:val="24"/>
        </w:rPr>
        <w:t>Asimismo, mediante la entrevista realizada a algunos representantes del grupo de trabajo y d</w:t>
      </w:r>
      <w:r w:rsidRPr="00A61DFC">
        <w:rPr>
          <w:rFonts w:ascii="Open Sans Light" w:eastAsia="Open Sans Light" w:hAnsi="Open Sans Light" w:cs="Open Sans Light"/>
          <w:sz w:val="24"/>
          <w:szCs w:val="24"/>
        </w:rPr>
        <w:t xml:space="preserve">e acuerdo con la </w:t>
      </w:r>
      <w:r w:rsidRPr="004D0E60">
        <w:rPr>
          <w:rFonts w:ascii="Open Sans Light" w:eastAsia="Open Sans Light" w:hAnsi="Open Sans Light" w:cs="Open Sans Light"/>
          <w:sz w:val="24"/>
          <w:szCs w:val="24"/>
        </w:rPr>
        <w:t xml:space="preserve">Tabla </w:t>
      </w:r>
      <w:r w:rsidR="00664666" w:rsidRPr="004D0E60">
        <w:rPr>
          <w:rFonts w:ascii="Open Sans Light" w:eastAsia="Open Sans Light" w:hAnsi="Open Sans Light" w:cs="Open Sans Light"/>
          <w:sz w:val="24"/>
          <w:szCs w:val="24"/>
        </w:rPr>
        <w:t>1</w:t>
      </w:r>
      <w:r w:rsidR="00FF6081" w:rsidRPr="004D0E60">
        <w:rPr>
          <w:rFonts w:ascii="Open Sans Light" w:eastAsia="Open Sans Light" w:hAnsi="Open Sans Light" w:cs="Open Sans Light"/>
          <w:sz w:val="24"/>
          <w:szCs w:val="24"/>
        </w:rPr>
        <w:t>6</w:t>
      </w:r>
      <w:r w:rsidRPr="004D0E60">
        <w:rPr>
          <w:rFonts w:ascii="Open Sans Light" w:eastAsia="Open Sans Light" w:hAnsi="Open Sans Light" w:cs="Open Sans Light"/>
          <w:sz w:val="24"/>
          <w:szCs w:val="24"/>
        </w:rPr>
        <w:t>,</w:t>
      </w:r>
      <w:r w:rsidRPr="00E75611">
        <w:rPr>
          <w:rFonts w:ascii="Open Sans Light" w:eastAsia="Open Sans Light" w:hAnsi="Open Sans Light" w:cs="Open Sans Light"/>
          <w:sz w:val="24"/>
          <w:szCs w:val="24"/>
        </w:rPr>
        <w:t xml:space="preserve"> se concluye que las actividades del grupo de trabajo han permitido esquematizar un proceso de seguimiento a la inversión en la infancia y adolescencia,</w:t>
      </w:r>
      <w:r>
        <w:rPr>
          <w:rFonts w:ascii="Open Sans Light" w:eastAsia="Open Sans Light" w:hAnsi="Open Sans Light" w:cs="Open Sans Light"/>
          <w:sz w:val="24"/>
          <w:szCs w:val="24"/>
        </w:rPr>
        <w:t xml:space="preserve"> sin embargo, como oportunidad de mejora queda pendiente promover mediante distintas estrategias la eficiencia del GPNNA, así como promover un mayor acercamiento a nivel territorial para fortalecer la adecuada planificación y ejecución presupuestal, lo que reafirma la necesidad de formalizar el grupo de trabajo para fortalecer las actividades a desarrollar.</w:t>
      </w:r>
    </w:p>
    <w:p w14:paraId="3C0ADF17" w14:textId="17468AEB" w:rsidR="00E75611" w:rsidRPr="00E75611" w:rsidRDefault="00492EC3" w:rsidP="00E75611">
      <w:pPr>
        <w:pStyle w:val="ESTILOTABLA"/>
        <w:rPr>
          <w:i w:val="0"/>
        </w:rPr>
      </w:pPr>
      <w:r w:rsidRPr="00E1753D">
        <w:t xml:space="preserve">Tabla </w:t>
      </w:r>
      <w:r w:rsidR="00354646">
        <w:fldChar w:fldCharType="begin"/>
      </w:r>
      <w:r w:rsidR="00354646">
        <w:instrText xml:space="preserve"> SEQ Tabla \* ARABIC </w:instrText>
      </w:r>
      <w:r w:rsidR="00354646">
        <w:fldChar w:fldCharType="separate"/>
      </w:r>
      <w:r w:rsidR="00846FB2">
        <w:rPr>
          <w:noProof/>
        </w:rPr>
        <w:t>16</w:t>
      </w:r>
      <w:r w:rsidR="00354646">
        <w:rPr>
          <w:noProof/>
        </w:rPr>
        <w:fldChar w:fldCharType="end"/>
      </w:r>
      <w:r w:rsidRPr="00E1753D">
        <w:t>.</w:t>
      </w:r>
      <w:r w:rsidRPr="00E1753D">
        <w:rPr>
          <w:rFonts w:eastAsia="Open Sans Light"/>
          <w:b/>
          <w:color w:val="000000"/>
          <w:szCs w:val="24"/>
        </w:rPr>
        <w:t xml:space="preserve"> </w:t>
      </w:r>
      <w:r w:rsidR="00E75611" w:rsidRPr="004D0E60">
        <w:rPr>
          <w:rFonts w:eastAsia="Open Sans Light"/>
          <w:b/>
          <w:bCs/>
          <w:i w:val="0"/>
        </w:rPr>
        <w:t>Principales conclusiones del Grupo de Trabajo GPNNA</w:t>
      </w:r>
    </w:p>
    <w:tbl>
      <w:tblPr>
        <w:tblStyle w:val="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74"/>
        <w:gridCol w:w="6620"/>
      </w:tblGrid>
      <w:tr w:rsidR="00E75611" w:rsidRPr="00D4499E" w14:paraId="3CFB64FA" w14:textId="77777777" w:rsidTr="00DC22B8">
        <w:trPr>
          <w:trHeight w:val="285"/>
          <w:tblHeader/>
        </w:trPr>
        <w:tc>
          <w:tcPr>
            <w:tcW w:w="1103" w:type="pct"/>
            <w:shd w:val="clear" w:color="auto" w:fill="000000" w:themeFill="text1"/>
          </w:tcPr>
          <w:p w14:paraId="73E3DA9D" w14:textId="77777777" w:rsidR="00E75611" w:rsidRPr="00A61DFC" w:rsidRDefault="00E75611" w:rsidP="00DC22B8">
            <w:pPr>
              <w:jc w:val="center"/>
              <w:rPr>
                <w:rFonts w:ascii="Open Sans Light" w:eastAsia="Open Sans Light" w:hAnsi="Open Sans Light" w:cs="Open Sans Light"/>
                <w:b/>
                <w:sz w:val="20"/>
                <w:szCs w:val="20"/>
              </w:rPr>
            </w:pPr>
            <w:r w:rsidRPr="00A61DFC">
              <w:rPr>
                <w:rFonts w:ascii="Open Sans Light" w:eastAsia="Open Sans Light" w:hAnsi="Open Sans Light" w:cs="Open Sans Light"/>
                <w:b/>
                <w:sz w:val="20"/>
                <w:szCs w:val="20"/>
              </w:rPr>
              <w:t>EJE TEMÁTICO</w:t>
            </w:r>
          </w:p>
        </w:tc>
        <w:tc>
          <w:tcPr>
            <w:tcW w:w="3897" w:type="pct"/>
            <w:shd w:val="clear" w:color="auto" w:fill="000000" w:themeFill="text1"/>
          </w:tcPr>
          <w:p w14:paraId="0746AA2E" w14:textId="77777777" w:rsidR="00E75611" w:rsidRPr="00A61DFC" w:rsidRDefault="00E75611" w:rsidP="00DC22B8">
            <w:pPr>
              <w:jc w:val="center"/>
              <w:rPr>
                <w:rFonts w:ascii="Open Sans Light" w:eastAsia="Open Sans Light" w:hAnsi="Open Sans Light" w:cs="Open Sans Light"/>
                <w:b/>
                <w:sz w:val="20"/>
                <w:szCs w:val="20"/>
              </w:rPr>
            </w:pPr>
            <w:r w:rsidRPr="00A61DFC">
              <w:rPr>
                <w:rFonts w:ascii="Open Sans Light" w:eastAsia="Open Sans Light" w:hAnsi="Open Sans Light" w:cs="Open Sans Light"/>
                <w:b/>
                <w:sz w:val="20"/>
                <w:szCs w:val="20"/>
              </w:rPr>
              <w:t>PRINCIPALES CONCLUSIONES</w:t>
            </w:r>
          </w:p>
        </w:tc>
      </w:tr>
      <w:tr w:rsidR="00E75611" w:rsidRPr="00D4499E" w14:paraId="234B6506" w14:textId="77777777" w:rsidTr="00DC22B8">
        <w:trPr>
          <w:trHeight w:val="285"/>
        </w:trPr>
        <w:tc>
          <w:tcPr>
            <w:tcW w:w="1103" w:type="pct"/>
          </w:tcPr>
          <w:p w14:paraId="135DA27D" w14:textId="77777777" w:rsidR="00E75611" w:rsidRPr="00A61DFC" w:rsidRDefault="00E75611" w:rsidP="00DC22B8">
            <w:p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Logros </w:t>
            </w:r>
          </w:p>
        </w:tc>
        <w:tc>
          <w:tcPr>
            <w:tcW w:w="3897" w:type="pct"/>
          </w:tcPr>
          <w:p w14:paraId="0A2F5CD2" w14:textId="77777777" w:rsidR="00E75611" w:rsidRPr="00A61DFC" w:rsidRDefault="00E75611" w:rsidP="00E75611">
            <w:pPr>
              <w:pStyle w:val="ListParagraph"/>
              <w:numPr>
                <w:ilvl w:val="0"/>
                <w:numId w:val="11"/>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Los actores entrevistados concuerdan en que el mayor logro del </w:t>
            </w:r>
            <w:r>
              <w:rPr>
                <w:rFonts w:ascii="Open Sans Light" w:eastAsia="Open Sans Light" w:hAnsi="Open Sans Light" w:cs="Open Sans Light"/>
                <w:sz w:val="20"/>
                <w:szCs w:val="20"/>
              </w:rPr>
              <w:t>grupo de trabajo fue elaborar la metodología del gasto público en niña, niños adolescentes en el año 2014, así como su actualización en el año 2020, lo que permitió ser uno de los primeros países en contar con esta herramienta.</w:t>
            </w:r>
          </w:p>
          <w:p w14:paraId="56089BBC" w14:textId="77777777" w:rsidR="00E75611" w:rsidRPr="00A61DFC" w:rsidRDefault="00E75611" w:rsidP="00E75611">
            <w:pPr>
              <w:pStyle w:val="ListParagraph"/>
              <w:numPr>
                <w:ilvl w:val="0"/>
                <w:numId w:val="11"/>
              </w:numPr>
              <w:jc w:val="both"/>
              <w:rPr>
                <w:rFonts w:ascii="Open Sans Light" w:eastAsia="Open Sans Light" w:hAnsi="Open Sans Light" w:cs="Open Sans Light"/>
                <w:sz w:val="20"/>
                <w:szCs w:val="20"/>
              </w:rPr>
            </w:pPr>
            <w:r>
              <w:rPr>
                <w:rFonts w:ascii="Open Sans Light" w:eastAsia="Open Sans Light" w:hAnsi="Open Sans Light" w:cs="Open Sans Light"/>
                <w:sz w:val="20"/>
                <w:szCs w:val="20"/>
              </w:rPr>
              <w:t>Continuidad del grupo de trabajo del GPNNA desde el año 2014 a la fecha, lo que ha permitido elaborar reportes anuales del GPNNA, elaboración de estudios de caso e incidencia del GPNNA en la exposición de motivos de las leyes de presupuesto anual.</w:t>
            </w:r>
          </w:p>
        </w:tc>
      </w:tr>
      <w:tr w:rsidR="00E75611" w:rsidRPr="00D4499E" w14:paraId="6C34A845" w14:textId="77777777" w:rsidTr="00DC22B8">
        <w:trPr>
          <w:trHeight w:val="285"/>
        </w:trPr>
        <w:tc>
          <w:tcPr>
            <w:tcW w:w="1103" w:type="pct"/>
          </w:tcPr>
          <w:p w14:paraId="1E6F55F9" w14:textId="77777777" w:rsidR="00E75611" w:rsidRPr="00A61DFC" w:rsidRDefault="00E75611" w:rsidP="00DC22B8">
            <w:p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Limitaciones </w:t>
            </w:r>
          </w:p>
        </w:tc>
        <w:tc>
          <w:tcPr>
            <w:tcW w:w="3897" w:type="pct"/>
          </w:tcPr>
          <w:p w14:paraId="3041ED2D" w14:textId="77777777" w:rsidR="00E75611" w:rsidRPr="00A61DFC" w:rsidRDefault="00E75611" w:rsidP="00E75611">
            <w:pPr>
              <w:pStyle w:val="ListParagraph"/>
              <w:numPr>
                <w:ilvl w:val="0"/>
                <w:numId w:val="9"/>
              </w:numPr>
              <w:jc w:val="both"/>
              <w:rPr>
                <w:rFonts w:ascii="Open Sans Light" w:eastAsia="Open Sans Light" w:hAnsi="Open Sans Light" w:cs="Open Sans Light"/>
                <w:sz w:val="20"/>
                <w:szCs w:val="20"/>
              </w:rPr>
            </w:pPr>
            <w:r>
              <w:rPr>
                <w:rFonts w:ascii="Open Sans Light" w:eastAsia="Open Sans Light" w:hAnsi="Open Sans Light" w:cs="Open Sans Light"/>
                <w:sz w:val="20"/>
                <w:szCs w:val="20"/>
              </w:rPr>
              <w:t>La principal limitación emitida por los entrevistados fue la no formalización del grupo de trabajo, lo que limitó al grupo a realizar actividades de mayor nivel y lo que obstaculizó la entrega de información oportuna por falta de instrumentos normativos que plasmaran las funciones de cada integrante del grupo.</w:t>
            </w:r>
          </w:p>
        </w:tc>
      </w:tr>
      <w:tr w:rsidR="00E75611" w:rsidRPr="00D4499E" w14:paraId="422593DE" w14:textId="77777777" w:rsidTr="00DC22B8">
        <w:trPr>
          <w:trHeight w:val="285"/>
        </w:trPr>
        <w:tc>
          <w:tcPr>
            <w:tcW w:w="1103" w:type="pct"/>
          </w:tcPr>
          <w:p w14:paraId="3B283F80" w14:textId="77777777" w:rsidR="00E75611" w:rsidRPr="00A61DFC" w:rsidRDefault="00E75611" w:rsidP="00DC22B8">
            <w:p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Articulación </w:t>
            </w:r>
          </w:p>
        </w:tc>
        <w:tc>
          <w:tcPr>
            <w:tcW w:w="3897" w:type="pct"/>
          </w:tcPr>
          <w:p w14:paraId="1218E2A7" w14:textId="77777777" w:rsidR="00E75611" w:rsidRDefault="00E75611" w:rsidP="00E75611">
            <w:pPr>
              <w:pStyle w:val="ListParagraph"/>
              <w:numPr>
                <w:ilvl w:val="0"/>
                <w:numId w:val="10"/>
              </w:numPr>
              <w:jc w:val="both"/>
              <w:rPr>
                <w:rFonts w:ascii="Open Sans Light" w:eastAsia="Open Sans Light" w:hAnsi="Open Sans Light" w:cs="Open Sans Light"/>
                <w:sz w:val="20"/>
                <w:szCs w:val="20"/>
              </w:rPr>
            </w:pPr>
            <w:r>
              <w:rPr>
                <w:rFonts w:ascii="Open Sans Light" w:eastAsia="Open Sans Light" w:hAnsi="Open Sans Light" w:cs="Open Sans Light"/>
                <w:sz w:val="20"/>
                <w:szCs w:val="20"/>
              </w:rPr>
              <w:t>A pesar de las limitaciones e</w:t>
            </w:r>
            <w:r w:rsidRPr="00A61DFC">
              <w:rPr>
                <w:rFonts w:ascii="Open Sans Light" w:eastAsia="Open Sans Light" w:hAnsi="Open Sans Light" w:cs="Open Sans Light"/>
                <w:sz w:val="20"/>
                <w:szCs w:val="20"/>
              </w:rPr>
              <w:t>l G</w:t>
            </w:r>
            <w:r>
              <w:rPr>
                <w:rFonts w:ascii="Open Sans Light" w:eastAsia="Open Sans Light" w:hAnsi="Open Sans Light" w:cs="Open Sans Light"/>
                <w:sz w:val="20"/>
                <w:szCs w:val="20"/>
              </w:rPr>
              <w:t xml:space="preserve">rupo de </w:t>
            </w:r>
            <w:r w:rsidRPr="00A61DFC">
              <w:rPr>
                <w:rFonts w:ascii="Open Sans Light" w:eastAsia="Open Sans Light" w:hAnsi="Open Sans Light" w:cs="Open Sans Light"/>
                <w:sz w:val="20"/>
                <w:szCs w:val="20"/>
              </w:rPr>
              <w:t>T</w:t>
            </w:r>
            <w:r>
              <w:rPr>
                <w:rFonts w:ascii="Open Sans Light" w:eastAsia="Open Sans Light" w:hAnsi="Open Sans Light" w:cs="Open Sans Light"/>
                <w:sz w:val="20"/>
                <w:szCs w:val="20"/>
              </w:rPr>
              <w:t>rabajo</w:t>
            </w:r>
            <w:r w:rsidRPr="00A61DFC">
              <w:rPr>
                <w:rFonts w:ascii="Open Sans Light" w:eastAsia="Open Sans Light" w:hAnsi="Open Sans Light" w:cs="Open Sans Light"/>
                <w:sz w:val="20"/>
                <w:szCs w:val="20"/>
              </w:rPr>
              <w:t xml:space="preserve"> del </w:t>
            </w:r>
            <w:r>
              <w:rPr>
                <w:rFonts w:ascii="Open Sans Light" w:eastAsia="Open Sans Light" w:hAnsi="Open Sans Light" w:cs="Open Sans Light"/>
                <w:sz w:val="20"/>
                <w:szCs w:val="20"/>
              </w:rPr>
              <w:t>GPNNA</w:t>
            </w:r>
            <w:r w:rsidRPr="00A61DFC">
              <w:rPr>
                <w:rFonts w:ascii="Open Sans Light" w:eastAsia="Open Sans Light" w:hAnsi="Open Sans Light" w:cs="Open Sans Light"/>
                <w:sz w:val="20"/>
                <w:szCs w:val="20"/>
              </w:rPr>
              <w:t xml:space="preserve"> se mantuvo sostenible en el tiempo, </w:t>
            </w:r>
            <w:r>
              <w:rPr>
                <w:rFonts w:ascii="Open Sans Light" w:eastAsia="Open Sans Light" w:hAnsi="Open Sans Light" w:cs="Open Sans Light"/>
                <w:sz w:val="20"/>
                <w:szCs w:val="20"/>
              </w:rPr>
              <w:t xml:space="preserve">por voluntad política, </w:t>
            </w:r>
            <w:r w:rsidRPr="00A61DFC">
              <w:rPr>
                <w:rFonts w:ascii="Open Sans Light" w:eastAsia="Open Sans Light" w:hAnsi="Open Sans Light" w:cs="Open Sans Light"/>
                <w:sz w:val="20"/>
                <w:szCs w:val="20"/>
              </w:rPr>
              <w:t xml:space="preserve">lo cual permitió la coordinación interinstitucional </w:t>
            </w:r>
            <w:r>
              <w:rPr>
                <w:rFonts w:ascii="Open Sans Light" w:eastAsia="Open Sans Light" w:hAnsi="Open Sans Light" w:cs="Open Sans Light"/>
                <w:sz w:val="20"/>
                <w:szCs w:val="20"/>
              </w:rPr>
              <w:t>entre sus integrantes.</w:t>
            </w:r>
          </w:p>
          <w:p w14:paraId="5FBBC947" w14:textId="4A6AB665" w:rsidR="00E75611" w:rsidRPr="00A61DFC" w:rsidRDefault="00E75611" w:rsidP="00E75611">
            <w:pPr>
              <w:pStyle w:val="ListParagraph"/>
              <w:numPr>
                <w:ilvl w:val="0"/>
                <w:numId w:val="10"/>
              </w:numPr>
              <w:jc w:val="both"/>
              <w:rPr>
                <w:rFonts w:ascii="Open Sans Light" w:eastAsia="Open Sans Light" w:hAnsi="Open Sans Light" w:cs="Open Sans Light"/>
                <w:sz w:val="20"/>
                <w:szCs w:val="20"/>
              </w:rPr>
            </w:pPr>
            <w:r>
              <w:rPr>
                <w:rFonts w:ascii="Open Sans Light" w:eastAsia="Open Sans Light" w:hAnsi="Open Sans Light" w:cs="Open Sans Light"/>
                <w:sz w:val="20"/>
                <w:szCs w:val="20"/>
              </w:rPr>
              <w:t>La articulación entre lo</w:t>
            </w:r>
            <w:r w:rsidR="00E56862">
              <w:rPr>
                <w:rFonts w:ascii="Open Sans Light" w:eastAsia="Open Sans Light" w:hAnsi="Open Sans Light" w:cs="Open Sans Light"/>
                <w:sz w:val="20"/>
                <w:szCs w:val="20"/>
              </w:rPr>
              <w:t>s</w:t>
            </w:r>
            <w:r>
              <w:rPr>
                <w:rFonts w:ascii="Open Sans Light" w:eastAsia="Open Sans Light" w:hAnsi="Open Sans Light" w:cs="Open Sans Light"/>
                <w:sz w:val="20"/>
                <w:szCs w:val="20"/>
              </w:rPr>
              <w:t xml:space="preserve"> representantes del grupo se realizó mediante acuerdos realizadas en cada reunión de trabajo y en el marco de las competencias de cada sector. En esa línea se destaca el papel del MIMP como sector coordinador, el papel del MEF como sector a cargo de la emisión de la información del GPNNA, la de UNICEF como principal fuente de financiamiento para la elaboración de documentos, y la del MINEDU, MINSA, MIDIS y la MCLCP como asesores técnicos para la formulación y elaboración de documentos en el marco del GPNNA.</w:t>
            </w:r>
          </w:p>
        </w:tc>
      </w:tr>
      <w:tr w:rsidR="00E75611" w:rsidRPr="00D4499E" w14:paraId="266F0D98" w14:textId="77777777" w:rsidTr="00DC22B8">
        <w:trPr>
          <w:trHeight w:val="3516"/>
        </w:trPr>
        <w:tc>
          <w:tcPr>
            <w:tcW w:w="1103" w:type="pct"/>
          </w:tcPr>
          <w:p w14:paraId="36A674C8" w14:textId="77777777" w:rsidR="00E75611" w:rsidRPr="00A61DFC" w:rsidRDefault="00E75611" w:rsidP="00DC22B8">
            <w:p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lastRenderedPageBreak/>
              <w:t>Recomendaciones en el marco del PNMNNA</w:t>
            </w:r>
          </w:p>
        </w:tc>
        <w:tc>
          <w:tcPr>
            <w:tcW w:w="3897" w:type="pct"/>
          </w:tcPr>
          <w:p w14:paraId="2ADADAEC" w14:textId="77777777" w:rsidR="00E75611" w:rsidRDefault="00E75611" w:rsidP="00E75611">
            <w:pPr>
              <w:pStyle w:val="ListParagraph"/>
              <w:numPr>
                <w:ilvl w:val="0"/>
                <w:numId w:val="10"/>
              </w:numPr>
              <w:jc w:val="both"/>
              <w:rPr>
                <w:rFonts w:ascii="Open Sans Light" w:eastAsia="Open Sans Light" w:hAnsi="Open Sans Light" w:cs="Open Sans Light"/>
                <w:sz w:val="20"/>
                <w:szCs w:val="20"/>
              </w:rPr>
            </w:pPr>
            <w:r>
              <w:rPr>
                <w:rFonts w:ascii="Open Sans Light" w:eastAsia="Open Sans Light" w:hAnsi="Open Sans Light" w:cs="Open Sans Light"/>
                <w:sz w:val="20"/>
                <w:szCs w:val="20"/>
              </w:rPr>
              <w:t>Formalizar el grupo de trabajo del GPNNA, lo que permitirá continuar con la promoción de la importancia de la priorización de recursos económicos en niñez y adolescencia, así como las actividades de seguimiento a dicha inversión en el marco de la implementación de la PNMNNA.</w:t>
            </w:r>
          </w:p>
          <w:p w14:paraId="290D6767" w14:textId="77777777" w:rsidR="00E75611" w:rsidRPr="00A61DFC" w:rsidRDefault="00E75611" w:rsidP="00E75611">
            <w:pPr>
              <w:pStyle w:val="ListParagraph"/>
              <w:numPr>
                <w:ilvl w:val="0"/>
                <w:numId w:val="10"/>
              </w:numPr>
              <w:jc w:val="both"/>
              <w:rPr>
                <w:rFonts w:ascii="Open Sans Light" w:eastAsia="Open Sans Light" w:hAnsi="Open Sans Light" w:cs="Open Sans Light"/>
                <w:sz w:val="20"/>
                <w:szCs w:val="20"/>
              </w:rPr>
            </w:pPr>
            <w:r>
              <w:rPr>
                <w:rFonts w:ascii="Open Sans Light" w:eastAsia="Open Sans Light" w:hAnsi="Open Sans Light" w:cs="Open Sans Light"/>
                <w:sz w:val="20"/>
                <w:szCs w:val="20"/>
              </w:rPr>
              <w:t xml:space="preserve">Incorporar en el instrumento de medición del GPNNA un alineamiento con la PNMNNA, realizando la vinculación de las intervenciones a favor de la niñez y adolescencia en el esquema de seguimiento al GPNNA, lo que permitirá mejorar la eficiencia del gasto público y fortalecer </w:t>
            </w:r>
            <w:r w:rsidRPr="006B548B">
              <w:rPr>
                <w:rFonts w:ascii="Open Sans Light" w:eastAsia="Open Sans Light" w:hAnsi="Open Sans Light" w:cs="Open Sans Light"/>
                <w:sz w:val="20"/>
                <w:szCs w:val="20"/>
              </w:rPr>
              <w:t>la relación entre las intervenciones y los mecanismos de presupuestación a nivel de sector y región</w:t>
            </w:r>
            <w:r>
              <w:rPr>
                <w:rFonts w:ascii="Open Sans Light" w:eastAsia="Open Sans Light" w:hAnsi="Open Sans Light" w:cs="Open Sans Light"/>
                <w:sz w:val="20"/>
                <w:szCs w:val="20"/>
              </w:rPr>
              <w:t>.</w:t>
            </w:r>
          </w:p>
          <w:p w14:paraId="0244A1D4" w14:textId="77777777" w:rsidR="00E75611" w:rsidRPr="00A61DFC" w:rsidRDefault="00E75611" w:rsidP="00E75611">
            <w:pPr>
              <w:pStyle w:val="ListParagraph"/>
              <w:numPr>
                <w:ilvl w:val="0"/>
                <w:numId w:val="10"/>
              </w:numPr>
              <w:jc w:val="both"/>
              <w:rPr>
                <w:rFonts w:ascii="Open Sans Light" w:eastAsia="Open Sans Light" w:hAnsi="Open Sans Light" w:cs="Open Sans Light"/>
                <w:sz w:val="20"/>
                <w:szCs w:val="20"/>
              </w:rPr>
            </w:pPr>
            <w:r>
              <w:rPr>
                <w:rFonts w:ascii="Open Sans Light" w:eastAsia="Open Sans Light" w:hAnsi="Open Sans Light" w:cs="Open Sans Light"/>
                <w:sz w:val="20"/>
                <w:szCs w:val="20"/>
              </w:rPr>
              <w:t>Incidir además de la priorización de recursos económicos en niñez y adolescencia, en la adecuada ejecución presupuestal y en la eficiencia del GPNNA.</w:t>
            </w:r>
          </w:p>
          <w:p w14:paraId="1E00F977" w14:textId="77777777" w:rsidR="00E75611" w:rsidRPr="00070254" w:rsidRDefault="00E75611" w:rsidP="00E75611">
            <w:pPr>
              <w:pStyle w:val="ListParagraph"/>
              <w:numPr>
                <w:ilvl w:val="0"/>
                <w:numId w:val="10"/>
              </w:numPr>
              <w:jc w:val="both"/>
              <w:rPr>
                <w:rFonts w:ascii="Open Sans Light" w:eastAsia="Open Sans Light" w:hAnsi="Open Sans Light" w:cs="Open Sans Light"/>
                <w:sz w:val="20"/>
                <w:szCs w:val="20"/>
              </w:rPr>
            </w:pPr>
            <w:r w:rsidRPr="00A61DFC">
              <w:rPr>
                <w:rFonts w:ascii="Open Sans Light" w:eastAsia="Open Sans Light" w:hAnsi="Open Sans Light" w:cs="Open Sans Light"/>
                <w:sz w:val="20"/>
                <w:szCs w:val="20"/>
              </w:rPr>
              <w:t xml:space="preserve">Fortalecer las capacidades de los funcionarios de los gobiernos subnacionales respecto a las acciones de </w:t>
            </w:r>
            <w:r>
              <w:rPr>
                <w:rFonts w:ascii="Open Sans Light" w:eastAsia="Open Sans Light" w:hAnsi="Open Sans Light" w:cs="Open Sans Light"/>
                <w:sz w:val="20"/>
                <w:szCs w:val="20"/>
              </w:rPr>
              <w:t>planificación y ejecución presupuestal.</w:t>
            </w:r>
          </w:p>
        </w:tc>
      </w:tr>
      <w:bookmarkEnd w:id="12"/>
    </w:tbl>
    <w:p w14:paraId="5AE77C4E" w14:textId="77777777" w:rsidR="00E75611" w:rsidRDefault="00E75611" w:rsidP="00CF4A43">
      <w:pPr>
        <w:jc w:val="both"/>
        <w:rPr>
          <w:rFonts w:ascii="Open Sans Light" w:eastAsia="Open Sans Light" w:hAnsi="Open Sans Light" w:cs="Open Sans Light"/>
          <w:sz w:val="24"/>
          <w:szCs w:val="24"/>
        </w:rPr>
      </w:pPr>
    </w:p>
    <w:p w14:paraId="2B5EDA3A" w14:textId="7619E808" w:rsidR="00CF4A43" w:rsidRPr="006C1EB7" w:rsidRDefault="00CF4A43" w:rsidP="00CF4A43">
      <w:pPr>
        <w:jc w:val="both"/>
        <w:rPr>
          <w:rFonts w:ascii="Open Sans Light" w:eastAsia="Open Sans Light" w:hAnsi="Open Sans Light" w:cs="Open Sans Light"/>
          <w:sz w:val="24"/>
          <w:szCs w:val="24"/>
        </w:rPr>
      </w:pPr>
      <w:r w:rsidRPr="006C1EB7">
        <w:rPr>
          <w:rFonts w:ascii="Open Sans Light" w:eastAsia="Open Sans Light" w:hAnsi="Open Sans Light" w:cs="Open Sans Light"/>
          <w:sz w:val="24"/>
          <w:szCs w:val="24"/>
        </w:rPr>
        <w:t>Grupo de Trabajo Comunicadores</w:t>
      </w:r>
    </w:p>
    <w:p w14:paraId="290BC7D0" w14:textId="3ABFBBC0" w:rsidR="00CF4A43" w:rsidRPr="00A61DFC" w:rsidRDefault="00CF4A43" w:rsidP="00CF4A43">
      <w:pPr>
        <w:jc w:val="both"/>
        <w:rPr>
          <w:rFonts w:ascii="Open Sans Light" w:eastAsia="Open Sans Light" w:hAnsi="Open Sans Light" w:cs="Open Sans Light"/>
          <w:sz w:val="24"/>
          <w:szCs w:val="24"/>
        </w:rPr>
      </w:pPr>
      <w:r w:rsidRPr="006C1EB7">
        <w:rPr>
          <w:rFonts w:ascii="Open Sans Light" w:eastAsia="Open Sans Light" w:hAnsi="Open Sans Light" w:cs="Open Sans Light"/>
          <w:sz w:val="24"/>
          <w:szCs w:val="24"/>
        </w:rPr>
        <w:t>Por otro lado, el grupo de comunicadores sociales del PNAIA 2012-2021, cumplió un rol importante difundiendo actividades y campañas comunicacionales por diferentes medios,</w:t>
      </w:r>
      <w:r w:rsidR="0024340C" w:rsidRPr="006C1EB7">
        <w:rPr>
          <w:rFonts w:ascii="Open Sans Light" w:eastAsia="Open Sans Light" w:hAnsi="Open Sans Light" w:cs="Open Sans Light"/>
          <w:sz w:val="24"/>
          <w:szCs w:val="24"/>
        </w:rPr>
        <w:t xml:space="preserve"> principalmente por las redes sociales</w:t>
      </w:r>
      <w:r w:rsidR="00665C0F" w:rsidRPr="006C1EB7">
        <w:rPr>
          <w:rFonts w:ascii="Open Sans Light" w:eastAsia="Open Sans Light" w:hAnsi="Open Sans Light" w:cs="Open Sans Light"/>
          <w:sz w:val="24"/>
          <w:szCs w:val="24"/>
        </w:rPr>
        <w:t>.</w:t>
      </w:r>
      <w:r w:rsidRPr="006C1EB7">
        <w:rPr>
          <w:rFonts w:ascii="Open Sans Light" w:eastAsia="Open Sans Light" w:hAnsi="Open Sans Light" w:cs="Open Sans Light"/>
          <w:sz w:val="24"/>
          <w:szCs w:val="24"/>
        </w:rPr>
        <w:t xml:space="preserve"> </w:t>
      </w:r>
      <w:r w:rsidR="006526ED" w:rsidRPr="006C1EB7">
        <w:rPr>
          <w:rFonts w:ascii="Open Sans Light" w:eastAsia="Open Sans Light" w:hAnsi="Open Sans Light" w:cs="Open Sans Light"/>
          <w:sz w:val="24"/>
          <w:szCs w:val="24"/>
        </w:rPr>
        <w:t>Además, e</w:t>
      </w:r>
      <w:r w:rsidRPr="006C1EB7">
        <w:rPr>
          <w:rFonts w:ascii="Open Sans Light" w:eastAsia="Open Sans Light" w:hAnsi="Open Sans Light" w:cs="Open Sans Light"/>
          <w:sz w:val="24"/>
          <w:szCs w:val="24"/>
        </w:rPr>
        <w:t xml:space="preserve">n el contexto de la pandemia </w:t>
      </w:r>
      <w:r w:rsidR="0024340C" w:rsidRPr="006C1EB7">
        <w:rPr>
          <w:rFonts w:ascii="Open Sans Light" w:eastAsia="Open Sans Light" w:hAnsi="Open Sans Light" w:cs="Open Sans Light"/>
          <w:sz w:val="24"/>
          <w:szCs w:val="24"/>
        </w:rPr>
        <w:t xml:space="preserve">se ejecutaron </w:t>
      </w:r>
      <w:r w:rsidRPr="006C1EB7">
        <w:rPr>
          <w:rFonts w:ascii="Open Sans Light" w:eastAsia="Open Sans Light" w:hAnsi="Open Sans Light" w:cs="Open Sans Light"/>
          <w:sz w:val="24"/>
          <w:szCs w:val="24"/>
        </w:rPr>
        <w:t>campaña</w:t>
      </w:r>
      <w:r w:rsidR="0024340C" w:rsidRPr="006C1EB7">
        <w:rPr>
          <w:rFonts w:ascii="Open Sans Light" w:eastAsia="Open Sans Light" w:hAnsi="Open Sans Light" w:cs="Open Sans Light"/>
          <w:sz w:val="24"/>
          <w:szCs w:val="24"/>
        </w:rPr>
        <w:t>s</w:t>
      </w:r>
      <w:r w:rsidRPr="006C1EB7">
        <w:rPr>
          <w:rFonts w:ascii="Open Sans Light" w:eastAsia="Open Sans Light" w:hAnsi="Open Sans Light" w:cs="Open Sans Light"/>
          <w:sz w:val="24"/>
          <w:szCs w:val="24"/>
        </w:rPr>
        <w:t xml:space="preserve"> informativa</w:t>
      </w:r>
      <w:r w:rsidR="0024340C" w:rsidRPr="006C1EB7">
        <w:rPr>
          <w:rFonts w:ascii="Open Sans Light" w:eastAsia="Open Sans Light" w:hAnsi="Open Sans Light" w:cs="Open Sans Light"/>
          <w:sz w:val="24"/>
          <w:szCs w:val="24"/>
        </w:rPr>
        <w:t>s</w:t>
      </w:r>
      <w:r w:rsidRPr="006C1EB7">
        <w:rPr>
          <w:rFonts w:ascii="Open Sans Light" w:eastAsia="Open Sans Light" w:hAnsi="Open Sans Light" w:cs="Open Sans Light"/>
          <w:sz w:val="24"/>
          <w:szCs w:val="24"/>
        </w:rPr>
        <w:t xml:space="preserve"> para difundir las acciones </w:t>
      </w:r>
      <w:r w:rsidR="0024340C" w:rsidRPr="006C1EB7">
        <w:rPr>
          <w:rFonts w:ascii="Open Sans Light" w:eastAsia="Open Sans Light" w:hAnsi="Open Sans Light" w:cs="Open Sans Light"/>
          <w:sz w:val="24"/>
          <w:szCs w:val="24"/>
        </w:rPr>
        <w:t>tomadas</w:t>
      </w:r>
      <w:r w:rsidRPr="006C1EB7">
        <w:rPr>
          <w:rFonts w:ascii="Open Sans Light" w:eastAsia="Open Sans Light" w:hAnsi="Open Sans Light" w:cs="Open Sans Light"/>
          <w:sz w:val="24"/>
          <w:szCs w:val="24"/>
        </w:rPr>
        <w:t xml:space="preserve"> en favor de las familias peruanas que requerían asistencia económica</w:t>
      </w:r>
      <w:r w:rsidR="006526ED" w:rsidRPr="006C1EB7">
        <w:rPr>
          <w:rFonts w:ascii="Open Sans Light" w:eastAsia="Open Sans Light" w:hAnsi="Open Sans Light" w:cs="Open Sans Light"/>
          <w:sz w:val="24"/>
          <w:szCs w:val="24"/>
        </w:rPr>
        <w:t>, así como también en favor de</w:t>
      </w:r>
      <w:r w:rsidRPr="006C1EB7">
        <w:rPr>
          <w:rFonts w:ascii="Open Sans Light" w:eastAsia="Open Sans Light" w:hAnsi="Open Sans Light" w:cs="Open Sans Light"/>
          <w:sz w:val="24"/>
          <w:szCs w:val="24"/>
        </w:rPr>
        <w:t xml:space="preserve"> menores de edad en est</w:t>
      </w:r>
      <w:r w:rsidR="0024340C" w:rsidRPr="006C1EB7">
        <w:rPr>
          <w:rFonts w:ascii="Open Sans Light" w:eastAsia="Open Sans Light" w:hAnsi="Open Sans Light" w:cs="Open Sans Light"/>
          <w:sz w:val="24"/>
          <w:szCs w:val="24"/>
        </w:rPr>
        <w:t>ad</w:t>
      </w:r>
      <w:r w:rsidRPr="006C1EB7">
        <w:rPr>
          <w:rFonts w:ascii="Open Sans Light" w:eastAsia="Open Sans Light" w:hAnsi="Open Sans Light" w:cs="Open Sans Light"/>
          <w:sz w:val="24"/>
          <w:szCs w:val="24"/>
        </w:rPr>
        <w:t>o de orfandad cuyos padres fallecieron</w:t>
      </w:r>
      <w:r w:rsidR="0024340C" w:rsidRPr="006C1EB7">
        <w:rPr>
          <w:rFonts w:ascii="Open Sans Light" w:eastAsia="Open Sans Light" w:hAnsi="Open Sans Light" w:cs="Open Sans Light"/>
          <w:sz w:val="24"/>
          <w:szCs w:val="24"/>
        </w:rPr>
        <w:t xml:space="preserve"> por la</w:t>
      </w:r>
      <w:r w:rsidRPr="006C1EB7">
        <w:rPr>
          <w:rFonts w:ascii="Open Sans Light" w:eastAsia="Open Sans Light" w:hAnsi="Open Sans Light" w:cs="Open Sans Light"/>
          <w:sz w:val="24"/>
          <w:szCs w:val="24"/>
        </w:rPr>
        <w:t xml:space="preserve"> Covid-19</w:t>
      </w:r>
      <w:r w:rsidR="006526ED" w:rsidRPr="006C1EB7">
        <w:rPr>
          <w:rFonts w:ascii="Open Sans Light" w:eastAsia="Open Sans Light" w:hAnsi="Open Sans Light" w:cs="Open Sans Light"/>
          <w:sz w:val="24"/>
          <w:szCs w:val="24"/>
        </w:rPr>
        <w:t>.</w:t>
      </w:r>
      <w:r w:rsidR="00665C0F" w:rsidRPr="006C1EB7">
        <w:rPr>
          <w:rFonts w:ascii="Open Sans Light" w:eastAsia="Open Sans Light" w:hAnsi="Open Sans Light" w:cs="Open Sans Light"/>
          <w:sz w:val="24"/>
          <w:szCs w:val="24"/>
        </w:rPr>
        <w:t xml:space="preserve"> </w:t>
      </w:r>
      <w:r w:rsidR="006526ED" w:rsidRPr="006C1EB7">
        <w:rPr>
          <w:rFonts w:ascii="Open Sans Light" w:eastAsia="Open Sans Light" w:hAnsi="Open Sans Light" w:cs="Open Sans Light"/>
          <w:sz w:val="24"/>
          <w:szCs w:val="24"/>
        </w:rPr>
        <w:t xml:space="preserve">En esta línea, también se generaron </w:t>
      </w:r>
      <w:r w:rsidR="00665C0F" w:rsidRPr="006C1EB7">
        <w:rPr>
          <w:rFonts w:ascii="Open Sans Light" w:eastAsia="Open Sans Light" w:hAnsi="Open Sans Light" w:cs="Open Sans Light"/>
          <w:sz w:val="24"/>
          <w:szCs w:val="24"/>
        </w:rPr>
        <w:t xml:space="preserve">boletines informativos sobre el trabajo infantil, </w:t>
      </w:r>
      <w:r w:rsidR="005373EB" w:rsidRPr="006C1EB7">
        <w:rPr>
          <w:rFonts w:ascii="Open Sans Light" w:eastAsia="Open Sans Light" w:hAnsi="Open Sans Light" w:cs="Open Sans Light"/>
          <w:sz w:val="24"/>
          <w:szCs w:val="24"/>
        </w:rPr>
        <w:t>p</w:t>
      </w:r>
      <w:r w:rsidR="00665C0F" w:rsidRPr="006C1EB7">
        <w:rPr>
          <w:rFonts w:ascii="Open Sans Light" w:eastAsia="Open Sans Light" w:hAnsi="Open Sans Light" w:cs="Open Sans Light"/>
          <w:sz w:val="24"/>
          <w:szCs w:val="24"/>
        </w:rPr>
        <w:t>ersonas desaparecidas</w:t>
      </w:r>
      <w:r w:rsidR="005373EB" w:rsidRPr="006C1EB7">
        <w:rPr>
          <w:rFonts w:ascii="Open Sans Light" w:eastAsia="Open Sans Light" w:hAnsi="Open Sans Light" w:cs="Open Sans Light"/>
          <w:sz w:val="24"/>
          <w:szCs w:val="24"/>
        </w:rPr>
        <w:t>, entre otros.</w:t>
      </w:r>
      <w:r w:rsidR="00665C0F" w:rsidRPr="006C1EB7">
        <w:rPr>
          <w:rFonts w:ascii="Open Sans Light" w:eastAsia="Open Sans Light" w:hAnsi="Open Sans Light" w:cs="Open Sans Light"/>
          <w:sz w:val="24"/>
          <w:szCs w:val="24"/>
        </w:rPr>
        <w:t xml:space="preserve"> </w:t>
      </w:r>
      <w:r w:rsidR="005373EB" w:rsidRPr="006C1EB7">
        <w:rPr>
          <w:rFonts w:ascii="Open Sans Light" w:eastAsia="Open Sans Light" w:hAnsi="Open Sans Light" w:cs="Open Sans Light"/>
          <w:sz w:val="24"/>
          <w:szCs w:val="24"/>
        </w:rPr>
        <w:t xml:space="preserve">Todo ello </w:t>
      </w:r>
      <w:r w:rsidR="00665C0F" w:rsidRPr="006C1EB7">
        <w:rPr>
          <w:rFonts w:ascii="Open Sans Light" w:eastAsia="Open Sans Light" w:hAnsi="Open Sans Light" w:cs="Open Sans Light"/>
          <w:sz w:val="24"/>
          <w:szCs w:val="24"/>
        </w:rPr>
        <w:t xml:space="preserve">con el propósito de coadyuvar con </w:t>
      </w:r>
      <w:r w:rsidR="00393D98" w:rsidRPr="006C1EB7">
        <w:rPr>
          <w:rFonts w:ascii="Open Sans Light" w:eastAsia="Open Sans Light" w:hAnsi="Open Sans Light" w:cs="Open Sans Light"/>
          <w:sz w:val="24"/>
          <w:szCs w:val="24"/>
        </w:rPr>
        <w:t>los objetivos de CMP y el</w:t>
      </w:r>
      <w:r w:rsidR="00665C0F" w:rsidRPr="006C1EB7">
        <w:rPr>
          <w:rFonts w:ascii="Open Sans Light" w:eastAsia="Open Sans Light" w:hAnsi="Open Sans Light" w:cs="Open Sans Light"/>
          <w:sz w:val="24"/>
          <w:szCs w:val="24"/>
        </w:rPr>
        <w:t xml:space="preserve"> PNAIA 2012-2021.</w:t>
      </w:r>
    </w:p>
    <w:p w14:paraId="7EA73E71" w14:textId="17D004C9" w:rsidR="00AA4BAE" w:rsidRPr="00A61DFC" w:rsidRDefault="00AA4BAE" w:rsidP="00F03883">
      <w:pPr>
        <w:spacing w:after="0" w:line="36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Planes Regionales de Acción por la Infancia y Adolescencia (PRAIA)</w:t>
      </w:r>
    </w:p>
    <w:p w14:paraId="71137FAA" w14:textId="371699E6" w:rsidR="00AA4BAE" w:rsidRPr="00A61DFC" w:rsidRDefault="00AA4BAE" w:rsidP="00AA4BAE">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Con el fin de garantizar el compromiso e involucramiento de los gobiernos y actores regionales y locales en el logro de las metas emblemáticas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este plan establece el diseño y la ejecución de Planes Regionales de Acción por la Infancia y la Adolescencia (PRAIA) en cada uno de los 25 Gobiernos Regional</w:t>
      </w:r>
      <w:r w:rsidR="00A32626">
        <w:rPr>
          <w:rFonts w:ascii="Open Sans Light" w:eastAsia="Open Sans Light" w:hAnsi="Open Sans Light" w:cs="Open Sans Light"/>
          <w:sz w:val="24"/>
          <w:szCs w:val="24"/>
        </w:rPr>
        <w:t>es</w:t>
      </w:r>
      <w:r w:rsidRPr="00A61DFC">
        <w:rPr>
          <w:rFonts w:ascii="Open Sans Light" w:eastAsia="Open Sans Light" w:hAnsi="Open Sans Light" w:cs="Open Sans Light"/>
          <w:sz w:val="24"/>
          <w:szCs w:val="24"/>
        </w:rPr>
        <w:t xml:space="preserve">, acordes con la realidad y situación específica de cada departamento, articulados a las metas y estrategias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A la fecha, los siguientes 14 GORE cuentan con PRAIA aprobado: Piura, Lima, La Libertad, Ucayali, Moquegua, Cusco, Loreto, Huánuco, Lambayeque, Arequipa, Lima Metropolitana, Ayacucho, Tumbes, Junín.</w:t>
      </w:r>
    </w:p>
    <w:p w14:paraId="14159E76" w14:textId="77777777" w:rsidR="00AA4BAE" w:rsidRPr="00A61DFC" w:rsidRDefault="00AA4BAE" w:rsidP="00AA4BAE">
      <w:pPr>
        <w:spacing w:after="0" w:line="240" w:lineRule="auto"/>
        <w:jc w:val="both"/>
        <w:rPr>
          <w:rFonts w:ascii="Open Sans Light" w:eastAsia="Open Sans Light" w:hAnsi="Open Sans Light" w:cs="Open Sans Light"/>
          <w:sz w:val="24"/>
          <w:szCs w:val="24"/>
        </w:rPr>
      </w:pPr>
    </w:p>
    <w:p w14:paraId="1C6CD888" w14:textId="43E8E92F" w:rsidR="00AA4BAE" w:rsidRPr="00A61DFC" w:rsidRDefault="00AA4BAE" w:rsidP="00AA4BAE">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Para este proceso, se entrevistaron a representantes de 4 Gobiernos Regionales: La Libertad, Ayacucho, Pasco y Madre de Dios, con el fin de conocer logros de los PRAIA; los motivos de no haber implementado sus PRAIA (en el caso de Pasco y Madre de Dios); el nivel de articulación territorial con el gobierno nacional y sus respectivos gobiernos locales; así como las lecciones aprendidas y recomendaciones de cara a la implementación de la PNMNNA. La </w:t>
      </w:r>
      <w:r w:rsidRPr="004D0E60">
        <w:rPr>
          <w:rFonts w:ascii="Open Sans Light" w:eastAsia="Open Sans Light" w:hAnsi="Open Sans Light" w:cs="Open Sans Light"/>
          <w:sz w:val="24"/>
          <w:szCs w:val="24"/>
        </w:rPr>
        <w:t xml:space="preserve">Tabla </w:t>
      </w:r>
      <w:r w:rsidR="00D26390" w:rsidRPr="004D0E60">
        <w:rPr>
          <w:rFonts w:ascii="Open Sans Light" w:eastAsia="Open Sans Light" w:hAnsi="Open Sans Light" w:cs="Open Sans Light"/>
          <w:sz w:val="24"/>
          <w:szCs w:val="24"/>
        </w:rPr>
        <w:t>1</w:t>
      </w:r>
      <w:r w:rsidR="00FF6081" w:rsidRPr="004D0E60">
        <w:rPr>
          <w:rFonts w:ascii="Open Sans Light" w:eastAsia="Open Sans Light" w:hAnsi="Open Sans Light" w:cs="Open Sans Light"/>
          <w:sz w:val="24"/>
          <w:szCs w:val="24"/>
        </w:rPr>
        <w:t>7</w:t>
      </w:r>
      <w:r w:rsidRPr="00A61DFC">
        <w:rPr>
          <w:rFonts w:ascii="Open Sans Light" w:eastAsia="Open Sans Light" w:hAnsi="Open Sans Light" w:cs="Open Sans Light"/>
          <w:sz w:val="24"/>
          <w:szCs w:val="24"/>
        </w:rPr>
        <w:t xml:space="preserve"> resume las principales conclusiones recogidas.</w:t>
      </w:r>
    </w:p>
    <w:p w14:paraId="69BD911D" w14:textId="77777777" w:rsidR="00AA4BAE" w:rsidRPr="00A61DFC" w:rsidRDefault="00AA4BAE" w:rsidP="00AA4BAE">
      <w:pPr>
        <w:spacing w:after="0" w:line="240" w:lineRule="auto"/>
        <w:jc w:val="center"/>
        <w:rPr>
          <w:rFonts w:ascii="Open Sans Light" w:eastAsia="Open Sans Light" w:hAnsi="Open Sans Light" w:cs="Open Sans Light"/>
          <w:b/>
          <w:bCs/>
          <w:sz w:val="24"/>
          <w:szCs w:val="24"/>
        </w:rPr>
      </w:pPr>
    </w:p>
    <w:p w14:paraId="6D12A3D5" w14:textId="731107E9" w:rsidR="00E0130B" w:rsidRPr="00D4499E" w:rsidRDefault="00492EC3" w:rsidP="00E0130B">
      <w:pPr>
        <w:pStyle w:val="ESTILOTABLA"/>
        <w:rPr>
          <w:i w:val="0"/>
        </w:rPr>
      </w:pPr>
      <w:r w:rsidRPr="00E1753D">
        <w:t xml:space="preserve">Tabla </w:t>
      </w:r>
      <w:r w:rsidR="00354646">
        <w:fldChar w:fldCharType="begin"/>
      </w:r>
      <w:r w:rsidR="00354646">
        <w:instrText xml:space="preserve"> SEQ Tabla \* ARABIC </w:instrText>
      </w:r>
      <w:r w:rsidR="00354646">
        <w:fldChar w:fldCharType="separate"/>
      </w:r>
      <w:r w:rsidR="00846FB2">
        <w:rPr>
          <w:noProof/>
        </w:rPr>
        <w:t>17</w:t>
      </w:r>
      <w:r w:rsidR="00354646">
        <w:rPr>
          <w:noProof/>
        </w:rPr>
        <w:fldChar w:fldCharType="end"/>
      </w:r>
      <w:r w:rsidRPr="00E1753D">
        <w:t>.</w:t>
      </w:r>
      <w:r w:rsidRPr="00E1753D">
        <w:rPr>
          <w:rFonts w:eastAsia="Open Sans Light"/>
          <w:b/>
          <w:color w:val="000000"/>
          <w:szCs w:val="24"/>
        </w:rPr>
        <w:t xml:space="preserve"> </w:t>
      </w:r>
      <w:r w:rsidR="00E0130B" w:rsidRPr="004D0E60">
        <w:rPr>
          <w:rFonts w:eastAsia="Open Sans Light"/>
          <w:b/>
          <w:bCs/>
          <w:i w:val="0"/>
          <w:szCs w:val="24"/>
        </w:rPr>
        <w:t>Principales conclusiones de los PRAIA</w:t>
      </w:r>
    </w:p>
    <w:tbl>
      <w:tblPr>
        <w:tblStyle w:val="1"/>
        <w:tblW w:w="853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127"/>
      </w:tblGrid>
      <w:tr w:rsidR="00D4499E" w:rsidRPr="00D4499E" w14:paraId="64743A33" w14:textId="77777777" w:rsidTr="00DA42C9">
        <w:trPr>
          <w:trHeight w:val="285"/>
          <w:tblHeader/>
        </w:trPr>
        <w:tc>
          <w:tcPr>
            <w:tcW w:w="2405" w:type="dxa"/>
            <w:shd w:val="clear" w:color="auto" w:fill="000000" w:themeFill="text1"/>
          </w:tcPr>
          <w:p w14:paraId="2874FE3F" w14:textId="77777777" w:rsidR="00AA4BAE" w:rsidRPr="00A61DFC" w:rsidRDefault="00AA4BAE" w:rsidP="00DA42C9">
            <w:pPr>
              <w:jc w:val="center"/>
              <w:rPr>
                <w:rFonts w:ascii="Open Sans Light" w:eastAsia="Open Sans Light" w:hAnsi="Open Sans Light" w:cs="Open Sans Light"/>
                <w:b/>
                <w:sz w:val="24"/>
                <w:szCs w:val="24"/>
              </w:rPr>
            </w:pPr>
            <w:r w:rsidRPr="00A61DFC">
              <w:rPr>
                <w:rFonts w:ascii="Open Sans Light" w:eastAsia="Open Sans Light" w:hAnsi="Open Sans Light" w:cs="Open Sans Light"/>
                <w:b/>
                <w:sz w:val="24"/>
                <w:szCs w:val="24"/>
              </w:rPr>
              <w:t>Eje temático</w:t>
            </w:r>
          </w:p>
        </w:tc>
        <w:tc>
          <w:tcPr>
            <w:tcW w:w="6127" w:type="dxa"/>
            <w:shd w:val="clear" w:color="auto" w:fill="000000" w:themeFill="text1"/>
          </w:tcPr>
          <w:p w14:paraId="2B4A8244" w14:textId="77777777" w:rsidR="00AA4BAE" w:rsidRPr="00A61DFC" w:rsidRDefault="00AA4BAE" w:rsidP="00DA42C9">
            <w:pPr>
              <w:jc w:val="center"/>
              <w:rPr>
                <w:rFonts w:ascii="Open Sans Light" w:eastAsia="Open Sans Light" w:hAnsi="Open Sans Light" w:cs="Open Sans Light"/>
                <w:b/>
                <w:sz w:val="24"/>
                <w:szCs w:val="24"/>
              </w:rPr>
            </w:pPr>
            <w:r w:rsidRPr="00A61DFC">
              <w:rPr>
                <w:rFonts w:ascii="Open Sans Light" w:eastAsia="Open Sans Light" w:hAnsi="Open Sans Light" w:cs="Open Sans Light"/>
                <w:b/>
                <w:sz w:val="24"/>
                <w:szCs w:val="24"/>
              </w:rPr>
              <w:t>Principales conclusiones</w:t>
            </w:r>
          </w:p>
        </w:tc>
      </w:tr>
      <w:tr w:rsidR="00D4499E" w:rsidRPr="00D4499E" w14:paraId="5D6CEE55" w14:textId="77777777" w:rsidTr="00DA42C9">
        <w:trPr>
          <w:trHeight w:val="285"/>
        </w:trPr>
        <w:tc>
          <w:tcPr>
            <w:tcW w:w="2405" w:type="dxa"/>
          </w:tcPr>
          <w:p w14:paraId="59E9AC03" w14:textId="77777777" w:rsidR="00AA4BAE" w:rsidRPr="00716166" w:rsidRDefault="00AA4BAE" w:rsidP="00DA42C9">
            <w:pPr>
              <w:jc w:val="both"/>
              <w:rPr>
                <w:rFonts w:ascii="Open Sans Light" w:eastAsia="Open Sans Light" w:hAnsi="Open Sans Light" w:cs="Open Sans Light"/>
                <w:sz w:val="24"/>
                <w:szCs w:val="24"/>
              </w:rPr>
            </w:pPr>
            <w:r w:rsidRPr="00716166">
              <w:rPr>
                <w:rFonts w:ascii="Open Sans Light" w:eastAsia="Open Sans Light" w:hAnsi="Open Sans Light" w:cs="Open Sans Light"/>
                <w:sz w:val="24"/>
                <w:szCs w:val="24"/>
              </w:rPr>
              <w:t xml:space="preserve">Logros de los PRAIA </w:t>
            </w:r>
          </w:p>
        </w:tc>
        <w:tc>
          <w:tcPr>
            <w:tcW w:w="6127" w:type="dxa"/>
          </w:tcPr>
          <w:p w14:paraId="7478E819" w14:textId="01DC949E" w:rsidR="00AA4BAE" w:rsidRPr="00716166" w:rsidRDefault="00AA4BAE" w:rsidP="00AA4BAE">
            <w:pPr>
              <w:pStyle w:val="ListParagraph"/>
              <w:numPr>
                <w:ilvl w:val="0"/>
                <w:numId w:val="15"/>
              </w:numPr>
              <w:ind w:left="315" w:hanging="283"/>
              <w:jc w:val="both"/>
              <w:rPr>
                <w:rFonts w:ascii="Open Sans Light" w:eastAsia="Open Sans Light" w:hAnsi="Open Sans Light" w:cs="Open Sans Light"/>
                <w:sz w:val="24"/>
                <w:szCs w:val="24"/>
              </w:rPr>
            </w:pPr>
            <w:r w:rsidRPr="00716166">
              <w:rPr>
                <w:rFonts w:ascii="Open Sans Light" w:eastAsia="Open Sans Light" w:hAnsi="Open Sans Light" w:cs="Open Sans Light"/>
                <w:sz w:val="24"/>
                <w:szCs w:val="24"/>
              </w:rPr>
              <w:t xml:space="preserve">Se ha fortalecido la participación directa de los NNA en la formulación de políticas a través de la creación de los </w:t>
            </w:r>
            <w:r w:rsidR="00A32626" w:rsidRPr="00716166">
              <w:rPr>
                <w:rFonts w:ascii="Open Sans Light" w:eastAsia="Open Sans Light" w:hAnsi="Open Sans Light" w:cs="Open Sans Light"/>
                <w:color w:val="000000"/>
                <w:sz w:val="24"/>
                <w:szCs w:val="24"/>
              </w:rPr>
              <w:t xml:space="preserve">Consejos Consultivos de Niñas, Niños y Adolescentes </w:t>
            </w:r>
            <w:r w:rsidR="00F12F62" w:rsidRPr="00716166">
              <w:rPr>
                <w:rFonts w:ascii="Open Sans Light" w:eastAsia="Open Sans Light" w:hAnsi="Open Sans Light" w:cs="Open Sans Light"/>
                <w:color w:val="000000"/>
                <w:sz w:val="24"/>
                <w:szCs w:val="24"/>
              </w:rPr>
              <w:t>(</w:t>
            </w:r>
            <w:r w:rsidRPr="00716166">
              <w:rPr>
                <w:rFonts w:ascii="Open Sans Light" w:eastAsia="Open Sans Light" w:hAnsi="Open Sans Light" w:cs="Open Sans Light"/>
                <w:sz w:val="24"/>
                <w:szCs w:val="24"/>
              </w:rPr>
              <w:t>CCONNA</w:t>
            </w:r>
            <w:r w:rsidR="00F12F62" w:rsidRPr="00716166">
              <w:rPr>
                <w:rFonts w:ascii="Open Sans Light" w:eastAsia="Open Sans Light" w:hAnsi="Open Sans Light" w:cs="Open Sans Light"/>
                <w:sz w:val="24"/>
                <w:szCs w:val="24"/>
              </w:rPr>
              <w:t>)</w:t>
            </w:r>
            <w:r w:rsidRPr="00716166">
              <w:rPr>
                <w:rFonts w:ascii="Open Sans Light" w:eastAsia="Open Sans Light" w:hAnsi="Open Sans Light" w:cs="Open Sans Light"/>
                <w:sz w:val="24"/>
                <w:szCs w:val="24"/>
              </w:rPr>
              <w:t>.</w:t>
            </w:r>
          </w:p>
        </w:tc>
      </w:tr>
      <w:tr w:rsidR="00D4499E" w:rsidRPr="00D4499E" w14:paraId="11461AD4" w14:textId="77777777" w:rsidTr="00DA42C9">
        <w:trPr>
          <w:trHeight w:val="285"/>
        </w:trPr>
        <w:tc>
          <w:tcPr>
            <w:tcW w:w="2405" w:type="dxa"/>
          </w:tcPr>
          <w:p w14:paraId="37001868" w14:textId="77777777" w:rsidR="00AA4BAE" w:rsidRPr="00716166" w:rsidRDefault="00AA4BAE" w:rsidP="00DA42C9">
            <w:pPr>
              <w:jc w:val="both"/>
              <w:rPr>
                <w:rFonts w:ascii="Open Sans Light" w:eastAsia="Open Sans Light" w:hAnsi="Open Sans Light" w:cs="Open Sans Light"/>
                <w:sz w:val="24"/>
                <w:szCs w:val="24"/>
              </w:rPr>
            </w:pPr>
            <w:r w:rsidRPr="00716166">
              <w:rPr>
                <w:rFonts w:ascii="Open Sans Light" w:eastAsia="Open Sans Light" w:hAnsi="Open Sans Light" w:cs="Open Sans Light"/>
                <w:sz w:val="24"/>
                <w:szCs w:val="24"/>
              </w:rPr>
              <w:t>Limitaciones de los PRAIA</w:t>
            </w:r>
          </w:p>
        </w:tc>
        <w:tc>
          <w:tcPr>
            <w:tcW w:w="6127" w:type="dxa"/>
          </w:tcPr>
          <w:p w14:paraId="19B52C58" w14:textId="464C317D" w:rsidR="00AA4BAE" w:rsidRPr="00716166" w:rsidRDefault="001A0FAB" w:rsidP="00AA4BAE">
            <w:pPr>
              <w:pStyle w:val="ListParagraph"/>
              <w:numPr>
                <w:ilvl w:val="0"/>
                <w:numId w:val="15"/>
              </w:numPr>
              <w:ind w:left="315" w:hanging="283"/>
              <w:jc w:val="both"/>
              <w:rPr>
                <w:rFonts w:ascii="Open Sans Light" w:eastAsia="Open Sans Light" w:hAnsi="Open Sans Light" w:cs="Open Sans Light"/>
                <w:sz w:val="24"/>
                <w:szCs w:val="24"/>
              </w:rPr>
            </w:pPr>
            <w:r w:rsidRPr="00716166">
              <w:rPr>
                <w:rFonts w:ascii="Open Sans Light" w:eastAsia="Open Sans Light" w:hAnsi="Open Sans Light" w:cs="Open Sans Light"/>
                <w:sz w:val="24"/>
                <w:szCs w:val="24"/>
              </w:rPr>
              <w:t xml:space="preserve">Existe la percepción de una limitada asignación presupuestal </w:t>
            </w:r>
            <w:r w:rsidR="00872E4B" w:rsidRPr="00716166">
              <w:rPr>
                <w:rFonts w:ascii="Open Sans Light" w:eastAsia="Open Sans Light" w:hAnsi="Open Sans Light" w:cs="Open Sans Light"/>
                <w:sz w:val="24"/>
                <w:szCs w:val="24"/>
              </w:rPr>
              <w:t xml:space="preserve">por parte de los gobiernos locales y regionales en cuanto a actividades que tengan como materia la niñez y adolescencia. </w:t>
            </w:r>
            <w:r w:rsidRPr="00716166">
              <w:rPr>
                <w:rFonts w:ascii="Open Sans Light" w:eastAsia="Open Sans Light" w:hAnsi="Open Sans Light" w:cs="Open Sans Light"/>
                <w:sz w:val="24"/>
                <w:szCs w:val="24"/>
              </w:rPr>
              <w:t>Ello posiblemente esté relacionado a una falta de referencia presupuestal a nivel de cada resultado del PNAIA 2012 – 2021</w:t>
            </w:r>
          </w:p>
          <w:p w14:paraId="5672E849" w14:textId="77777777" w:rsidR="00AA4BAE" w:rsidRPr="00716166" w:rsidRDefault="00AA4BAE" w:rsidP="00AA4BAE">
            <w:pPr>
              <w:pStyle w:val="ListParagraph"/>
              <w:numPr>
                <w:ilvl w:val="0"/>
                <w:numId w:val="15"/>
              </w:numPr>
              <w:ind w:left="315" w:hanging="283"/>
              <w:jc w:val="both"/>
              <w:rPr>
                <w:rFonts w:ascii="Open Sans Light" w:eastAsia="Open Sans Light" w:hAnsi="Open Sans Light" w:cs="Open Sans Light"/>
                <w:sz w:val="24"/>
                <w:szCs w:val="24"/>
              </w:rPr>
            </w:pPr>
            <w:r w:rsidRPr="00716166">
              <w:rPr>
                <w:rFonts w:ascii="Open Sans Light" w:eastAsia="Open Sans Light" w:hAnsi="Open Sans Light" w:cs="Open Sans Light"/>
                <w:sz w:val="24"/>
                <w:szCs w:val="24"/>
              </w:rPr>
              <w:t>No necesariamente se priorizan las acciones vinculadas a la infancia debido al débil involucramiento de las autoridades locales y regionales, por lo que existe un limitado trabajo en red.</w:t>
            </w:r>
          </w:p>
        </w:tc>
      </w:tr>
      <w:tr w:rsidR="00D4499E" w:rsidRPr="00D4499E" w14:paraId="5166DE4F" w14:textId="77777777" w:rsidTr="00DA42C9">
        <w:trPr>
          <w:trHeight w:val="285"/>
        </w:trPr>
        <w:tc>
          <w:tcPr>
            <w:tcW w:w="2405" w:type="dxa"/>
          </w:tcPr>
          <w:p w14:paraId="497FF67B" w14:textId="77777777" w:rsidR="00AA4BAE" w:rsidRPr="00716166" w:rsidRDefault="00AA4BAE" w:rsidP="00DA42C9">
            <w:pPr>
              <w:jc w:val="both"/>
              <w:rPr>
                <w:rFonts w:ascii="Open Sans Light" w:eastAsia="Open Sans Light" w:hAnsi="Open Sans Light" w:cs="Open Sans Light"/>
                <w:sz w:val="24"/>
                <w:szCs w:val="24"/>
              </w:rPr>
            </w:pPr>
            <w:r w:rsidRPr="00716166">
              <w:rPr>
                <w:rFonts w:ascii="Open Sans Light" w:eastAsia="Open Sans Light" w:hAnsi="Open Sans Light" w:cs="Open Sans Light"/>
                <w:sz w:val="24"/>
                <w:szCs w:val="24"/>
              </w:rPr>
              <w:t xml:space="preserve">Articulación </w:t>
            </w:r>
          </w:p>
        </w:tc>
        <w:tc>
          <w:tcPr>
            <w:tcW w:w="6127" w:type="dxa"/>
          </w:tcPr>
          <w:p w14:paraId="4D1FA0C1" w14:textId="3CC61907" w:rsidR="00872E4B" w:rsidRPr="00716166" w:rsidRDefault="00872E4B" w:rsidP="00E373D1">
            <w:pPr>
              <w:pStyle w:val="ListParagraph"/>
              <w:numPr>
                <w:ilvl w:val="0"/>
                <w:numId w:val="16"/>
              </w:numPr>
              <w:ind w:left="315" w:hanging="283"/>
              <w:jc w:val="both"/>
              <w:rPr>
                <w:rFonts w:ascii="Open Sans Light" w:eastAsia="Open Sans Light" w:hAnsi="Open Sans Light" w:cs="Open Sans Light"/>
                <w:sz w:val="24"/>
                <w:szCs w:val="24"/>
              </w:rPr>
            </w:pPr>
            <w:r w:rsidRPr="00716166">
              <w:rPr>
                <w:rFonts w:ascii="Open Sans Light" w:eastAsia="Open Sans Light" w:hAnsi="Open Sans Light" w:cs="Open Sans Light"/>
                <w:sz w:val="24"/>
                <w:szCs w:val="24"/>
              </w:rPr>
              <w:t>Además, la implementación del PNAIA 2012 – 2021 sólo ha incorporado la participación de las gerencias de desarrollo social, habiendo sido necesario articular también a otras gerencias de los GR</w:t>
            </w:r>
            <w:r w:rsidR="00E373D1" w:rsidRPr="00716166">
              <w:rPr>
                <w:rFonts w:ascii="Open Sans Light" w:eastAsia="Open Sans Light" w:hAnsi="Open Sans Light" w:cs="Open Sans Light"/>
                <w:sz w:val="24"/>
                <w:szCs w:val="24"/>
              </w:rPr>
              <w:t>, en base a los resultados que el Plan se planteaba alcanzar (salud, educación, trabajo, etc.).</w:t>
            </w:r>
          </w:p>
        </w:tc>
      </w:tr>
      <w:tr w:rsidR="00D4499E" w:rsidRPr="00D4499E" w14:paraId="788A64C1" w14:textId="77777777" w:rsidTr="00DA42C9">
        <w:trPr>
          <w:trHeight w:val="285"/>
        </w:trPr>
        <w:tc>
          <w:tcPr>
            <w:tcW w:w="2405" w:type="dxa"/>
          </w:tcPr>
          <w:p w14:paraId="726B6080" w14:textId="77777777" w:rsidR="00AA4BAE" w:rsidRPr="00716166" w:rsidRDefault="00AA4BAE" w:rsidP="00DA42C9">
            <w:pPr>
              <w:jc w:val="both"/>
              <w:rPr>
                <w:rFonts w:ascii="Open Sans Light" w:eastAsia="Open Sans Light" w:hAnsi="Open Sans Light" w:cs="Open Sans Light"/>
                <w:sz w:val="24"/>
                <w:szCs w:val="24"/>
              </w:rPr>
            </w:pPr>
            <w:r w:rsidRPr="00716166">
              <w:rPr>
                <w:rFonts w:ascii="Open Sans Light" w:eastAsia="Open Sans Light" w:hAnsi="Open Sans Light" w:cs="Open Sans Light"/>
                <w:sz w:val="24"/>
                <w:szCs w:val="24"/>
              </w:rPr>
              <w:t>Buenas prácticas y Lecciones aprendidas</w:t>
            </w:r>
          </w:p>
        </w:tc>
        <w:tc>
          <w:tcPr>
            <w:tcW w:w="6127" w:type="dxa"/>
          </w:tcPr>
          <w:p w14:paraId="1C620C9B" w14:textId="77777777" w:rsidR="00AA4BAE" w:rsidRPr="00716166" w:rsidRDefault="00AA4BAE" w:rsidP="00AA4BAE">
            <w:pPr>
              <w:pStyle w:val="ListParagraph"/>
              <w:numPr>
                <w:ilvl w:val="0"/>
                <w:numId w:val="16"/>
              </w:numPr>
              <w:ind w:left="315" w:hanging="283"/>
              <w:jc w:val="both"/>
              <w:rPr>
                <w:rFonts w:ascii="Open Sans Light" w:eastAsia="Open Sans Light" w:hAnsi="Open Sans Light" w:cs="Open Sans Light"/>
                <w:sz w:val="24"/>
                <w:szCs w:val="24"/>
              </w:rPr>
            </w:pPr>
            <w:r w:rsidRPr="00716166">
              <w:rPr>
                <w:rFonts w:ascii="Open Sans Light" w:eastAsia="Open Sans Light" w:hAnsi="Open Sans Light" w:cs="Open Sans Light"/>
                <w:sz w:val="24"/>
                <w:szCs w:val="24"/>
              </w:rPr>
              <w:t xml:space="preserve">En algunas regiones como La Libertad y Ayacucho, se destaca la influencia del trabajo realizado en alianza con Organización No Gubernamentales (ONGs) para ejecutar acciones focalizadas en el territorio, incluyendo asistencia técnica a los equipos de los GORE para el fortalecimiento de capacidades, </w:t>
            </w:r>
            <w:r w:rsidRPr="00716166">
              <w:rPr>
                <w:rFonts w:ascii="Open Sans Light" w:eastAsia="Open Sans Light" w:hAnsi="Open Sans Light" w:cs="Open Sans Light"/>
                <w:sz w:val="24"/>
                <w:szCs w:val="24"/>
              </w:rPr>
              <w:lastRenderedPageBreak/>
              <w:t>así como el financiamiento para desarrollar intervenciones dirigidas a los NNA.</w:t>
            </w:r>
          </w:p>
        </w:tc>
      </w:tr>
      <w:tr w:rsidR="00D4499E" w:rsidRPr="00D4499E" w14:paraId="77DD00B3" w14:textId="77777777" w:rsidTr="00DA42C9">
        <w:trPr>
          <w:trHeight w:val="285"/>
        </w:trPr>
        <w:tc>
          <w:tcPr>
            <w:tcW w:w="2405" w:type="dxa"/>
          </w:tcPr>
          <w:p w14:paraId="70484722" w14:textId="77777777" w:rsidR="00AA4BAE" w:rsidRPr="00A61DFC" w:rsidRDefault="00AA4BAE" w:rsidP="00DA42C9">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lastRenderedPageBreak/>
              <w:t>Recomendaciones</w:t>
            </w:r>
          </w:p>
        </w:tc>
        <w:tc>
          <w:tcPr>
            <w:tcW w:w="6127" w:type="dxa"/>
          </w:tcPr>
          <w:p w14:paraId="1FDDC97B" w14:textId="77777777" w:rsidR="00AA4BAE" w:rsidRPr="00A61DFC" w:rsidRDefault="00AA4BAE" w:rsidP="00AA4BAE">
            <w:pPr>
              <w:pStyle w:val="ListParagraph"/>
              <w:numPr>
                <w:ilvl w:val="0"/>
                <w:numId w:val="16"/>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Se requiere sensibilizar a funcionarios y equipos técnicos sobre la importancia en el involucramiento en este tema.</w:t>
            </w:r>
          </w:p>
          <w:p w14:paraId="1A873D57" w14:textId="77777777" w:rsidR="00AA4BAE" w:rsidRPr="00A61DFC" w:rsidRDefault="00AA4BAE" w:rsidP="00AA4BAE">
            <w:pPr>
              <w:pStyle w:val="ListParagraph"/>
              <w:numPr>
                <w:ilvl w:val="0"/>
                <w:numId w:val="16"/>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Brindar asistencia técnica y capacitaciones a las autoridades regionales y locales para el desarrollo de proyectos de inversión vinculados a la infancia y adolescencia. </w:t>
            </w:r>
          </w:p>
          <w:p w14:paraId="5148FB49" w14:textId="77777777" w:rsidR="00AA4BAE" w:rsidRPr="00A61DFC" w:rsidRDefault="00AA4BAE" w:rsidP="00AA4BAE">
            <w:pPr>
              <w:pStyle w:val="ListParagraph"/>
              <w:numPr>
                <w:ilvl w:val="0"/>
                <w:numId w:val="16"/>
              </w:numPr>
              <w:ind w:left="315" w:hanging="283"/>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Dar seguimiento de las ordenanzas creadas para evaluar su efectividad, tales como el castigo físico humillante.</w:t>
            </w:r>
          </w:p>
        </w:tc>
      </w:tr>
    </w:tbl>
    <w:p w14:paraId="7470C36B" w14:textId="77777777" w:rsidR="00AA4BAE" w:rsidRPr="00A61DFC" w:rsidRDefault="00AA4BAE" w:rsidP="00AA4BAE"/>
    <w:p w14:paraId="2505CB65" w14:textId="77777777" w:rsidR="00AA4BAE" w:rsidRPr="00A61DFC" w:rsidRDefault="00AA4BAE" w:rsidP="00AA4BAE">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En relación con una de las limitaciones identificadas en la CMP, los representantes de Gobiernos Regionales refieren a que existía una débil articulación con el Gobierno Nacional, lo cual influyó en la implementación de los PRAIA. Asimismo, se menciona la falta de presupuesto y la necesidad de asistencia técnica a las autoridades regionales y locales para desarrollar proyectos de inversión en el marco del PRAIA.</w:t>
      </w:r>
    </w:p>
    <w:p w14:paraId="6FB5AB4B" w14:textId="1C94D7A5" w:rsidR="007B7ACE" w:rsidRPr="00F03883" w:rsidRDefault="00AA4BAE" w:rsidP="00B2300B">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A modo de conclusión, existe una valoración positiva sobre los 3 mecanismos de implementación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en cuanto permitan la articulación entre diversas entidades para la implementación, monitoreo y evaluación del referido plan y el posicionamiento de la temática de NNA. No obstante, transversalmente se identifica la limitación de la articulación de todos los niveles de gobierno y la falta de información desagregada a nivel territorial, lo cual dificulta la correcta implementación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y la identificación </w:t>
      </w:r>
      <w:r w:rsidRPr="00F03883">
        <w:rPr>
          <w:rFonts w:ascii="Open Sans Light" w:eastAsia="Open Sans Light" w:hAnsi="Open Sans Light" w:cs="Open Sans Light"/>
          <w:sz w:val="24"/>
          <w:szCs w:val="24"/>
        </w:rPr>
        <w:t>oportuna de alertas sobre el desempeño.</w:t>
      </w:r>
    </w:p>
    <w:p w14:paraId="2E610816" w14:textId="22545E1A" w:rsidR="002E39FC" w:rsidRPr="00F03883" w:rsidRDefault="002E39FC" w:rsidP="00F03883">
      <w:pPr>
        <w:spacing w:after="0" w:line="480" w:lineRule="auto"/>
        <w:jc w:val="both"/>
        <w:rPr>
          <w:rFonts w:ascii="Open Sans Light" w:eastAsia="Open Sans Light" w:hAnsi="Open Sans Light" w:cs="Open Sans Light"/>
          <w:color w:val="000000"/>
          <w:sz w:val="24"/>
          <w:szCs w:val="24"/>
        </w:rPr>
      </w:pPr>
      <w:r w:rsidRPr="00F03883">
        <w:rPr>
          <w:rFonts w:ascii="Open Sans Light" w:eastAsia="Open Sans Light" w:hAnsi="Open Sans Light" w:cs="Open Sans Light"/>
          <w:b/>
          <w:i/>
          <w:sz w:val="24"/>
          <w:szCs w:val="24"/>
        </w:rPr>
        <w:t>Análisis descriptivo – explicativo de los resultados</w:t>
      </w:r>
    </w:p>
    <w:p w14:paraId="57A5B852" w14:textId="277953E9" w:rsidR="002E39FC" w:rsidRPr="00F03883" w:rsidRDefault="002E39FC" w:rsidP="007B7ACE">
      <w:pPr>
        <w:spacing w:line="240" w:lineRule="auto"/>
        <w:jc w:val="both"/>
        <w:rPr>
          <w:rFonts w:ascii="Open Sans Light" w:eastAsia="Open Sans Light" w:hAnsi="Open Sans Light" w:cs="Open Sans Light"/>
          <w:i/>
          <w:color w:val="7030A0"/>
          <w:sz w:val="24"/>
          <w:szCs w:val="24"/>
        </w:rPr>
      </w:pPr>
      <w:r w:rsidRPr="00F03883">
        <w:rPr>
          <w:rFonts w:ascii="Open Sans Light" w:eastAsia="Open Sans Light" w:hAnsi="Open Sans Light" w:cs="Open Sans Light"/>
          <w:i/>
          <w:color w:val="7030A0"/>
          <w:sz w:val="24"/>
          <w:szCs w:val="24"/>
        </w:rPr>
        <w:t>Resultado 1. Niñas, niños y madres gestantes acceden a condiciones saludables y seguras de atención durante la gestación, el parto y el período neonatal, con respeto de su cultura, priorizando las zonas rurales y las comunidades nativas.</w:t>
      </w:r>
    </w:p>
    <w:p w14:paraId="0B9D0D17" w14:textId="6679AD5C" w:rsidR="002E39FC" w:rsidRDefault="002E39FC" w:rsidP="007B7ACE">
      <w:pPr>
        <w:spacing w:line="240" w:lineRule="auto"/>
        <w:jc w:val="both"/>
        <w:rPr>
          <w:rFonts w:ascii="Open Sans Light" w:eastAsia="Open Sans Light" w:hAnsi="Open Sans Light" w:cs="Open Sans Light"/>
          <w:color w:val="000000"/>
          <w:sz w:val="24"/>
          <w:szCs w:val="24"/>
        </w:rPr>
      </w:pPr>
      <w:r w:rsidRPr="00F03883">
        <w:rPr>
          <w:rFonts w:ascii="Open Sans Light" w:eastAsia="Open Sans Light" w:hAnsi="Open Sans Light" w:cs="Open Sans Light"/>
          <w:color w:val="000000"/>
          <w:sz w:val="24"/>
          <w:szCs w:val="24"/>
        </w:rPr>
        <w:t>Este resultado se mide a través de la tasa de mortalidad neonatal de los 10 años anteriores a la encuesta por cada mil nacidos vivos. La meta al 2021 era “reducir un tercio la tasa de mortalidad neonatal”, es decir, alcanzar un valor de 6.7</w:t>
      </w:r>
      <w:r w:rsidR="005174C3" w:rsidRPr="00F03883">
        <w:rPr>
          <w:rFonts w:ascii="Open Sans Light" w:eastAsia="Open Sans Light" w:hAnsi="Open Sans Light" w:cs="Open Sans Light"/>
          <w:color w:val="000000"/>
          <w:sz w:val="24"/>
          <w:szCs w:val="24"/>
        </w:rPr>
        <w:t>%</w:t>
      </w:r>
      <w:r w:rsidRPr="00F03883">
        <w:rPr>
          <w:rFonts w:ascii="Open Sans Light" w:eastAsia="Open Sans Light" w:hAnsi="Open Sans Light" w:cs="Open Sans Light"/>
          <w:color w:val="000000"/>
          <w:sz w:val="24"/>
          <w:szCs w:val="24"/>
        </w:rPr>
        <w:t xml:space="preserve"> considerando que la línea de base es 10</w:t>
      </w:r>
      <w:r w:rsidR="005174C3" w:rsidRPr="00F03883">
        <w:rPr>
          <w:rFonts w:ascii="Open Sans Light" w:eastAsia="Open Sans Light" w:hAnsi="Open Sans Light" w:cs="Open Sans Light"/>
          <w:color w:val="000000"/>
          <w:sz w:val="24"/>
          <w:szCs w:val="24"/>
        </w:rPr>
        <w:t>%</w:t>
      </w:r>
      <w:r w:rsidRPr="00F03883">
        <w:rPr>
          <w:rFonts w:ascii="Open Sans Light" w:eastAsia="Open Sans Light" w:hAnsi="Open Sans Light" w:cs="Open Sans Light"/>
          <w:color w:val="000000"/>
          <w:sz w:val="24"/>
          <w:szCs w:val="24"/>
        </w:rPr>
        <w:t xml:space="preserve"> en 2011. De acuerdo con las </w:t>
      </w:r>
      <w:r w:rsidRPr="00F03883">
        <w:rPr>
          <w:rFonts w:ascii="Open Sans Light" w:eastAsia="Open Sans Light" w:hAnsi="Open Sans Light" w:cs="Open Sans Light"/>
          <w:color w:val="000000"/>
          <w:sz w:val="24"/>
          <w:szCs w:val="24"/>
        </w:rPr>
        <w:lastRenderedPageBreak/>
        <w:t>proyecciones realizadas, al cierre del presente año se estaría llegando</w:t>
      </w:r>
      <w:r>
        <w:rPr>
          <w:rFonts w:ascii="Open Sans Light" w:eastAsia="Open Sans Light" w:hAnsi="Open Sans Light" w:cs="Open Sans Light"/>
          <w:color w:val="000000"/>
          <w:sz w:val="24"/>
          <w:szCs w:val="24"/>
        </w:rPr>
        <w:t xml:space="preserve"> al 7.5</w:t>
      </w:r>
      <w:r w:rsidR="005174C3">
        <w:rPr>
          <w:rFonts w:ascii="Open Sans Light" w:eastAsia="Open Sans Light" w:hAnsi="Open Sans Light" w:cs="Open Sans Light"/>
          <w:color w:val="000000"/>
          <w:sz w:val="24"/>
          <w:szCs w:val="24"/>
        </w:rPr>
        <w:t>%</w:t>
      </w:r>
      <w:r>
        <w:rPr>
          <w:rFonts w:ascii="Open Sans Light" w:eastAsia="Open Sans Light" w:hAnsi="Open Sans Light" w:cs="Open Sans Light"/>
          <w:color w:val="000000"/>
          <w:sz w:val="24"/>
          <w:szCs w:val="24"/>
        </w:rPr>
        <w:t xml:space="preserve">, cifra que no permitiría cumplir la meta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pero supondría un avance en el desempeño igual al 60.6%. La meta se cumpliría para el siguiente año 2022, donde alcanzaría una tasa de mortalidad neonatal proyectada igual a 6.3</w:t>
      </w:r>
      <w:r w:rsidR="005174C3">
        <w:rPr>
          <w:rFonts w:ascii="Open Sans Light" w:eastAsia="Open Sans Light" w:hAnsi="Open Sans Light" w:cs="Open Sans Light"/>
          <w:color w:val="000000"/>
          <w:sz w:val="24"/>
          <w:szCs w:val="24"/>
        </w:rPr>
        <w:t>%</w:t>
      </w:r>
      <w:r>
        <w:rPr>
          <w:rFonts w:ascii="Open Sans Light" w:eastAsia="Open Sans Light" w:hAnsi="Open Sans Light" w:cs="Open Sans Light"/>
          <w:color w:val="000000"/>
          <w:sz w:val="24"/>
          <w:szCs w:val="24"/>
        </w:rPr>
        <w:t>.</w:t>
      </w:r>
    </w:p>
    <w:p w14:paraId="1A115BD0" w14:textId="54704C67" w:rsidR="002E39FC" w:rsidRDefault="0067335B" w:rsidP="007B7ACE">
      <w:pPr>
        <w:spacing w:line="240" w:lineRule="auto"/>
        <w:jc w:val="center"/>
        <w:rPr>
          <w:rFonts w:ascii="Open Sans Light" w:eastAsia="Open Sans Light" w:hAnsi="Open Sans Light" w:cs="Open Sans Light"/>
          <w:color w:val="000000"/>
          <w:sz w:val="24"/>
          <w:szCs w:val="24"/>
        </w:rPr>
      </w:pPr>
      <w:r w:rsidRPr="0067335B">
        <w:rPr>
          <w:rFonts w:ascii="Open Sans Light" w:eastAsia="Open Sans Light" w:hAnsi="Open Sans Light" w:cs="Open Sans Light"/>
          <w:b/>
          <w:noProof/>
          <w:color w:val="000000"/>
          <w:sz w:val="24"/>
          <w:szCs w:val="24"/>
          <w:lang w:val="en-GB" w:eastAsia="en-GB"/>
        </w:rPr>
        <w:drawing>
          <wp:inline distT="0" distB="0" distL="0" distR="0" wp14:anchorId="541DC07F" wp14:editId="2AB3F2A4">
            <wp:extent cx="3737113" cy="271382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51868" cy="2724537"/>
                    </a:xfrm>
                    <a:prstGeom prst="rect">
                      <a:avLst/>
                    </a:prstGeom>
                    <a:noFill/>
                    <a:ln>
                      <a:noFill/>
                    </a:ln>
                  </pic:spPr>
                </pic:pic>
              </a:graphicData>
            </a:graphic>
          </wp:inline>
        </w:drawing>
      </w:r>
    </w:p>
    <w:p w14:paraId="26FBECFE" w14:textId="4EF615C6"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En el 2020, existe mayor tasa de mortalidad en el área rural (9.5</w:t>
      </w:r>
      <w:r w:rsidR="005174C3">
        <w:rPr>
          <w:rFonts w:ascii="Open Sans Light" w:eastAsia="Open Sans Light" w:hAnsi="Open Sans Light" w:cs="Open Sans Light"/>
          <w:color w:val="000000"/>
          <w:sz w:val="24"/>
          <w:szCs w:val="24"/>
        </w:rPr>
        <w:t>%</w:t>
      </w:r>
      <w:r>
        <w:rPr>
          <w:rFonts w:ascii="Open Sans Light" w:eastAsia="Open Sans Light" w:hAnsi="Open Sans Light" w:cs="Open Sans Light"/>
          <w:color w:val="000000"/>
          <w:sz w:val="24"/>
          <w:szCs w:val="24"/>
        </w:rPr>
        <w:t>) que en la urbana (7.6</w:t>
      </w:r>
      <w:r w:rsidR="005174C3">
        <w:rPr>
          <w:rFonts w:ascii="Open Sans Light" w:eastAsia="Open Sans Light" w:hAnsi="Open Sans Light" w:cs="Open Sans Light"/>
          <w:color w:val="000000"/>
          <w:sz w:val="24"/>
          <w:szCs w:val="24"/>
        </w:rPr>
        <w:t>%</w:t>
      </w:r>
      <w:r>
        <w:rPr>
          <w:rFonts w:ascii="Open Sans Light" w:eastAsia="Open Sans Light" w:hAnsi="Open Sans Light" w:cs="Open Sans Light"/>
          <w:color w:val="000000"/>
          <w:sz w:val="24"/>
          <w:szCs w:val="24"/>
        </w:rPr>
        <w:t>)</w:t>
      </w:r>
      <w:r w:rsidR="005174C3">
        <w:rPr>
          <w:rFonts w:ascii="Open Sans Light" w:eastAsia="Open Sans Light" w:hAnsi="Open Sans Light" w:cs="Open Sans Light"/>
          <w:color w:val="000000"/>
          <w:sz w:val="24"/>
          <w:szCs w:val="24"/>
        </w:rPr>
        <w:t>. N</w:t>
      </w:r>
      <w:r>
        <w:rPr>
          <w:rFonts w:ascii="Open Sans Light" w:eastAsia="Open Sans Light" w:hAnsi="Open Sans Light" w:cs="Open Sans Light"/>
          <w:color w:val="000000"/>
          <w:sz w:val="24"/>
          <w:szCs w:val="24"/>
        </w:rPr>
        <w:t>o obstante, la brecha se ha reducido en el transcurso del periodo analizado: en el área urbana, la tasa de mortalidad neonatal se redujo en 3.4 puntos porcentuales respecto al año 2013; en tanto que, para el área rural, esta se redujo en 4.48 p</w:t>
      </w:r>
      <w:r w:rsidR="005174C3">
        <w:rPr>
          <w:rFonts w:ascii="Open Sans Light" w:eastAsia="Open Sans Light" w:hAnsi="Open Sans Light" w:cs="Open Sans Light"/>
          <w:color w:val="000000"/>
          <w:sz w:val="24"/>
          <w:szCs w:val="24"/>
        </w:rPr>
        <w:t>untos porcentuales</w:t>
      </w:r>
      <w:r>
        <w:rPr>
          <w:rFonts w:ascii="Open Sans Light" w:eastAsia="Open Sans Light" w:hAnsi="Open Sans Light" w:cs="Open Sans Light"/>
          <w:color w:val="000000"/>
          <w:sz w:val="24"/>
          <w:szCs w:val="24"/>
        </w:rPr>
        <w:t xml:space="preserve"> durante el mismo periodo.</w:t>
      </w:r>
    </w:p>
    <w:p w14:paraId="29BF891E" w14:textId="77777777" w:rsidR="002E39FC" w:rsidRDefault="002E39FC" w:rsidP="002E39FC">
      <w:pPr>
        <w:spacing w:after="0" w:line="240" w:lineRule="auto"/>
        <w:jc w:val="center"/>
        <w:rPr>
          <w:rFonts w:ascii="Open Sans Light" w:eastAsia="Open Sans Light" w:hAnsi="Open Sans Light" w:cs="Open Sans Light"/>
          <w:color w:val="000000"/>
          <w:sz w:val="24"/>
          <w:szCs w:val="24"/>
        </w:rPr>
      </w:pPr>
    </w:p>
    <w:p w14:paraId="67224EF4" w14:textId="4430D8D8" w:rsidR="002E39FC" w:rsidRDefault="002E39FC" w:rsidP="00121375">
      <w:pPr>
        <w:spacing w:after="0" w:line="240" w:lineRule="auto"/>
        <w:jc w:val="center"/>
        <w:rPr>
          <w:rFonts w:ascii="Open Sans Light" w:eastAsia="Open Sans Light" w:hAnsi="Open Sans Light" w:cs="Open Sans Light"/>
          <w:color w:val="000000"/>
          <w:sz w:val="24"/>
          <w:szCs w:val="24"/>
        </w:rPr>
      </w:pPr>
      <w:r>
        <w:rPr>
          <w:rFonts w:ascii="Open Sans Light" w:eastAsia="Open Sans Light" w:hAnsi="Open Sans Light" w:cs="Open Sans Light"/>
          <w:noProof/>
          <w:color w:val="000000"/>
          <w:sz w:val="24"/>
          <w:szCs w:val="24"/>
          <w:lang w:val="en-GB" w:eastAsia="en-GB"/>
        </w:rPr>
        <w:drawing>
          <wp:inline distT="0" distB="0" distL="0" distR="0" wp14:anchorId="515F8427" wp14:editId="58D625D0">
            <wp:extent cx="3714750" cy="2686050"/>
            <wp:effectExtent l="0" t="0" r="0" b="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14750" cy="2686050"/>
                    </a:xfrm>
                    <a:prstGeom prst="rect">
                      <a:avLst/>
                    </a:prstGeom>
                    <a:noFill/>
                    <a:ln>
                      <a:noFill/>
                    </a:ln>
                  </pic:spPr>
                </pic:pic>
              </a:graphicData>
            </a:graphic>
          </wp:inline>
        </w:drawing>
      </w:r>
    </w:p>
    <w:p w14:paraId="569B0392" w14:textId="1405F912" w:rsidR="002E39FC" w:rsidRPr="00121375" w:rsidRDefault="002E39FC" w:rsidP="000E0E5B">
      <w:pPr>
        <w:spacing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Geográficamente, se observa una reducción en las 3 regiones naturales (costa, sierra y selva) entre los periodos 2017 – 2018 y 2019 – 2020, con una reducción </w:t>
      </w:r>
      <w:r>
        <w:rPr>
          <w:rFonts w:ascii="Open Sans Light" w:eastAsia="Open Sans Light" w:hAnsi="Open Sans Light" w:cs="Open Sans Light"/>
          <w:color w:val="000000"/>
          <w:sz w:val="24"/>
          <w:szCs w:val="24"/>
        </w:rPr>
        <w:lastRenderedPageBreak/>
        <w:t>entre 2 y 3 puntos porcentuales entre dichos años. Al 2020, la mortalidad neonatal es más baja en la costa (7), seguido de la sierra (8) y la selva (11).</w:t>
      </w:r>
    </w:p>
    <w:p w14:paraId="13E4E510" w14:textId="69D96EBE" w:rsidR="002E39FC" w:rsidRDefault="002E39FC" w:rsidP="002E39FC">
      <w:pPr>
        <w:jc w:val="center"/>
      </w:pPr>
      <w:r>
        <w:rPr>
          <w:noProof/>
          <w:lang w:val="en-GB" w:eastAsia="en-GB"/>
        </w:rPr>
        <w:drawing>
          <wp:inline distT="0" distB="0" distL="0" distR="0" wp14:anchorId="585DA8A1" wp14:editId="18EA26A6">
            <wp:extent cx="3705225" cy="2686050"/>
            <wp:effectExtent l="0" t="0" r="9525"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5225" cy="2686050"/>
                    </a:xfrm>
                    <a:prstGeom prst="rect">
                      <a:avLst/>
                    </a:prstGeom>
                    <a:noFill/>
                    <a:ln>
                      <a:noFill/>
                    </a:ln>
                  </pic:spPr>
                </pic:pic>
              </a:graphicData>
            </a:graphic>
          </wp:inline>
        </w:drawing>
      </w:r>
    </w:p>
    <w:p w14:paraId="4F34554D" w14:textId="77777777" w:rsidR="002E39FC" w:rsidRDefault="002E39FC" w:rsidP="000E0E5B">
      <w:pPr>
        <w:spacing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Según el sexo del niño/a, se observa que sistemáticamente la tasa de mortalidad neonatal es mayor cuando son varones (9); sin embargo, en ambos casos la tasa ha disminuido en 4 puntos porcentuales con respecto al año 2013. Conviene señalar que la mortalidad de los niños varones se mantuvo constante durante el periodo 2013 – 2015.  </w:t>
      </w:r>
    </w:p>
    <w:p w14:paraId="25B9578C"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526050E7" w14:textId="359F1835" w:rsidR="002E39FC" w:rsidRDefault="002E39FC" w:rsidP="002E39FC">
      <w:pPr>
        <w:spacing w:after="0" w:line="240" w:lineRule="auto"/>
        <w:jc w:val="center"/>
        <w:rPr>
          <w:rFonts w:ascii="Open Sans Light" w:eastAsia="Open Sans Light" w:hAnsi="Open Sans Light" w:cs="Open Sans Light"/>
          <w:color w:val="000000"/>
          <w:sz w:val="24"/>
          <w:szCs w:val="24"/>
        </w:rPr>
      </w:pPr>
      <w:r>
        <w:rPr>
          <w:rFonts w:ascii="Open Sans Light" w:eastAsia="Open Sans Light" w:hAnsi="Open Sans Light" w:cs="Open Sans Light"/>
          <w:noProof/>
          <w:color w:val="000000"/>
          <w:sz w:val="24"/>
          <w:szCs w:val="24"/>
          <w:lang w:val="en-GB" w:eastAsia="en-GB"/>
        </w:rPr>
        <w:drawing>
          <wp:inline distT="0" distB="0" distL="0" distR="0" wp14:anchorId="1C1B07E0" wp14:editId="37C903AF">
            <wp:extent cx="3562350" cy="2505075"/>
            <wp:effectExtent l="0" t="0" r="0" b="9525"/>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31" cstate="print">
                      <a:extLst>
                        <a:ext uri="{28A0092B-C50C-407E-A947-70E740481C1C}">
                          <a14:useLocalDpi xmlns:a14="http://schemas.microsoft.com/office/drawing/2010/main" val="0"/>
                        </a:ext>
                      </a:extLst>
                    </a:blip>
                    <a:srcRect t="2" b="3214"/>
                    <a:stretch>
                      <a:fillRect/>
                    </a:stretch>
                  </pic:blipFill>
                  <pic:spPr bwMode="auto">
                    <a:xfrm>
                      <a:off x="0" y="0"/>
                      <a:ext cx="3562350" cy="2505075"/>
                    </a:xfrm>
                    <a:prstGeom prst="rect">
                      <a:avLst/>
                    </a:prstGeom>
                    <a:noFill/>
                    <a:ln>
                      <a:noFill/>
                    </a:ln>
                  </pic:spPr>
                </pic:pic>
              </a:graphicData>
            </a:graphic>
          </wp:inline>
        </w:drawing>
      </w:r>
    </w:p>
    <w:p w14:paraId="540C8CDA" w14:textId="77777777" w:rsidR="002E39FC" w:rsidRDefault="002E39FC" w:rsidP="000E0E5B">
      <w:pPr>
        <w:spacing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Para el periodo 2017 – 2018, la tasa de mortalidad neonatal es mayor cuando el rango de edad de la madre se encuentra entre 40 y 50 años y se reduce hasta en 7 puntos porcentuales en el rango etario de las madres de 20 a 29 años. </w:t>
      </w:r>
    </w:p>
    <w:p w14:paraId="0084665C"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72577EC2" w14:textId="5C1728A2" w:rsidR="002E39FC" w:rsidRDefault="002E39FC" w:rsidP="002E39FC">
      <w:pPr>
        <w:jc w:val="center"/>
      </w:pPr>
      <w:r>
        <w:rPr>
          <w:noProof/>
          <w:lang w:val="en-GB" w:eastAsia="en-GB"/>
        </w:rPr>
        <w:lastRenderedPageBreak/>
        <w:drawing>
          <wp:inline distT="0" distB="0" distL="0" distR="0" wp14:anchorId="5409D89E" wp14:editId="1FC13686">
            <wp:extent cx="3505200" cy="2419350"/>
            <wp:effectExtent l="0" t="0" r="0"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32" cstate="print">
                      <a:extLst>
                        <a:ext uri="{28A0092B-C50C-407E-A947-70E740481C1C}">
                          <a14:useLocalDpi xmlns:a14="http://schemas.microsoft.com/office/drawing/2010/main" val="0"/>
                        </a:ext>
                      </a:extLst>
                    </a:blip>
                    <a:srcRect t="2106" b="2898"/>
                    <a:stretch>
                      <a:fillRect/>
                    </a:stretch>
                  </pic:blipFill>
                  <pic:spPr bwMode="auto">
                    <a:xfrm>
                      <a:off x="0" y="0"/>
                      <a:ext cx="3505200" cy="2419350"/>
                    </a:xfrm>
                    <a:prstGeom prst="rect">
                      <a:avLst/>
                    </a:prstGeom>
                    <a:noFill/>
                    <a:ln>
                      <a:noFill/>
                    </a:ln>
                  </pic:spPr>
                </pic:pic>
              </a:graphicData>
            </a:graphic>
          </wp:inline>
        </w:drawing>
      </w:r>
      <w:r w:rsidR="00374321">
        <w:rPr>
          <w:noProof/>
          <w:lang w:val="en-GB" w:eastAsia="en-GB"/>
        </w:rPr>
        <w:drawing>
          <wp:inline distT="0" distB="0" distL="0" distR="0" wp14:anchorId="7F7EB93F" wp14:editId="3B95A364">
            <wp:extent cx="3448050" cy="2457450"/>
            <wp:effectExtent l="0" t="0" r="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33" cstate="print">
                      <a:extLst>
                        <a:ext uri="{28A0092B-C50C-407E-A947-70E740481C1C}">
                          <a14:useLocalDpi xmlns:a14="http://schemas.microsoft.com/office/drawing/2010/main" val="0"/>
                        </a:ext>
                      </a:extLst>
                    </a:blip>
                    <a:srcRect b="2274"/>
                    <a:stretch>
                      <a:fillRect/>
                    </a:stretch>
                  </pic:blipFill>
                  <pic:spPr bwMode="auto">
                    <a:xfrm>
                      <a:off x="0" y="0"/>
                      <a:ext cx="3448050" cy="2457450"/>
                    </a:xfrm>
                    <a:prstGeom prst="rect">
                      <a:avLst/>
                    </a:prstGeom>
                    <a:noFill/>
                    <a:ln>
                      <a:noFill/>
                    </a:ln>
                  </pic:spPr>
                </pic:pic>
              </a:graphicData>
            </a:graphic>
          </wp:inline>
        </w:drawing>
      </w:r>
    </w:p>
    <w:p w14:paraId="152772B7" w14:textId="76AA16C1" w:rsidR="002E39FC" w:rsidRDefault="002E39FC" w:rsidP="000E0E5B">
      <w:pPr>
        <w:spacing w:line="240" w:lineRule="auto"/>
        <w:jc w:val="both"/>
      </w:pPr>
      <w:r>
        <w:rPr>
          <w:rFonts w:ascii="Open Sans Light" w:eastAsia="Open Sans Light" w:hAnsi="Open Sans Light" w:cs="Open Sans Light"/>
          <w:color w:val="000000"/>
          <w:sz w:val="24"/>
          <w:szCs w:val="24"/>
        </w:rPr>
        <w:t>Finalmente, existe una correlación indirecta entre la tasa de mortalidad neonatal y el nivel educativo de la madre, esto es, que la prevalencia de la mortalidad neonatal se reduce a medida que la madre cuenta con un nivel educativo mayor.</w:t>
      </w:r>
    </w:p>
    <w:p w14:paraId="3D352D97" w14:textId="4679D987" w:rsidR="0028026B" w:rsidRPr="00A61DFC" w:rsidRDefault="0028026B" w:rsidP="000E0E5B">
      <w:pPr>
        <w:spacing w:line="240" w:lineRule="auto"/>
        <w:jc w:val="both"/>
        <w:rPr>
          <w:rFonts w:ascii="Open Sans Light" w:hAnsi="Open Sans Light" w:cs="Open Sans Light"/>
          <w:sz w:val="24"/>
          <w:szCs w:val="24"/>
        </w:rPr>
      </w:pPr>
      <w:r w:rsidRPr="00A61DFC">
        <w:rPr>
          <w:rFonts w:ascii="Open Sans Light" w:hAnsi="Open Sans Light" w:cs="Open Sans Light"/>
          <w:sz w:val="24"/>
          <w:szCs w:val="24"/>
        </w:rPr>
        <w:t xml:space="preserve">Es importante </w:t>
      </w:r>
      <w:r w:rsidRPr="000E0E5B">
        <w:rPr>
          <w:rFonts w:ascii="Open Sans Light" w:eastAsia="Open Sans Light" w:hAnsi="Open Sans Light" w:cs="Open Sans Light"/>
          <w:color w:val="000000"/>
          <w:sz w:val="24"/>
          <w:szCs w:val="24"/>
        </w:rPr>
        <w:t>resaltar – de los gráficos que muestran las evoluciones en las tasas de mortalidad neonatal – que entre los años 2019 y 2020 éstas no se han reducido. La llegada del COVID</w:t>
      </w:r>
      <w:r w:rsidRPr="00A61DFC">
        <w:rPr>
          <w:rFonts w:ascii="Open Sans Light" w:hAnsi="Open Sans Light" w:cs="Open Sans Light"/>
          <w:sz w:val="24"/>
          <w:szCs w:val="24"/>
        </w:rPr>
        <w:t xml:space="preserve">-19 y sus impactos sanitarios y económicos puede ser responsable del detenimiento en el cierre de brechas respecto a los objetivos del </w:t>
      </w:r>
      <w:r w:rsidR="00D979D4">
        <w:rPr>
          <w:rFonts w:ascii="Open Sans Light" w:hAnsi="Open Sans Light" w:cs="Open Sans Light"/>
          <w:sz w:val="24"/>
          <w:szCs w:val="24"/>
        </w:rPr>
        <w:t>PNAIA 2012 – 2021</w:t>
      </w:r>
      <w:r w:rsidRPr="00A61DFC">
        <w:rPr>
          <w:rFonts w:ascii="Open Sans Light" w:hAnsi="Open Sans Light" w:cs="Open Sans Light"/>
          <w:sz w:val="24"/>
          <w:szCs w:val="24"/>
        </w:rPr>
        <w:t xml:space="preserve">. </w:t>
      </w:r>
    </w:p>
    <w:p w14:paraId="25688D54"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2. Niñas y niños menores de 5 años de edad alcanzan un estado adecuado de nutrición y salud.</w:t>
      </w:r>
    </w:p>
    <w:p w14:paraId="3702A7DB"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7BEE5C50" w14:textId="7A14F2E3" w:rsidR="002E39FC" w:rsidRDefault="002E39FC" w:rsidP="002E39FC">
      <w:pPr>
        <w:spacing w:after="0" w:line="240" w:lineRule="auto"/>
        <w:jc w:val="both"/>
        <w:rPr>
          <w:rFonts w:ascii="Open Sans Light" w:eastAsia="Open Sans Light" w:hAnsi="Open Sans Light" w:cs="Open Sans Light"/>
          <w:sz w:val="24"/>
          <w:szCs w:val="24"/>
        </w:rPr>
      </w:pPr>
      <w:r>
        <w:rPr>
          <w:rFonts w:ascii="Open Sans Light" w:eastAsia="Open Sans Light" w:hAnsi="Open Sans Light" w:cs="Open Sans Light"/>
          <w:color w:val="000000"/>
          <w:sz w:val="24"/>
          <w:szCs w:val="24"/>
        </w:rPr>
        <w:lastRenderedPageBreak/>
        <w:t xml:space="preserve">Este resultado se mide a través del porcentaje de desnutrición crónica en menores de 5 </w:t>
      </w:r>
      <w:r w:rsidR="0028026B">
        <w:rPr>
          <w:rFonts w:ascii="Open Sans Light" w:eastAsia="Open Sans Light" w:hAnsi="Open Sans Light" w:cs="Open Sans Light"/>
          <w:color w:val="000000"/>
          <w:sz w:val="24"/>
          <w:szCs w:val="24"/>
        </w:rPr>
        <w:t>años</w:t>
      </w:r>
      <w:r>
        <w:rPr>
          <w:rFonts w:ascii="Open Sans Light" w:eastAsia="Open Sans Light" w:hAnsi="Open Sans Light" w:cs="Open Sans Light"/>
          <w:color w:val="000000"/>
          <w:sz w:val="24"/>
          <w:szCs w:val="24"/>
        </w:rPr>
        <w:t xml:space="preserve"> (patrón de referencia N</w:t>
      </w:r>
      <w:r w:rsidR="003F1953">
        <w:rPr>
          <w:rFonts w:ascii="Open Sans Light" w:eastAsia="Open Sans Light" w:hAnsi="Open Sans Light" w:cs="Open Sans Light"/>
          <w:color w:val="000000"/>
          <w:sz w:val="24"/>
          <w:szCs w:val="24"/>
        </w:rPr>
        <w:t>C</w:t>
      </w:r>
      <w:r>
        <w:rPr>
          <w:rFonts w:ascii="Open Sans Light" w:eastAsia="Open Sans Light" w:hAnsi="Open Sans Light" w:cs="Open Sans Light"/>
          <w:color w:val="000000"/>
          <w:sz w:val="24"/>
          <w:szCs w:val="24"/>
        </w:rPr>
        <w:t>HS</w:t>
      </w:r>
      <w:r w:rsidR="005E6E7F">
        <w:rPr>
          <w:rStyle w:val="FootnoteReference"/>
          <w:rFonts w:ascii="Open Sans Light" w:eastAsia="Open Sans Light" w:hAnsi="Open Sans Light" w:cs="Open Sans Light"/>
          <w:color w:val="000000"/>
          <w:sz w:val="24"/>
          <w:szCs w:val="24"/>
        </w:rPr>
        <w:footnoteReference w:id="1"/>
      </w:r>
      <w:r>
        <w:rPr>
          <w:rFonts w:ascii="Open Sans Light" w:eastAsia="Open Sans Light" w:hAnsi="Open Sans Light" w:cs="Open Sans Light"/>
          <w:color w:val="000000"/>
          <w:sz w:val="24"/>
          <w:szCs w:val="24"/>
        </w:rPr>
        <w:t>/OMS). Específicamente, se considera la baja estatura para la edad del niño/a. La meta programada al 2021 era reducir la desnutrición crónica infantil al 5%, lo cual no se lograría ya que según las proyecciones</w:t>
      </w:r>
      <w:r w:rsidR="00BA7AD7" w:rsidRPr="00BA7AD7">
        <w:rPr>
          <w:rFonts w:ascii="Open Sans Light" w:eastAsia="Open Sans Light" w:hAnsi="Open Sans Light" w:cs="Open Sans Light"/>
          <w:color w:val="000000"/>
          <w:sz w:val="24"/>
          <w:szCs w:val="24"/>
        </w:rPr>
        <w:t xml:space="preserve"> </w:t>
      </w:r>
      <w:r w:rsidR="00BA7AD7">
        <w:rPr>
          <w:rFonts w:ascii="Open Sans Light" w:eastAsia="Open Sans Light" w:hAnsi="Open Sans Light" w:cs="Open Sans Light"/>
          <w:color w:val="000000"/>
          <w:sz w:val="24"/>
          <w:szCs w:val="24"/>
        </w:rPr>
        <w:t xml:space="preserve">estimadas </w:t>
      </w:r>
      <w:r>
        <w:rPr>
          <w:rFonts w:ascii="Open Sans Light" w:eastAsia="Open Sans Light" w:hAnsi="Open Sans Light" w:cs="Open Sans Light"/>
          <w:color w:val="000000"/>
          <w:sz w:val="24"/>
          <w:szCs w:val="24"/>
        </w:rPr>
        <w:t xml:space="preserve">el indicador </w:t>
      </w:r>
      <w:r w:rsidR="0028026B">
        <w:rPr>
          <w:rFonts w:ascii="Open Sans Light" w:eastAsia="Open Sans Light" w:hAnsi="Open Sans Light" w:cs="Open Sans Light"/>
          <w:color w:val="000000"/>
          <w:sz w:val="24"/>
          <w:szCs w:val="24"/>
        </w:rPr>
        <w:t xml:space="preserve">se </w:t>
      </w:r>
      <w:r>
        <w:rPr>
          <w:rFonts w:ascii="Open Sans Light" w:eastAsia="Open Sans Light" w:hAnsi="Open Sans Light" w:cs="Open Sans Light"/>
          <w:color w:val="000000"/>
          <w:sz w:val="24"/>
          <w:szCs w:val="24"/>
        </w:rPr>
        <w:t xml:space="preserve">estaría </w:t>
      </w:r>
      <w:r w:rsidR="00753724">
        <w:rPr>
          <w:rFonts w:ascii="Open Sans Light" w:eastAsia="Open Sans Light" w:hAnsi="Open Sans Light" w:cs="Open Sans Light"/>
          <w:color w:val="000000"/>
          <w:sz w:val="24"/>
          <w:szCs w:val="24"/>
        </w:rPr>
        <w:t>logrando reducir en tan solo</w:t>
      </w:r>
      <w:r>
        <w:rPr>
          <w:rFonts w:ascii="Open Sans Light" w:eastAsia="Open Sans Light" w:hAnsi="Open Sans Light" w:cs="Open Sans Light"/>
          <w:color w:val="000000"/>
          <w:sz w:val="24"/>
          <w:szCs w:val="24"/>
        </w:rPr>
        <w:t xml:space="preserve"> </w:t>
      </w:r>
      <w:r w:rsidR="00BA7AD7">
        <w:rPr>
          <w:rFonts w:ascii="Open Sans Light" w:eastAsia="Open Sans Light" w:hAnsi="Open Sans Light" w:cs="Open Sans Light"/>
          <w:color w:val="000000"/>
          <w:sz w:val="24"/>
          <w:szCs w:val="24"/>
        </w:rPr>
        <w:t>dos</w:t>
      </w:r>
      <w:r>
        <w:rPr>
          <w:rFonts w:ascii="Open Sans Light" w:eastAsia="Open Sans Light" w:hAnsi="Open Sans Light" w:cs="Open Sans Light"/>
          <w:color w:val="000000"/>
          <w:sz w:val="24"/>
          <w:szCs w:val="24"/>
        </w:rPr>
        <w:t xml:space="preserve"> punto</w:t>
      </w:r>
      <w:r w:rsidR="00BA7AD7">
        <w:rPr>
          <w:rFonts w:ascii="Open Sans Light" w:eastAsia="Open Sans Light" w:hAnsi="Open Sans Light" w:cs="Open Sans Light"/>
          <w:color w:val="000000"/>
          <w:sz w:val="24"/>
          <w:szCs w:val="24"/>
        </w:rPr>
        <w:t>s</w:t>
      </w:r>
      <w:r>
        <w:rPr>
          <w:rFonts w:ascii="Open Sans Light" w:eastAsia="Open Sans Light" w:hAnsi="Open Sans Light" w:cs="Open Sans Light"/>
          <w:color w:val="000000"/>
          <w:sz w:val="24"/>
          <w:szCs w:val="24"/>
        </w:rPr>
        <w:t xml:space="preserve"> porcentual</w:t>
      </w:r>
      <w:r w:rsidR="00BA7AD7">
        <w:rPr>
          <w:rFonts w:ascii="Open Sans Light" w:eastAsia="Open Sans Light" w:hAnsi="Open Sans Light" w:cs="Open Sans Light"/>
          <w:color w:val="000000"/>
          <w:sz w:val="24"/>
          <w:szCs w:val="24"/>
        </w:rPr>
        <w:t>es</w:t>
      </w:r>
      <w:r>
        <w:rPr>
          <w:rFonts w:ascii="Open Sans Light" w:eastAsia="Open Sans Light" w:hAnsi="Open Sans Light" w:cs="Open Sans Light"/>
          <w:color w:val="000000"/>
          <w:sz w:val="24"/>
          <w:szCs w:val="24"/>
        </w:rPr>
        <w:t xml:space="preserve"> respecto al </w:t>
      </w:r>
      <w:r w:rsidR="00BA7AD7">
        <w:rPr>
          <w:rFonts w:ascii="Open Sans Light" w:eastAsia="Open Sans Light" w:hAnsi="Open Sans Light" w:cs="Open Sans Light"/>
          <w:color w:val="000000"/>
          <w:sz w:val="24"/>
          <w:szCs w:val="24"/>
        </w:rPr>
        <w:t>2019</w:t>
      </w:r>
      <w:r>
        <w:rPr>
          <w:rFonts w:ascii="Open Sans Light" w:eastAsia="Open Sans Light" w:hAnsi="Open Sans Light" w:cs="Open Sans Light"/>
          <w:color w:val="000000"/>
          <w:sz w:val="24"/>
          <w:szCs w:val="24"/>
        </w:rPr>
        <w:t xml:space="preserve">, hasta un </w:t>
      </w:r>
      <w:r w:rsidR="00BA7AD7">
        <w:rPr>
          <w:rFonts w:ascii="Open Sans Light" w:eastAsia="Open Sans Light" w:hAnsi="Open Sans Light" w:cs="Open Sans Light"/>
          <w:color w:val="000000"/>
          <w:sz w:val="24"/>
          <w:szCs w:val="24"/>
        </w:rPr>
        <w:t>6.1</w:t>
      </w:r>
      <w:r>
        <w:rPr>
          <w:rFonts w:ascii="Open Sans Light" w:eastAsia="Open Sans Light" w:hAnsi="Open Sans Light" w:cs="Open Sans Light"/>
          <w:color w:val="000000"/>
          <w:sz w:val="24"/>
          <w:szCs w:val="24"/>
        </w:rPr>
        <w:t>%.</w:t>
      </w:r>
      <w:r w:rsidR="00753724">
        <w:rPr>
          <w:rFonts w:ascii="Open Sans Light" w:eastAsia="Open Sans Light" w:hAnsi="Open Sans Light" w:cs="Open Sans Light"/>
          <w:color w:val="000000"/>
          <w:sz w:val="24"/>
          <w:szCs w:val="24"/>
        </w:rPr>
        <w:t xml:space="preserve"> </w:t>
      </w:r>
      <w:r w:rsidR="00753724" w:rsidRPr="00A61DFC">
        <w:rPr>
          <w:rFonts w:ascii="Open Sans Light" w:eastAsia="Open Sans Light" w:hAnsi="Open Sans Light" w:cs="Open Sans Light"/>
          <w:sz w:val="24"/>
          <w:szCs w:val="24"/>
        </w:rPr>
        <w:t>Haciendo un seguimiento a la tendencia en la evolución del indicador podemos afirmar que la llegada de la pandemia parece no haber significado un gran obstáculo para la consecución del objetivo, toda vez que se observa un detenimiento en la reducción de la desnutrici</w:t>
      </w:r>
      <w:r w:rsidR="005E6E7F">
        <w:rPr>
          <w:rFonts w:ascii="Open Sans Light" w:eastAsia="Open Sans Light" w:hAnsi="Open Sans Light" w:cs="Open Sans Light"/>
          <w:sz w:val="24"/>
          <w:szCs w:val="24"/>
        </w:rPr>
        <w:t>ón crónica infantil desde 2018.</w:t>
      </w:r>
    </w:p>
    <w:p w14:paraId="1568AF07" w14:textId="09DBA3AF" w:rsidR="005E6E7F" w:rsidRDefault="005E6E7F" w:rsidP="005E6E7F">
      <w:pPr>
        <w:spacing w:after="0" w:line="240" w:lineRule="auto"/>
        <w:jc w:val="center"/>
        <w:rPr>
          <w:rFonts w:ascii="Open Sans Light" w:eastAsia="Open Sans Light" w:hAnsi="Open Sans Light" w:cs="Open Sans Light"/>
          <w:color w:val="000000"/>
          <w:sz w:val="24"/>
          <w:szCs w:val="24"/>
        </w:rPr>
      </w:pPr>
      <w:r w:rsidRPr="005E6E7F">
        <w:rPr>
          <w:rFonts w:ascii="Open Sans Light" w:eastAsia="Open Sans Light" w:hAnsi="Open Sans Light" w:cs="Open Sans Light"/>
          <w:noProof/>
          <w:color w:val="000000"/>
          <w:sz w:val="24"/>
          <w:szCs w:val="24"/>
          <w:lang w:val="en-GB" w:eastAsia="en-GB"/>
        </w:rPr>
        <w:drawing>
          <wp:inline distT="0" distB="0" distL="0" distR="0" wp14:anchorId="4603AB4D" wp14:editId="124D90DE">
            <wp:extent cx="4253629" cy="3096285"/>
            <wp:effectExtent l="0" t="0" r="0" b="889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64054" cy="3103874"/>
                    </a:xfrm>
                    <a:prstGeom prst="rect">
                      <a:avLst/>
                    </a:prstGeom>
                    <a:noFill/>
                    <a:ln>
                      <a:noFill/>
                    </a:ln>
                  </pic:spPr>
                </pic:pic>
              </a:graphicData>
            </a:graphic>
          </wp:inline>
        </w:drawing>
      </w:r>
    </w:p>
    <w:p w14:paraId="02586E84" w14:textId="44BB4F51" w:rsidR="002E39FC" w:rsidRDefault="002E39FC" w:rsidP="002E39FC">
      <w:pPr>
        <w:spacing w:after="0" w:line="240" w:lineRule="auto"/>
        <w:jc w:val="center"/>
        <w:rPr>
          <w:rFonts w:ascii="Open Sans Light" w:eastAsia="Open Sans Light" w:hAnsi="Open Sans Light" w:cs="Open Sans Light"/>
          <w:b/>
          <w:color w:val="000000"/>
          <w:sz w:val="20"/>
          <w:szCs w:val="20"/>
        </w:rPr>
      </w:pPr>
    </w:p>
    <w:p w14:paraId="699C81D7" w14:textId="59BB1E6F" w:rsidR="00213385" w:rsidRDefault="005E6E7F" w:rsidP="00213385">
      <w:pPr>
        <w:spacing w:line="240" w:lineRule="auto"/>
        <w:jc w:val="center"/>
        <w:rPr>
          <w:rFonts w:ascii="Open Sans Light" w:eastAsia="Open Sans Light" w:hAnsi="Open Sans Light" w:cs="Open Sans Light"/>
          <w:b/>
          <w:color w:val="000000"/>
          <w:sz w:val="20"/>
          <w:szCs w:val="20"/>
        </w:rPr>
      </w:pPr>
      <w:r w:rsidRPr="005E6E7F">
        <w:rPr>
          <w:rFonts w:ascii="Open Sans Light" w:eastAsia="Open Sans Light" w:hAnsi="Open Sans Light" w:cs="Open Sans Light"/>
          <w:b/>
          <w:noProof/>
          <w:color w:val="000000"/>
          <w:sz w:val="20"/>
          <w:szCs w:val="20"/>
          <w:lang w:val="en-GB" w:eastAsia="en-GB"/>
        </w:rPr>
        <w:lastRenderedPageBreak/>
        <w:drawing>
          <wp:inline distT="0" distB="0" distL="0" distR="0" wp14:anchorId="53CE51A6" wp14:editId="49D7C8D9">
            <wp:extent cx="4409038" cy="3209410"/>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09038" cy="3209410"/>
                    </a:xfrm>
                    <a:prstGeom prst="rect">
                      <a:avLst/>
                    </a:prstGeom>
                    <a:noFill/>
                    <a:ln>
                      <a:noFill/>
                    </a:ln>
                  </pic:spPr>
                </pic:pic>
              </a:graphicData>
            </a:graphic>
          </wp:inline>
        </w:drawing>
      </w:r>
    </w:p>
    <w:p w14:paraId="3F177809" w14:textId="76BB0FAC" w:rsidR="0078363B" w:rsidRDefault="0078363B" w:rsidP="00716166">
      <w:pPr>
        <w:spacing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Así mismo, </w:t>
      </w:r>
      <w:r w:rsidR="003A2F0F">
        <w:rPr>
          <w:rFonts w:ascii="Open Sans Light" w:eastAsia="Open Sans Light" w:hAnsi="Open Sans Light" w:cs="Open Sans Light"/>
          <w:color w:val="000000"/>
          <w:sz w:val="24"/>
          <w:szCs w:val="24"/>
        </w:rPr>
        <w:t xml:space="preserve">es similar </w:t>
      </w:r>
      <w:r>
        <w:rPr>
          <w:rFonts w:ascii="Open Sans Light" w:eastAsia="Open Sans Light" w:hAnsi="Open Sans Light" w:cs="Open Sans Light"/>
          <w:color w:val="000000"/>
          <w:sz w:val="24"/>
          <w:szCs w:val="24"/>
        </w:rPr>
        <w:t xml:space="preserve">la tendencia del indicador de acuerdo con el patrón de referencia </w:t>
      </w:r>
      <w:r w:rsidR="00F43B18">
        <w:rPr>
          <w:rFonts w:ascii="Open Sans Light" w:eastAsia="Open Sans Light" w:hAnsi="Open Sans Light" w:cs="Open Sans Light"/>
          <w:color w:val="000000"/>
          <w:sz w:val="24"/>
          <w:szCs w:val="24"/>
        </w:rPr>
        <w:t xml:space="preserve">de la </w:t>
      </w:r>
      <w:r w:rsidR="006E7B87">
        <w:rPr>
          <w:rFonts w:ascii="Open Sans Light" w:eastAsia="Open Sans Light" w:hAnsi="Open Sans Light" w:cs="Open Sans Light"/>
          <w:color w:val="000000"/>
          <w:sz w:val="24"/>
          <w:szCs w:val="24"/>
        </w:rPr>
        <w:t>OMS</w:t>
      </w:r>
      <w:r w:rsidR="00FE77B9">
        <w:rPr>
          <w:rFonts w:ascii="Open Sans Light" w:eastAsia="Open Sans Light" w:hAnsi="Open Sans Light" w:cs="Open Sans Light"/>
          <w:color w:val="000000"/>
          <w:sz w:val="24"/>
          <w:szCs w:val="24"/>
        </w:rPr>
        <w:t>.</w:t>
      </w:r>
      <w:r>
        <w:rPr>
          <w:rFonts w:ascii="Open Sans Light" w:eastAsia="Open Sans Light" w:hAnsi="Open Sans Light" w:cs="Open Sans Light"/>
          <w:color w:val="000000"/>
          <w:sz w:val="24"/>
          <w:szCs w:val="24"/>
        </w:rPr>
        <w:t xml:space="preserve"> </w:t>
      </w:r>
      <w:r w:rsidR="00FE77B9">
        <w:rPr>
          <w:rFonts w:ascii="Open Sans Light" w:eastAsia="Open Sans Light" w:hAnsi="Open Sans Light" w:cs="Open Sans Light"/>
          <w:color w:val="000000"/>
          <w:sz w:val="24"/>
          <w:szCs w:val="24"/>
        </w:rPr>
        <w:t>Sin</w:t>
      </w:r>
      <w:r>
        <w:rPr>
          <w:rFonts w:ascii="Open Sans Light" w:eastAsia="Open Sans Light" w:hAnsi="Open Sans Light" w:cs="Open Sans Light"/>
          <w:color w:val="000000"/>
          <w:sz w:val="24"/>
          <w:szCs w:val="24"/>
        </w:rPr>
        <w:t xml:space="preserve"> embargo</w:t>
      </w:r>
      <w:r w:rsidR="00FE77B9">
        <w:rPr>
          <w:rFonts w:ascii="Open Sans Light" w:eastAsia="Open Sans Light" w:hAnsi="Open Sans Light" w:cs="Open Sans Light"/>
          <w:color w:val="000000"/>
          <w:sz w:val="24"/>
          <w:szCs w:val="24"/>
        </w:rPr>
        <w:t>,</w:t>
      </w:r>
      <w:r>
        <w:rPr>
          <w:rFonts w:ascii="Open Sans Light" w:eastAsia="Open Sans Light" w:hAnsi="Open Sans Light" w:cs="Open Sans Light"/>
          <w:color w:val="000000"/>
          <w:sz w:val="24"/>
          <w:szCs w:val="24"/>
        </w:rPr>
        <w:t xml:space="preserve"> </w:t>
      </w:r>
      <w:r w:rsidR="00FE77B9">
        <w:rPr>
          <w:rFonts w:ascii="Open Sans Light" w:eastAsia="Open Sans Light" w:hAnsi="Open Sans Light" w:cs="Open Sans Light"/>
          <w:color w:val="000000"/>
          <w:sz w:val="24"/>
          <w:szCs w:val="24"/>
        </w:rPr>
        <w:t xml:space="preserve">según las proyecciones al cierre del 2021 el indicador se ubicará </w:t>
      </w:r>
      <w:r w:rsidR="0091784D">
        <w:rPr>
          <w:rFonts w:ascii="Open Sans Light" w:eastAsia="Open Sans Light" w:hAnsi="Open Sans Light" w:cs="Open Sans Light"/>
          <w:color w:val="000000"/>
          <w:sz w:val="24"/>
          <w:szCs w:val="24"/>
        </w:rPr>
        <w:t>6</w:t>
      </w:r>
      <w:r w:rsidR="00FE77B9">
        <w:rPr>
          <w:rFonts w:ascii="Open Sans Light" w:eastAsia="Open Sans Light" w:hAnsi="Open Sans Light" w:cs="Open Sans Light"/>
          <w:color w:val="000000"/>
          <w:sz w:val="24"/>
          <w:szCs w:val="24"/>
        </w:rPr>
        <w:t xml:space="preserve"> punto porcentual</w:t>
      </w:r>
      <w:r w:rsidR="0091784D">
        <w:rPr>
          <w:rFonts w:ascii="Open Sans Light" w:eastAsia="Open Sans Light" w:hAnsi="Open Sans Light" w:cs="Open Sans Light"/>
          <w:color w:val="000000"/>
          <w:sz w:val="24"/>
          <w:szCs w:val="24"/>
        </w:rPr>
        <w:t>es</w:t>
      </w:r>
      <w:r w:rsidR="00FE77B9">
        <w:rPr>
          <w:rFonts w:ascii="Open Sans Light" w:eastAsia="Open Sans Light" w:hAnsi="Open Sans Light" w:cs="Open Sans Light"/>
          <w:color w:val="000000"/>
          <w:sz w:val="24"/>
          <w:szCs w:val="24"/>
        </w:rPr>
        <w:t xml:space="preserve"> por encima de la meta.</w:t>
      </w:r>
    </w:p>
    <w:p w14:paraId="4D12C3FF" w14:textId="039657D0" w:rsidR="00CD298C" w:rsidRDefault="002E39FC" w:rsidP="002E39FC">
      <w:pPr>
        <w:spacing w:after="0" w:line="240" w:lineRule="auto"/>
        <w:jc w:val="both"/>
        <w:rPr>
          <w:rFonts w:ascii="Open Sans Light" w:eastAsia="Open Sans Light" w:hAnsi="Open Sans Light" w:cs="Open Sans Light"/>
          <w:sz w:val="24"/>
          <w:szCs w:val="24"/>
        </w:rPr>
      </w:pPr>
      <w:r>
        <w:rPr>
          <w:rFonts w:ascii="Open Sans Light" w:eastAsia="Open Sans Light" w:hAnsi="Open Sans Light" w:cs="Open Sans Light"/>
          <w:color w:val="000000"/>
          <w:sz w:val="24"/>
          <w:szCs w:val="24"/>
        </w:rPr>
        <w:t>Si bien la desnutrición crónica infantil se ha reducido en zonas urbanas y rurales, la brecha urbano – rural se ha mantenido significativamente alta durante el periodo 2012 – 20</w:t>
      </w:r>
      <w:r w:rsidR="0091784D">
        <w:rPr>
          <w:rFonts w:ascii="Open Sans Light" w:eastAsia="Open Sans Light" w:hAnsi="Open Sans Light" w:cs="Open Sans Light"/>
          <w:color w:val="000000"/>
          <w:sz w:val="24"/>
          <w:szCs w:val="24"/>
        </w:rPr>
        <w:t>19</w:t>
      </w:r>
      <w:r>
        <w:rPr>
          <w:rFonts w:ascii="Open Sans Light" w:eastAsia="Open Sans Light" w:hAnsi="Open Sans Light" w:cs="Open Sans Light"/>
          <w:color w:val="000000"/>
          <w:sz w:val="24"/>
          <w:szCs w:val="24"/>
        </w:rPr>
        <w:t xml:space="preserve">, presentando una prevalencia sostenidamente mayor en las zonas rurales. </w:t>
      </w:r>
      <w:r w:rsidR="000D29F1" w:rsidRPr="00A61DFC">
        <w:rPr>
          <w:rFonts w:ascii="Open Sans Light" w:eastAsia="Open Sans Light" w:hAnsi="Open Sans Light" w:cs="Open Sans Light"/>
          <w:sz w:val="24"/>
          <w:szCs w:val="24"/>
        </w:rPr>
        <w:t xml:space="preserve">Por un lado, durante todo el periodo de análisis, existen </w:t>
      </w:r>
      <w:r w:rsidR="0091784D">
        <w:rPr>
          <w:rFonts w:ascii="Open Sans Light" w:eastAsia="Open Sans Light" w:hAnsi="Open Sans Light" w:cs="Open Sans Light"/>
          <w:sz w:val="24"/>
          <w:szCs w:val="24"/>
        </w:rPr>
        <w:t>cerca de 4</w:t>
      </w:r>
      <w:r w:rsidR="000D29F1" w:rsidRPr="00A61DFC">
        <w:rPr>
          <w:rFonts w:ascii="Open Sans Light" w:eastAsia="Open Sans Light" w:hAnsi="Open Sans Light" w:cs="Open Sans Light"/>
          <w:sz w:val="24"/>
          <w:szCs w:val="24"/>
        </w:rPr>
        <w:t xml:space="preserve"> menores de 5 años con desnutrición crónica en áreas rurales por cada 1 menor de 5 años con el mismo problema en áreas urbanas.</w:t>
      </w:r>
    </w:p>
    <w:p w14:paraId="66967789" w14:textId="67C7D810" w:rsidR="00321C65" w:rsidRDefault="00321C65" w:rsidP="00321C65">
      <w:pPr>
        <w:spacing w:after="0" w:line="240" w:lineRule="auto"/>
        <w:jc w:val="center"/>
        <w:rPr>
          <w:rFonts w:ascii="Open Sans Light" w:eastAsia="Open Sans Light" w:hAnsi="Open Sans Light" w:cs="Open Sans Light"/>
          <w:sz w:val="24"/>
          <w:szCs w:val="24"/>
        </w:rPr>
      </w:pPr>
      <w:r w:rsidRPr="00321C65">
        <w:rPr>
          <w:rFonts w:ascii="Open Sans Light" w:eastAsia="Open Sans Light" w:hAnsi="Open Sans Light" w:cs="Open Sans Light"/>
          <w:noProof/>
          <w:sz w:val="24"/>
          <w:szCs w:val="24"/>
          <w:lang w:val="en-GB" w:eastAsia="en-GB"/>
        </w:rPr>
        <w:drawing>
          <wp:inline distT="0" distB="0" distL="0" distR="0" wp14:anchorId="034CFEFC" wp14:editId="3B27B662">
            <wp:extent cx="4101219" cy="2985343"/>
            <wp:effectExtent l="0" t="0" r="0" b="571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40308" cy="3013796"/>
                    </a:xfrm>
                    <a:prstGeom prst="rect">
                      <a:avLst/>
                    </a:prstGeom>
                    <a:noFill/>
                    <a:ln>
                      <a:noFill/>
                    </a:ln>
                  </pic:spPr>
                </pic:pic>
              </a:graphicData>
            </a:graphic>
          </wp:inline>
        </w:drawing>
      </w:r>
    </w:p>
    <w:p w14:paraId="000A4B4A" w14:textId="77777777" w:rsidR="00FB4D77" w:rsidRDefault="00FB4D77" w:rsidP="00716166">
      <w:pPr>
        <w:spacing w:line="240" w:lineRule="auto"/>
        <w:jc w:val="center"/>
        <w:rPr>
          <w:rFonts w:ascii="Open Sans Light" w:eastAsia="Open Sans Light" w:hAnsi="Open Sans Light" w:cs="Open Sans Light"/>
          <w:sz w:val="24"/>
          <w:szCs w:val="24"/>
        </w:rPr>
      </w:pPr>
      <w:r w:rsidRPr="00321C65">
        <w:rPr>
          <w:rFonts w:ascii="Open Sans Light" w:eastAsia="Open Sans Light" w:hAnsi="Open Sans Light" w:cs="Open Sans Light"/>
          <w:noProof/>
          <w:color w:val="000000"/>
          <w:sz w:val="24"/>
          <w:szCs w:val="24"/>
          <w:lang w:val="en-GB" w:eastAsia="en-GB"/>
        </w:rPr>
        <w:lastRenderedPageBreak/>
        <w:drawing>
          <wp:inline distT="0" distB="0" distL="0" distR="0" wp14:anchorId="432845E8" wp14:editId="5C83B53E">
            <wp:extent cx="4218915" cy="3071016"/>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40923" cy="3087036"/>
                    </a:xfrm>
                    <a:prstGeom prst="rect">
                      <a:avLst/>
                    </a:prstGeom>
                    <a:noFill/>
                    <a:ln>
                      <a:noFill/>
                    </a:ln>
                  </pic:spPr>
                </pic:pic>
              </a:graphicData>
            </a:graphic>
          </wp:inline>
        </w:drawing>
      </w:r>
    </w:p>
    <w:p w14:paraId="20303E2E" w14:textId="77777777" w:rsidR="00540101" w:rsidRDefault="00FB4D77" w:rsidP="00540101">
      <w:pPr>
        <w:spacing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Por otro lado</w:t>
      </w:r>
      <w:r>
        <w:rPr>
          <w:rFonts w:ascii="Open Sans Light" w:eastAsia="Open Sans Light" w:hAnsi="Open Sans Light" w:cs="Open Sans Light"/>
          <w:sz w:val="24"/>
          <w:szCs w:val="24"/>
        </w:rPr>
        <w:t xml:space="preserve">, según el patrón de referencia de la OMS la brecha </w:t>
      </w:r>
      <w:r>
        <w:rPr>
          <w:rFonts w:ascii="Open Sans Light" w:eastAsia="Open Sans Light" w:hAnsi="Open Sans Light" w:cs="Open Sans Light"/>
          <w:color w:val="000000"/>
          <w:sz w:val="24"/>
          <w:szCs w:val="24"/>
        </w:rPr>
        <w:t>urbano – rural se mantuvo contante entre los años 2018 – 2020</w:t>
      </w:r>
      <w:r>
        <w:rPr>
          <w:rFonts w:ascii="Open Sans Light" w:eastAsia="Open Sans Light" w:hAnsi="Open Sans Light" w:cs="Open Sans Light"/>
          <w:sz w:val="24"/>
          <w:szCs w:val="24"/>
        </w:rPr>
        <w:t>. Así mismo</w:t>
      </w:r>
      <w:r w:rsidR="000D29F1" w:rsidRPr="00A61DFC">
        <w:rPr>
          <w:rFonts w:ascii="Open Sans Light" w:eastAsia="Open Sans Light" w:hAnsi="Open Sans Light" w:cs="Open Sans Light"/>
          <w:sz w:val="24"/>
          <w:szCs w:val="24"/>
        </w:rPr>
        <w:t>, a</w:t>
      </w:r>
      <w:r w:rsidR="002E39FC" w:rsidRPr="00A61DFC">
        <w:rPr>
          <w:rFonts w:ascii="Open Sans Light" w:eastAsia="Open Sans Light" w:hAnsi="Open Sans Light" w:cs="Open Sans Light"/>
          <w:sz w:val="24"/>
          <w:szCs w:val="24"/>
        </w:rPr>
        <w:t>l 2020, la cuarta parte de niñas y niños menores de 5 años que residían en zonas rurales tenía desnutrición crónica; mientras que menos del 10% de sus pares que residían en zonas urbanas, presentan la misma condición.</w:t>
      </w:r>
    </w:p>
    <w:p w14:paraId="5485BB71" w14:textId="55EC725C" w:rsidR="002E39FC" w:rsidRPr="00B54A28" w:rsidRDefault="002E39FC" w:rsidP="00540101">
      <w:pPr>
        <w:spacing w:line="240" w:lineRule="auto"/>
        <w:jc w:val="center"/>
        <w:rPr>
          <w:rFonts w:ascii="Open Sans Light" w:eastAsia="Open Sans Light" w:hAnsi="Open Sans Light" w:cs="Open Sans Light"/>
          <w:sz w:val="24"/>
          <w:szCs w:val="24"/>
        </w:rPr>
      </w:pPr>
    </w:p>
    <w:p w14:paraId="788A6C6D" w14:textId="6552726E" w:rsidR="005C6674" w:rsidRDefault="00423DB3" w:rsidP="005C6674">
      <w:pPr>
        <w:spacing w:line="240" w:lineRule="auto"/>
        <w:jc w:val="center"/>
        <w:rPr>
          <w:rFonts w:ascii="Open Sans Light" w:eastAsia="Open Sans Light" w:hAnsi="Open Sans Light" w:cs="Open Sans Light"/>
          <w:color w:val="000000"/>
          <w:sz w:val="24"/>
          <w:szCs w:val="24"/>
        </w:rPr>
      </w:pPr>
      <w:r w:rsidRPr="00423DB3">
        <w:rPr>
          <w:rFonts w:ascii="Open Sans Light" w:eastAsia="Open Sans Light" w:hAnsi="Open Sans Light" w:cs="Open Sans Light"/>
          <w:noProof/>
          <w:sz w:val="24"/>
          <w:szCs w:val="24"/>
          <w:lang w:val="en-GB" w:eastAsia="en-GB"/>
        </w:rPr>
        <w:drawing>
          <wp:inline distT="0" distB="0" distL="0" distR="0" wp14:anchorId="60EB8B8D" wp14:editId="18B14FE3">
            <wp:extent cx="4949490" cy="3594226"/>
            <wp:effectExtent l="0" t="0" r="381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6769" cy="3599512"/>
                    </a:xfrm>
                    <a:prstGeom prst="rect">
                      <a:avLst/>
                    </a:prstGeom>
                    <a:noFill/>
                    <a:ln>
                      <a:noFill/>
                    </a:ln>
                  </pic:spPr>
                </pic:pic>
              </a:graphicData>
            </a:graphic>
          </wp:inline>
        </w:drawing>
      </w:r>
    </w:p>
    <w:p w14:paraId="7FDBDF2F" w14:textId="4C4C9671" w:rsidR="002E39FC" w:rsidRPr="00B54A28" w:rsidRDefault="005C6674" w:rsidP="00B54A28">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lastRenderedPageBreak/>
        <w:t>En el año 2019, la región de la sierra presentaba una mayor prevalencia de desnutrición crónica infantil, alcanzando a la quinta parte de la población menor de 5 años, seguido de cerca por la región de la selva. Por el contrario, Lima Metropolitana y la región de la Costa es la que menor tasa de DCI presenta para el mi</w:t>
      </w:r>
      <w:r w:rsidR="00B54A28">
        <w:rPr>
          <w:rFonts w:ascii="Open Sans Light" w:eastAsia="Open Sans Light" w:hAnsi="Open Sans Light" w:cs="Open Sans Light"/>
          <w:color w:val="000000"/>
          <w:sz w:val="24"/>
          <w:szCs w:val="24"/>
        </w:rPr>
        <w:t>smo periodo, con menos del 10%.</w:t>
      </w:r>
    </w:p>
    <w:p w14:paraId="310E0656"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p>
    <w:p w14:paraId="0215D941"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3. Niñas y niños de 0 a 2 años de edad cuentan con cuidado, atención integral y aprendizaje oportuno</w:t>
      </w:r>
    </w:p>
    <w:p w14:paraId="1B3C3515"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6FCD2F62" w14:textId="5887A2CB"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Este resultado se mide a través del porcentaje de niñas y niños menores de 36 meses que tienen controles de crecimiento y desarrollo (CRED) completos para su edad. Al cierre del 2021, se espera lograr que las tres cuartas partes de esta población logre contar con sus controles de crecimiento y desarrollo completos, esto es, el 75% del total de niñas/os. Sin embargo, las proyecciones indican que, al cierre del presente año, no sería posible alcanzar dicho valor esperado, teniendo un pronóstico ligeramente superior al 55% de las niñas y niños con esta característica. Considerando que el año 2020 fue un caso atípico para realizar los controles de manera presencial, cuando se estima el indicador desde el 2019 hacia atrás, el valor proyectado resulta igual al 65.9%, diferencia significativa respecto a la estimación usando datos del periodo de pandemia. </w:t>
      </w:r>
      <w:r w:rsidR="00A42CFF">
        <w:rPr>
          <w:rFonts w:ascii="Open Sans Light" w:eastAsia="Open Sans Light" w:hAnsi="Open Sans Light" w:cs="Open Sans Light"/>
          <w:color w:val="000000"/>
          <w:sz w:val="24"/>
          <w:szCs w:val="24"/>
        </w:rPr>
        <w:t>En vista de la proyección considerando ésta última alternativa</w:t>
      </w:r>
      <w:r>
        <w:rPr>
          <w:rFonts w:ascii="Open Sans Light" w:eastAsia="Open Sans Light" w:hAnsi="Open Sans Light" w:cs="Open Sans Light"/>
          <w:color w:val="000000"/>
          <w:sz w:val="24"/>
          <w:szCs w:val="24"/>
        </w:rPr>
        <w:t xml:space="preserve"> la meta no se alcanzaría.</w:t>
      </w:r>
    </w:p>
    <w:p w14:paraId="2D9FC1C2" w14:textId="0515D0F0" w:rsidR="002E39FC" w:rsidRDefault="009E0650" w:rsidP="002E39FC">
      <w:pPr>
        <w:spacing w:after="0" w:line="240" w:lineRule="auto"/>
        <w:jc w:val="center"/>
        <w:rPr>
          <w:rFonts w:ascii="Open Sans Light" w:eastAsia="Open Sans Light" w:hAnsi="Open Sans Light" w:cs="Open Sans Light"/>
          <w:color w:val="000000"/>
          <w:sz w:val="24"/>
          <w:szCs w:val="24"/>
        </w:rPr>
      </w:pPr>
      <w:r w:rsidRPr="009E0650">
        <w:rPr>
          <w:rFonts w:ascii="Open Sans Light" w:eastAsia="Open Sans Light" w:hAnsi="Open Sans Light" w:cs="Open Sans Light"/>
          <w:noProof/>
          <w:color w:val="000000"/>
          <w:sz w:val="24"/>
          <w:szCs w:val="24"/>
          <w:lang w:val="en-GB" w:eastAsia="en-GB"/>
        </w:rPr>
        <w:drawing>
          <wp:inline distT="0" distB="0" distL="0" distR="0" wp14:anchorId="0B04CD0D" wp14:editId="41F80613">
            <wp:extent cx="4253948" cy="3089138"/>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58813" cy="3092671"/>
                    </a:xfrm>
                    <a:prstGeom prst="rect">
                      <a:avLst/>
                    </a:prstGeom>
                    <a:noFill/>
                    <a:ln>
                      <a:noFill/>
                    </a:ln>
                  </pic:spPr>
                </pic:pic>
              </a:graphicData>
            </a:graphic>
          </wp:inline>
        </w:drawing>
      </w:r>
    </w:p>
    <w:p w14:paraId="64D8EC64" w14:textId="77777777" w:rsidR="002E39FC" w:rsidRDefault="002E39FC" w:rsidP="002E39FC">
      <w:pPr>
        <w:jc w:val="both"/>
        <w:rPr>
          <w:rFonts w:ascii="Open Sans Light" w:eastAsia="Open Sans Light" w:hAnsi="Open Sans Light" w:cs="Open Sans Light"/>
          <w:color w:val="000000"/>
          <w:sz w:val="24"/>
          <w:szCs w:val="24"/>
        </w:rPr>
      </w:pPr>
      <w:r>
        <w:rPr>
          <w:rFonts w:ascii="Open Sans Light" w:hAnsi="Open Sans Light" w:cs="Open Sans Light"/>
          <w:noProof/>
          <w:sz w:val="24"/>
          <w:szCs w:val="24"/>
        </w:rPr>
        <w:t xml:space="preserve">Según el área geográfica, la proporción de NNA con CRED completos para su edad que residen el las zonas rurales fue superior a sus pares de zonas urbanas durante todo el periodo de análisis, manteniendo una brecha aproximada de </w:t>
      </w:r>
      <w:r>
        <w:rPr>
          <w:rFonts w:ascii="Open Sans Light" w:hAnsi="Open Sans Light" w:cs="Open Sans Light"/>
          <w:noProof/>
          <w:sz w:val="24"/>
          <w:szCs w:val="24"/>
        </w:rPr>
        <w:lastRenderedPageBreak/>
        <w:t>10 puntos porcentuales hasta el año 2019. El año pasado (2020) ambas proporciones cayeron drásticamente, posiblemente por el colapso del sistema de salud debido a la COVID-19, y además la brecha se amplió casi en 15 pp. Con ello, mientras la mitad de la población de niñas/os menores de 36 meses que residen en zonas rurales tienen CRED completo, solo 1 de cada 3 niñas/os del área urbana muestra la misma característica.</w:t>
      </w:r>
    </w:p>
    <w:p w14:paraId="70F1AC04" w14:textId="516D4E94" w:rsidR="002E39FC" w:rsidRDefault="002E39FC" w:rsidP="002E39FC">
      <w:pPr>
        <w:jc w:val="center"/>
        <w:rPr>
          <w:rFonts w:ascii="Open Sans Light" w:eastAsia="Open Sans Light" w:hAnsi="Open Sans Light" w:cs="Open Sans Light"/>
          <w:color w:val="000000"/>
          <w:sz w:val="24"/>
          <w:szCs w:val="24"/>
        </w:rPr>
      </w:pPr>
      <w:r>
        <w:rPr>
          <w:rFonts w:ascii="Open Sans Light" w:eastAsia="Open Sans Light" w:hAnsi="Open Sans Light" w:cs="Open Sans Light"/>
          <w:noProof/>
          <w:color w:val="000000"/>
          <w:sz w:val="24"/>
          <w:szCs w:val="24"/>
          <w:lang w:val="en-GB" w:eastAsia="en-GB"/>
        </w:rPr>
        <w:drawing>
          <wp:inline distT="0" distB="0" distL="0" distR="0" wp14:anchorId="4E67469B" wp14:editId="0CF295E6">
            <wp:extent cx="4248150" cy="3086100"/>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48150" cy="3086100"/>
                    </a:xfrm>
                    <a:prstGeom prst="rect">
                      <a:avLst/>
                    </a:prstGeom>
                    <a:noFill/>
                    <a:ln>
                      <a:noFill/>
                    </a:ln>
                  </pic:spPr>
                </pic:pic>
              </a:graphicData>
            </a:graphic>
          </wp:inline>
        </w:drawing>
      </w:r>
    </w:p>
    <w:p w14:paraId="026100AE" w14:textId="7124D932" w:rsidR="002E39FC" w:rsidRPr="00A61DFC" w:rsidRDefault="00CD48C5" w:rsidP="002E39FC">
      <w:pPr>
        <w:jc w:val="both"/>
      </w:pPr>
      <w:r w:rsidRPr="00A61DFC">
        <w:rPr>
          <w:rFonts w:ascii="Open Sans Light" w:hAnsi="Open Sans Light" w:cs="Open Sans Light"/>
          <w:noProof/>
          <w:sz w:val="24"/>
          <w:szCs w:val="24"/>
        </w:rPr>
        <w:t xml:space="preserve">En el siguiente gráfico se puede observar que para </w:t>
      </w:r>
      <w:r w:rsidR="002E39FC" w:rsidRPr="00A61DFC">
        <w:rPr>
          <w:rFonts w:ascii="Open Sans Light" w:hAnsi="Open Sans Light" w:cs="Open Sans Light"/>
          <w:noProof/>
          <w:sz w:val="24"/>
          <w:szCs w:val="24"/>
        </w:rPr>
        <w:t xml:space="preserve">el 2019 fue acortándose la brecha entre el quintil de riqueza superior e inferior, siendo el grupo del quintil inferior </w:t>
      </w:r>
      <w:r w:rsidRPr="00A61DFC">
        <w:rPr>
          <w:rFonts w:ascii="Open Sans Light" w:hAnsi="Open Sans Light" w:cs="Open Sans Light"/>
          <w:noProof/>
          <w:sz w:val="24"/>
          <w:szCs w:val="24"/>
        </w:rPr>
        <w:t>el que superaba</w:t>
      </w:r>
      <w:r w:rsidR="002E39FC" w:rsidRPr="00A61DFC">
        <w:rPr>
          <w:rFonts w:ascii="Open Sans Light" w:hAnsi="Open Sans Light" w:cs="Open Sans Light"/>
          <w:noProof/>
          <w:sz w:val="24"/>
          <w:szCs w:val="24"/>
        </w:rPr>
        <w:t xml:space="preserve"> ligeramente al del quintil superior. </w:t>
      </w:r>
      <w:r w:rsidRPr="00A61DFC">
        <w:rPr>
          <w:rFonts w:ascii="Open Sans Light" w:hAnsi="Open Sans Light" w:cs="Open Sans Light"/>
          <w:noProof/>
          <w:sz w:val="24"/>
          <w:szCs w:val="24"/>
        </w:rPr>
        <w:t xml:space="preserve">Sin embargo, en el siguiente año – con la pandemia encima del sistema sanitario peruano – el avance de 10 años que se observa durante el periodo de análisis se vio totalmente contrarrestado. La brecha incluso se incrementó; de 7.3% en 2012 a 8.1% en 2020. </w:t>
      </w:r>
    </w:p>
    <w:p w14:paraId="5E63C3FD" w14:textId="000295E5" w:rsidR="002E39FC" w:rsidRDefault="002E39FC" w:rsidP="002E39FC">
      <w:pPr>
        <w:jc w:val="center"/>
      </w:pPr>
      <w:r>
        <w:rPr>
          <w:noProof/>
          <w:lang w:val="en-GB" w:eastAsia="en-GB"/>
        </w:rPr>
        <w:lastRenderedPageBreak/>
        <w:drawing>
          <wp:inline distT="0" distB="0" distL="0" distR="0" wp14:anchorId="6B0C884A" wp14:editId="6AE2206B">
            <wp:extent cx="4105275" cy="2905125"/>
            <wp:effectExtent l="0" t="0" r="9525" b="9525"/>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0"/>
                    <pic:cNvPicPr>
                      <a:picLocks noChangeAspect="1" noChangeArrowheads="1"/>
                    </pic:cNvPicPr>
                  </pic:nvPicPr>
                  <pic:blipFill>
                    <a:blip r:embed="rId41" cstate="print">
                      <a:extLst>
                        <a:ext uri="{28A0092B-C50C-407E-A947-70E740481C1C}">
                          <a14:useLocalDpi xmlns:a14="http://schemas.microsoft.com/office/drawing/2010/main" val="0"/>
                        </a:ext>
                      </a:extLst>
                    </a:blip>
                    <a:srcRect b="2734"/>
                    <a:stretch>
                      <a:fillRect/>
                    </a:stretch>
                  </pic:blipFill>
                  <pic:spPr bwMode="auto">
                    <a:xfrm>
                      <a:off x="0" y="0"/>
                      <a:ext cx="4105275" cy="2905125"/>
                    </a:xfrm>
                    <a:prstGeom prst="rect">
                      <a:avLst/>
                    </a:prstGeom>
                    <a:noFill/>
                    <a:ln>
                      <a:noFill/>
                    </a:ln>
                  </pic:spPr>
                </pic:pic>
              </a:graphicData>
            </a:graphic>
          </wp:inline>
        </w:drawing>
      </w:r>
    </w:p>
    <w:p w14:paraId="3462A445" w14:textId="60059253" w:rsidR="002E39FC" w:rsidRDefault="002E39FC" w:rsidP="002E39FC">
      <w:pPr>
        <w:jc w:val="both"/>
      </w:pPr>
      <w:r>
        <w:rPr>
          <w:rFonts w:ascii="Open Sans Light" w:hAnsi="Open Sans Light" w:cs="Open Sans Light"/>
          <w:noProof/>
          <w:sz w:val="24"/>
          <w:szCs w:val="24"/>
        </w:rPr>
        <w:t>Adicionalmente, parece no haber diferencias muy amplias</w:t>
      </w:r>
      <w:r w:rsidR="00CD48C5">
        <w:rPr>
          <w:rFonts w:ascii="Open Sans Light" w:hAnsi="Open Sans Light" w:cs="Open Sans Light"/>
          <w:noProof/>
          <w:sz w:val="24"/>
          <w:szCs w:val="24"/>
        </w:rPr>
        <w:t xml:space="preserve"> en el indicador</w:t>
      </w:r>
      <w:r>
        <w:rPr>
          <w:rFonts w:ascii="Open Sans Light" w:hAnsi="Open Sans Light" w:cs="Open Sans Light"/>
          <w:noProof/>
          <w:sz w:val="24"/>
          <w:szCs w:val="24"/>
        </w:rPr>
        <w:t xml:space="preserve"> cuando el nivel educativo de la madre es diferente</w:t>
      </w:r>
      <w:r w:rsidR="00CD48C5">
        <w:rPr>
          <w:rFonts w:ascii="Open Sans Light" w:hAnsi="Open Sans Light" w:cs="Open Sans Light"/>
          <w:noProof/>
          <w:sz w:val="24"/>
          <w:szCs w:val="24"/>
        </w:rPr>
        <w:t>. Así tenemos que,</w:t>
      </w:r>
      <w:r>
        <w:rPr>
          <w:rFonts w:ascii="Open Sans Light" w:hAnsi="Open Sans Light" w:cs="Open Sans Light"/>
          <w:noProof/>
          <w:sz w:val="24"/>
          <w:szCs w:val="24"/>
        </w:rPr>
        <w:t xml:space="preserve"> al 2019, en el grupo de madres sin nivel </w:t>
      </w:r>
      <w:r w:rsidR="003A23C9">
        <w:rPr>
          <w:rFonts w:ascii="Open Sans Light" w:hAnsi="Open Sans Light" w:cs="Open Sans Light"/>
          <w:noProof/>
          <w:sz w:val="24"/>
          <w:szCs w:val="24"/>
        </w:rPr>
        <w:t xml:space="preserve">educativo </w:t>
      </w:r>
      <w:r>
        <w:rPr>
          <w:rFonts w:ascii="Open Sans Light" w:hAnsi="Open Sans Light" w:cs="Open Sans Light"/>
          <w:noProof/>
          <w:sz w:val="24"/>
          <w:szCs w:val="24"/>
        </w:rPr>
        <w:t xml:space="preserve">o con primaria, 3 de </w:t>
      </w:r>
      <w:r w:rsidR="003A23C9">
        <w:rPr>
          <w:rFonts w:ascii="Open Sans Light" w:hAnsi="Open Sans Light" w:cs="Open Sans Light"/>
          <w:noProof/>
          <w:sz w:val="24"/>
          <w:szCs w:val="24"/>
        </w:rPr>
        <w:t xml:space="preserve">cada </w:t>
      </w:r>
      <w:r>
        <w:rPr>
          <w:rFonts w:ascii="Open Sans Light" w:hAnsi="Open Sans Light" w:cs="Open Sans Light"/>
          <w:noProof/>
          <w:sz w:val="24"/>
          <w:szCs w:val="24"/>
        </w:rPr>
        <w:t>5 niñas y niños tiene CRED completo para su edad</w:t>
      </w:r>
      <w:r w:rsidR="003A23C9">
        <w:rPr>
          <w:rFonts w:ascii="Open Sans Light" w:hAnsi="Open Sans Light" w:cs="Open Sans Light"/>
          <w:noProof/>
          <w:sz w:val="24"/>
          <w:szCs w:val="24"/>
        </w:rPr>
        <w:t>. É</w:t>
      </w:r>
      <w:r>
        <w:rPr>
          <w:rFonts w:ascii="Open Sans Light" w:hAnsi="Open Sans Light" w:cs="Open Sans Light"/>
          <w:noProof/>
          <w:sz w:val="24"/>
          <w:szCs w:val="24"/>
        </w:rPr>
        <w:t>sta proporción aumenta ligeramente (</w:t>
      </w:r>
      <w:r w:rsidR="003A23C9">
        <w:rPr>
          <w:rFonts w:ascii="Open Sans Light" w:hAnsi="Open Sans Light" w:cs="Open Sans Light"/>
          <w:noProof/>
          <w:sz w:val="24"/>
          <w:szCs w:val="24"/>
        </w:rPr>
        <w:t xml:space="preserve">en </w:t>
      </w:r>
      <w:r>
        <w:rPr>
          <w:rFonts w:ascii="Open Sans Light" w:hAnsi="Open Sans Light" w:cs="Open Sans Light"/>
          <w:noProof/>
          <w:sz w:val="24"/>
          <w:szCs w:val="24"/>
        </w:rPr>
        <w:t xml:space="preserve">4 puntos porcentuales) cuando </w:t>
      </w:r>
      <w:r w:rsidR="003A23C9">
        <w:rPr>
          <w:rFonts w:ascii="Open Sans Light" w:hAnsi="Open Sans Light" w:cs="Open Sans Light"/>
          <w:noProof/>
          <w:sz w:val="24"/>
          <w:szCs w:val="24"/>
        </w:rPr>
        <w:t>se pasa al grupo de madres</w:t>
      </w:r>
      <w:r>
        <w:rPr>
          <w:rFonts w:ascii="Open Sans Light" w:hAnsi="Open Sans Light" w:cs="Open Sans Light"/>
          <w:noProof/>
          <w:sz w:val="24"/>
          <w:szCs w:val="24"/>
        </w:rPr>
        <w:t xml:space="preserve"> con educación superior. Para el 2020, si </w:t>
      </w:r>
      <w:r w:rsidRPr="00A61DFC">
        <w:rPr>
          <w:rFonts w:ascii="Open Sans Light" w:hAnsi="Open Sans Light" w:cs="Open Sans Light"/>
          <w:noProof/>
          <w:sz w:val="24"/>
          <w:szCs w:val="24"/>
        </w:rPr>
        <w:t xml:space="preserve">bien en todos los casos cayó la proporción de niñas/os con CRED completos, la caída fue más pronunciada en niños con madres con nivel </w:t>
      </w:r>
      <w:r w:rsidR="00485CF2" w:rsidRPr="00A61DFC">
        <w:rPr>
          <w:rFonts w:ascii="Open Sans Light" w:hAnsi="Open Sans Light" w:cs="Open Sans Light"/>
          <w:noProof/>
          <w:sz w:val="24"/>
          <w:szCs w:val="24"/>
        </w:rPr>
        <w:t xml:space="preserve">superior (25.2%, versus 24% en el grupo Secundaria y 16.9% en el grupo SN/Primaria). </w:t>
      </w:r>
    </w:p>
    <w:p w14:paraId="4744B000" w14:textId="3B07B7A7" w:rsidR="002E39FC" w:rsidRDefault="002E39FC" w:rsidP="002E39FC">
      <w:pPr>
        <w:jc w:val="center"/>
      </w:pPr>
      <w:r>
        <w:rPr>
          <w:noProof/>
          <w:lang w:val="en-GB" w:eastAsia="en-GB"/>
        </w:rPr>
        <w:drawing>
          <wp:inline distT="0" distB="0" distL="0" distR="0" wp14:anchorId="5AD572DF" wp14:editId="52A5BB1A">
            <wp:extent cx="3790950" cy="2752725"/>
            <wp:effectExtent l="0" t="0" r="0" b="9525"/>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90950" cy="2752725"/>
                    </a:xfrm>
                    <a:prstGeom prst="rect">
                      <a:avLst/>
                    </a:prstGeom>
                    <a:noFill/>
                    <a:ln>
                      <a:noFill/>
                    </a:ln>
                  </pic:spPr>
                </pic:pic>
              </a:graphicData>
            </a:graphic>
          </wp:inline>
        </w:drawing>
      </w:r>
    </w:p>
    <w:p w14:paraId="3AC9B58B" w14:textId="77777777" w:rsidR="00485CF2" w:rsidRPr="00A61DFC" w:rsidRDefault="00485CF2" w:rsidP="00485CF2">
      <w:pPr>
        <w:jc w:val="both"/>
        <w:rPr>
          <w:rFonts w:ascii="Open Sans Light" w:hAnsi="Open Sans Light" w:cs="Open Sans Light"/>
          <w:noProof/>
          <w:sz w:val="24"/>
          <w:szCs w:val="24"/>
        </w:rPr>
      </w:pPr>
      <w:r w:rsidRPr="00A61DFC">
        <w:rPr>
          <w:rFonts w:ascii="Open Sans Light" w:hAnsi="Open Sans Light" w:cs="Open Sans Light"/>
          <w:noProof/>
          <w:sz w:val="24"/>
          <w:szCs w:val="24"/>
        </w:rPr>
        <w:lastRenderedPageBreak/>
        <w:t>En 2020, los departamentos con más de la mitad de sus niñas/os con CRED completo para su edad fueron 7: Huancavelica (61.1%), Tacna (60.1%), Amazonas (57.8%), Huánuco (54.8%), Moquegua (51.7%), Cajamarca (51.1%) y San Martín (50.2%). En tanto, los que presentaron menos de la tercera parte de su población de niñas/os menores de 36 meses con esta característica fueron Lima (28.5%), Lambayeque (27.1%) y Callao (25.9%).</w:t>
      </w:r>
    </w:p>
    <w:p w14:paraId="528D0789" w14:textId="1592C62F" w:rsidR="002E39FC" w:rsidRDefault="00F14A64" w:rsidP="00485CF2">
      <w:pPr>
        <w:jc w:val="both"/>
      </w:pPr>
      <w:r w:rsidRPr="00F14A64">
        <w:rPr>
          <w:noProof/>
          <w:lang w:val="en-GB" w:eastAsia="en-GB"/>
        </w:rPr>
        <w:drawing>
          <wp:inline distT="0" distB="0" distL="0" distR="0" wp14:anchorId="32F14462" wp14:editId="6109DDCE">
            <wp:extent cx="5255748" cy="3816626"/>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58644" cy="3818729"/>
                    </a:xfrm>
                    <a:prstGeom prst="rect">
                      <a:avLst/>
                    </a:prstGeom>
                    <a:noFill/>
                    <a:ln>
                      <a:noFill/>
                    </a:ln>
                  </pic:spPr>
                </pic:pic>
              </a:graphicData>
            </a:graphic>
          </wp:inline>
        </w:drawing>
      </w:r>
      <w:r w:rsidR="002E39FC">
        <w:t xml:space="preserve"> </w:t>
      </w:r>
    </w:p>
    <w:p w14:paraId="2EDDB4E4"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4. Niñas y niños de 3 a 5 años de edad acceden a educación inicial de calidad, oportuna, intercultural, inclusiva, con cultura ambiental y libre de violencia</w:t>
      </w:r>
    </w:p>
    <w:p w14:paraId="0A7157D0"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394276E4"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bookmarkStart w:id="13" w:name="_heading=h.17dp8vu"/>
      <w:bookmarkEnd w:id="13"/>
      <w:r>
        <w:rPr>
          <w:rFonts w:ascii="Open Sans Light" w:eastAsia="Open Sans Light" w:hAnsi="Open Sans Light" w:cs="Open Sans Light"/>
          <w:color w:val="000000"/>
          <w:sz w:val="24"/>
          <w:szCs w:val="24"/>
        </w:rPr>
        <w:t xml:space="preserve">Este resultado se mide a través de la tasa neta de matrícula en educación inicial, del grupo de 3 a 5 años de edad. Si bien hasta el año 2019 se logró una tasa de enrolamiento cercano al 85% de estudiantes en educación inicial, en el año 2020 el indicador cayó bruscamente debido al contexto de emergencia sanitaria que provocó el cierre total de las escuelas a nivel nacional y, por tanto, la transición a la modalidad de educación virtual. </w:t>
      </w:r>
    </w:p>
    <w:p w14:paraId="45D7E8BC"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07086152" w14:textId="403F63FF" w:rsidR="002E39FC" w:rsidRDefault="00400D35" w:rsidP="002E39FC">
      <w:pPr>
        <w:spacing w:after="0" w:line="240" w:lineRule="auto"/>
        <w:jc w:val="center"/>
        <w:rPr>
          <w:rFonts w:ascii="Open Sans Light" w:eastAsia="Open Sans Light" w:hAnsi="Open Sans Light" w:cs="Open Sans Light"/>
          <w:color w:val="000000"/>
          <w:sz w:val="24"/>
          <w:szCs w:val="24"/>
        </w:rPr>
      </w:pPr>
      <w:r w:rsidRPr="00400D35">
        <w:rPr>
          <w:rFonts w:ascii="Open Sans Light" w:eastAsia="Open Sans Light" w:hAnsi="Open Sans Light" w:cs="Open Sans Light"/>
          <w:noProof/>
          <w:color w:val="000000"/>
          <w:sz w:val="24"/>
          <w:szCs w:val="24"/>
          <w:lang w:val="en-GB" w:eastAsia="en-GB"/>
        </w:rPr>
        <w:lastRenderedPageBreak/>
        <w:drawing>
          <wp:inline distT="0" distB="0" distL="0" distR="0" wp14:anchorId="1CD43712" wp14:editId="080BF95A">
            <wp:extent cx="4435813" cy="3226046"/>
            <wp:effectExtent l="0" t="0" r="317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41258" cy="3230006"/>
                    </a:xfrm>
                    <a:prstGeom prst="rect">
                      <a:avLst/>
                    </a:prstGeom>
                    <a:noFill/>
                    <a:ln>
                      <a:noFill/>
                    </a:ln>
                  </pic:spPr>
                </pic:pic>
              </a:graphicData>
            </a:graphic>
          </wp:inline>
        </w:drawing>
      </w:r>
    </w:p>
    <w:p w14:paraId="678A4547"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3E90A15D" w14:textId="10CC179F"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En ese contexto, en 2020 la matrícula de estudiantes en educación inicial se redujo en 10 puntos porcentuales; pero, según las proyecciones estimadas, se espera que, hacia el cierre del presente año, el indicador se incremente en 2 puntos porcentuales, alcanzando las tres cuartas partes de niñas/os de 3 a 5 años matriculados en la educación inicial. Para este indicador, no se lograría la meta, en tanto 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había programado universalizar la matrícula inicial de los estudiantes al 2021, lo cual estaría dejando una brecha aproximada del 25% de las niñas y niños de ese rango etario.</w:t>
      </w:r>
    </w:p>
    <w:p w14:paraId="4D8B4E31"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74438CBB" w14:textId="7661DB1B" w:rsidR="002E39FC" w:rsidRDefault="002E39FC" w:rsidP="002E39FC">
      <w:pPr>
        <w:jc w:val="center"/>
        <w:rPr>
          <w:rFonts w:ascii="Open Sans Light" w:eastAsia="Open Sans Light" w:hAnsi="Open Sans Light" w:cs="Open Sans Light"/>
          <w:color w:val="000000"/>
          <w:sz w:val="24"/>
          <w:szCs w:val="24"/>
        </w:rPr>
      </w:pPr>
      <w:r>
        <w:rPr>
          <w:rFonts w:ascii="Open Sans Light" w:eastAsia="Open Sans Light" w:hAnsi="Open Sans Light" w:cs="Open Sans Light"/>
          <w:noProof/>
          <w:color w:val="000000"/>
          <w:sz w:val="24"/>
          <w:szCs w:val="24"/>
          <w:lang w:val="en-GB" w:eastAsia="en-GB"/>
        </w:rPr>
        <w:drawing>
          <wp:inline distT="0" distB="0" distL="0" distR="0" wp14:anchorId="152CD5FB" wp14:editId="07B99A51">
            <wp:extent cx="4095750" cy="2981325"/>
            <wp:effectExtent l="0" t="0" r="0" b="9525"/>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95750" cy="2981325"/>
                    </a:xfrm>
                    <a:prstGeom prst="rect">
                      <a:avLst/>
                    </a:prstGeom>
                    <a:noFill/>
                    <a:ln>
                      <a:noFill/>
                    </a:ln>
                  </pic:spPr>
                </pic:pic>
              </a:graphicData>
            </a:graphic>
          </wp:inline>
        </w:drawing>
      </w:r>
    </w:p>
    <w:p w14:paraId="5E7AE774" w14:textId="5EE0EEFC"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lastRenderedPageBreak/>
        <w:t xml:space="preserve">En el periodo de análisis, la matrícula a educación inicial para el grupo con mayores ingresos (quintil V), fue más elevada en comparación con el grupo del quintil inferior, hasta el año 2019. La brecha entre ambos quintiles se fue acortando anualmente, pasando de 20 puntos porcentuales en 2012 hasta una diferencia de 10 pp. en el 2019, donde más del 90% de niñas/os del quintil superior de riqueza estaban enrolados a la educación inicial y el 80% de sus partes pertenecientes al quintil inferior se encontraban en la misma situación. En el año 2020, por contexto de pandemia, la tasa de matrícula inicial cayó por debajo del 75%, reduciendo la brecha de nivel socioeconómico a </w:t>
      </w:r>
      <w:r w:rsidR="000C33A1">
        <w:rPr>
          <w:rFonts w:ascii="Open Sans Light" w:eastAsia="Open Sans Light" w:hAnsi="Open Sans Light" w:cs="Open Sans Light"/>
          <w:color w:val="000000"/>
          <w:sz w:val="24"/>
          <w:szCs w:val="24"/>
        </w:rPr>
        <w:t>-3%</w:t>
      </w:r>
      <w:r>
        <w:rPr>
          <w:rFonts w:ascii="Open Sans Light" w:eastAsia="Open Sans Light" w:hAnsi="Open Sans Light" w:cs="Open Sans Light"/>
          <w:color w:val="000000"/>
          <w:sz w:val="24"/>
          <w:szCs w:val="24"/>
        </w:rPr>
        <w:t xml:space="preserve">. </w:t>
      </w:r>
    </w:p>
    <w:p w14:paraId="2C0E415B" w14:textId="77777777" w:rsidR="002E39FC" w:rsidRDefault="002E39FC" w:rsidP="002E39FC">
      <w:pPr>
        <w:spacing w:after="0" w:line="240" w:lineRule="auto"/>
        <w:jc w:val="center"/>
        <w:rPr>
          <w:rFonts w:ascii="Open Sans Light" w:eastAsia="Open Sans Light" w:hAnsi="Open Sans Light" w:cs="Open Sans Light"/>
          <w:b/>
          <w:color w:val="000000"/>
          <w:sz w:val="20"/>
          <w:szCs w:val="20"/>
        </w:rPr>
      </w:pPr>
    </w:p>
    <w:p w14:paraId="39EE0F55" w14:textId="24759E32" w:rsidR="002E39FC" w:rsidRDefault="002E39FC" w:rsidP="002E39FC">
      <w:pPr>
        <w:jc w:val="both"/>
        <w:rPr>
          <w:rFonts w:ascii="Open Sans Light" w:eastAsia="Open Sans Light" w:hAnsi="Open Sans Light" w:cs="Open Sans Light"/>
          <w:sz w:val="24"/>
          <w:szCs w:val="24"/>
        </w:rPr>
      </w:pPr>
      <w:r>
        <w:rPr>
          <w:rFonts w:ascii="Open Sans Light" w:eastAsia="Open Sans Light" w:hAnsi="Open Sans Light" w:cs="Open Sans Light"/>
          <w:sz w:val="24"/>
          <w:szCs w:val="24"/>
        </w:rPr>
        <w:t xml:space="preserve">Por área geográfica, en el último año 2020, la matrícula inicial en el área rural se ha reducido ligeramente hasta un 80%, con lo cual ha superado por primera vez desde el año 2012 a la tasa en zonas urbanas (72.2%). </w:t>
      </w:r>
      <w:r w:rsidRPr="00A61DFC">
        <w:rPr>
          <w:rFonts w:ascii="Open Sans Light" w:eastAsia="Open Sans Light" w:hAnsi="Open Sans Light" w:cs="Open Sans Light"/>
          <w:sz w:val="24"/>
          <w:szCs w:val="24"/>
        </w:rPr>
        <w:t xml:space="preserve">Del 2019 hacia atrás, esta brecha que posicionaba una mayor matrícula inicial en el ámbito urbano fue acortándose progresivamente por el rápido incremento </w:t>
      </w:r>
      <w:r w:rsidR="009C7BE8" w:rsidRPr="00A61DFC">
        <w:rPr>
          <w:rFonts w:ascii="Open Sans Light" w:eastAsia="Open Sans Light" w:hAnsi="Open Sans Light" w:cs="Open Sans Light"/>
          <w:sz w:val="24"/>
          <w:szCs w:val="24"/>
        </w:rPr>
        <w:t xml:space="preserve">de la matrícula </w:t>
      </w:r>
      <w:r w:rsidRPr="00A61DFC">
        <w:rPr>
          <w:rFonts w:ascii="Open Sans Light" w:eastAsia="Open Sans Light" w:hAnsi="Open Sans Light" w:cs="Open Sans Light"/>
          <w:sz w:val="24"/>
          <w:szCs w:val="24"/>
        </w:rPr>
        <w:t xml:space="preserve">en zonas rurales, logrando incluso alcanzarla </w:t>
      </w:r>
      <w:r w:rsidR="009C7BE8" w:rsidRPr="00A61DFC">
        <w:rPr>
          <w:rFonts w:ascii="Open Sans Light" w:eastAsia="Open Sans Light" w:hAnsi="Open Sans Light" w:cs="Open Sans Light"/>
          <w:sz w:val="24"/>
          <w:szCs w:val="24"/>
        </w:rPr>
        <w:t xml:space="preserve">o superarla </w:t>
      </w:r>
      <w:r w:rsidRPr="00A61DFC">
        <w:rPr>
          <w:rFonts w:ascii="Open Sans Light" w:eastAsia="Open Sans Light" w:hAnsi="Open Sans Light" w:cs="Open Sans Light"/>
          <w:sz w:val="24"/>
          <w:szCs w:val="24"/>
        </w:rPr>
        <w:t>entre los años 2015 y 2016</w:t>
      </w:r>
      <w:r w:rsidR="009C7BE8" w:rsidRPr="00A61DFC">
        <w:rPr>
          <w:rFonts w:ascii="Open Sans Light" w:eastAsia="Open Sans Light" w:hAnsi="Open Sans Light" w:cs="Open Sans Light"/>
          <w:sz w:val="24"/>
          <w:szCs w:val="24"/>
        </w:rPr>
        <w:t xml:space="preserve">. Para 2019 la brecha entre las áreas urbano y rural volvió a hacerse positiva, en favor del área urbana; y en el 2020 se hizo negativa, en favor esta vez del área rural. </w:t>
      </w:r>
      <w:r w:rsidRPr="00A61DFC">
        <w:rPr>
          <w:rFonts w:ascii="Open Sans Light" w:eastAsia="Open Sans Light" w:hAnsi="Open Sans Light" w:cs="Open Sans Light"/>
          <w:sz w:val="24"/>
          <w:szCs w:val="24"/>
        </w:rPr>
        <w:t xml:space="preserve">  </w:t>
      </w:r>
    </w:p>
    <w:p w14:paraId="7CCF1075" w14:textId="4011CB09" w:rsidR="002E39FC" w:rsidRDefault="002E39FC" w:rsidP="002E39FC">
      <w:pPr>
        <w:jc w:val="center"/>
        <w:rPr>
          <w:rFonts w:ascii="Open Sans Light" w:eastAsia="Open Sans Light" w:hAnsi="Open Sans Light" w:cs="Open Sans Light"/>
          <w:color w:val="000000"/>
          <w:sz w:val="24"/>
          <w:szCs w:val="24"/>
        </w:rPr>
      </w:pPr>
      <w:r>
        <w:rPr>
          <w:rFonts w:ascii="Open Sans Light" w:eastAsia="Open Sans Light" w:hAnsi="Open Sans Light" w:cs="Open Sans Light"/>
          <w:noProof/>
          <w:color w:val="000000"/>
          <w:sz w:val="24"/>
          <w:szCs w:val="24"/>
          <w:lang w:val="en-GB" w:eastAsia="en-GB"/>
        </w:rPr>
        <w:drawing>
          <wp:inline distT="0" distB="0" distL="0" distR="0" wp14:anchorId="7419C882" wp14:editId="4CD91BF1">
            <wp:extent cx="4343400" cy="3152775"/>
            <wp:effectExtent l="0" t="0" r="0" b="952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43400" cy="3152775"/>
                    </a:xfrm>
                    <a:prstGeom prst="rect">
                      <a:avLst/>
                    </a:prstGeom>
                    <a:noFill/>
                    <a:ln>
                      <a:noFill/>
                    </a:ln>
                  </pic:spPr>
                </pic:pic>
              </a:graphicData>
            </a:graphic>
          </wp:inline>
        </w:drawing>
      </w:r>
    </w:p>
    <w:p w14:paraId="4B994080" w14:textId="77777777" w:rsidR="002E39FC" w:rsidRDefault="002E39FC" w:rsidP="002E39FC">
      <w:pPr>
        <w:jc w:val="both"/>
        <w:rPr>
          <w:rFonts w:ascii="Open Sans Light" w:eastAsia="Open Sans Light" w:hAnsi="Open Sans Light" w:cs="Open Sans Light"/>
          <w:sz w:val="24"/>
          <w:szCs w:val="24"/>
        </w:rPr>
      </w:pPr>
      <w:r>
        <w:rPr>
          <w:rFonts w:ascii="Open Sans Light" w:eastAsia="Open Sans Light" w:hAnsi="Open Sans Light" w:cs="Open Sans Light"/>
          <w:sz w:val="24"/>
          <w:szCs w:val="24"/>
        </w:rPr>
        <w:t xml:space="preserve">Una situación similar sucede cuando se compara la situación de la matrícula inicial entre hombres y mujeres. Si bien la diferencia entre ambos grupos es mínima durante todo el periodo analizado, entre 2012 y 2019, la ventaja estaba ligeramente a favor de las mujeres, con una tasa de enrolamiento del 85% </w:t>
      </w:r>
      <w:r>
        <w:rPr>
          <w:rFonts w:ascii="Open Sans Light" w:eastAsia="Open Sans Light" w:hAnsi="Open Sans Light" w:cs="Open Sans Light"/>
          <w:sz w:val="24"/>
          <w:szCs w:val="24"/>
        </w:rPr>
        <w:lastRenderedPageBreak/>
        <w:t>(superior en 2 pp. a la de los varones), pero que, a causa del cierre de escuelas en el 2020 generó una caída más pronunciada en la matrícula a nivel inicial que para el caso de sus pares varones. Con ello, la brecha de género se invirtió en perjuicio de las niñas de 3 a 5 años matriculadas, quienes conforman el 73% del total (en comparación al 75.5% de niños matriculados en el nivel inicial).</w:t>
      </w:r>
    </w:p>
    <w:p w14:paraId="514C5E71" w14:textId="60130089" w:rsidR="002E39FC" w:rsidRDefault="002E39FC" w:rsidP="002E39FC">
      <w:pPr>
        <w:jc w:val="center"/>
      </w:pPr>
      <w:r>
        <w:rPr>
          <w:noProof/>
          <w:lang w:val="en-GB" w:eastAsia="en-GB"/>
        </w:rPr>
        <w:drawing>
          <wp:inline distT="0" distB="0" distL="0" distR="0" wp14:anchorId="1C2E2AA0" wp14:editId="575E84A1">
            <wp:extent cx="4219575" cy="3067050"/>
            <wp:effectExtent l="0" t="0" r="9525"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19575" cy="3067050"/>
                    </a:xfrm>
                    <a:prstGeom prst="rect">
                      <a:avLst/>
                    </a:prstGeom>
                    <a:noFill/>
                    <a:ln>
                      <a:noFill/>
                    </a:ln>
                  </pic:spPr>
                </pic:pic>
              </a:graphicData>
            </a:graphic>
          </wp:inline>
        </w:drawing>
      </w:r>
    </w:p>
    <w:p w14:paraId="79CFFD1F" w14:textId="77777777" w:rsidR="002E39FC" w:rsidRDefault="002E39FC" w:rsidP="002E39FC">
      <w:pPr>
        <w:jc w:val="both"/>
      </w:pPr>
      <w:r>
        <w:rPr>
          <w:rFonts w:ascii="Open Sans Light" w:eastAsia="Open Sans Light" w:hAnsi="Open Sans Light" w:cs="Open Sans Light"/>
          <w:sz w:val="24"/>
          <w:szCs w:val="24"/>
        </w:rPr>
        <w:t xml:space="preserve">Por departamentos, Huancavelica se encuentra liderando la tasa de matrícula en inicial con más del 90% de sus niñas/os enrolados al nivel inicial; en tanto que el peor desempeño se presenta en la región de Junín, con menos del 60%. </w:t>
      </w:r>
    </w:p>
    <w:p w14:paraId="3B2E99EE" w14:textId="51366C76" w:rsidR="002E39FC" w:rsidRDefault="00EB16AC" w:rsidP="002E39FC">
      <w:pPr>
        <w:jc w:val="center"/>
      </w:pPr>
      <w:r w:rsidRPr="00EB16AC">
        <w:rPr>
          <w:noProof/>
          <w:lang w:val="en-GB" w:eastAsia="en-GB"/>
        </w:rPr>
        <w:lastRenderedPageBreak/>
        <w:drawing>
          <wp:inline distT="0" distB="0" distL="0" distR="0" wp14:anchorId="59FAD55E" wp14:editId="3BA7F817">
            <wp:extent cx="5240592" cy="3806283"/>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45315" cy="3809713"/>
                    </a:xfrm>
                    <a:prstGeom prst="rect">
                      <a:avLst/>
                    </a:prstGeom>
                    <a:noFill/>
                    <a:ln>
                      <a:noFill/>
                    </a:ln>
                  </pic:spPr>
                </pic:pic>
              </a:graphicData>
            </a:graphic>
          </wp:inline>
        </w:drawing>
      </w:r>
      <w:r w:rsidR="002E39FC">
        <w:t xml:space="preserve"> </w:t>
      </w:r>
    </w:p>
    <w:p w14:paraId="05D4091F" w14:textId="77777777" w:rsidR="002E39FC" w:rsidRDefault="002E39FC" w:rsidP="002E39FC">
      <w:pPr>
        <w:rPr>
          <w:rFonts w:ascii="Open Sans Light" w:eastAsia="Open Sans Light" w:hAnsi="Open Sans Light" w:cs="Open Sans Light"/>
          <w:color w:val="000000"/>
          <w:sz w:val="24"/>
          <w:szCs w:val="24"/>
        </w:rPr>
      </w:pPr>
    </w:p>
    <w:p w14:paraId="326E8C94"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5. Niñas y niños de 6 a 11 años de edad acceden y concluyen en la edad normativa una educación primaria de calidad, intercultural, inclusiva, con cultura ambiental y libre de violencia</w:t>
      </w:r>
    </w:p>
    <w:p w14:paraId="5613EAF2"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5529364E" w14:textId="585A2304" w:rsidR="002E39FC" w:rsidRPr="00A61DFC" w:rsidRDefault="002E39FC" w:rsidP="002E39FC">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Este resultado se mide a través de los indicadores de suficiencia en el logro de competencias en comprensión lectora y matemática en los estudiantes de segundo grado de primaria, obtenidos de la Encuesta Censal de Estudiantes </w:t>
      </w:r>
      <w:r w:rsidR="007B1933" w:rsidRPr="00A61DFC">
        <w:rPr>
          <w:rFonts w:ascii="Open Sans Light" w:eastAsia="Open Sans Light" w:hAnsi="Open Sans Light" w:cs="Open Sans Light"/>
          <w:sz w:val="24"/>
          <w:szCs w:val="24"/>
        </w:rPr>
        <w:t xml:space="preserve">(ECE) </w:t>
      </w:r>
      <w:r w:rsidRPr="00A61DFC">
        <w:rPr>
          <w:rFonts w:ascii="Open Sans Light" w:eastAsia="Open Sans Light" w:hAnsi="Open Sans Light" w:cs="Open Sans Light"/>
          <w:sz w:val="24"/>
          <w:szCs w:val="24"/>
        </w:rPr>
        <w:t xml:space="preserve">ejecutada por el MINEDU anualmente. </w:t>
      </w:r>
      <w:r w:rsidR="007B1933" w:rsidRPr="00A61DFC">
        <w:rPr>
          <w:rFonts w:ascii="Open Sans Light" w:eastAsia="Open Sans Light" w:hAnsi="Open Sans Light" w:cs="Open Sans Light"/>
          <w:sz w:val="24"/>
          <w:szCs w:val="24"/>
        </w:rPr>
        <w:t xml:space="preserve">Sin embargo, entre </w:t>
      </w:r>
      <w:r w:rsidRPr="00A61DFC">
        <w:rPr>
          <w:rFonts w:ascii="Open Sans Light" w:eastAsia="Open Sans Light" w:hAnsi="Open Sans Light" w:cs="Open Sans Light"/>
          <w:sz w:val="24"/>
          <w:szCs w:val="24"/>
        </w:rPr>
        <w:t xml:space="preserve">los años 2017 y 2020 no se desarrolló la ECE, por lo que no existe información disponible. </w:t>
      </w:r>
    </w:p>
    <w:p w14:paraId="291539DC"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2E597980" w14:textId="77777777" w:rsidR="002E39FC" w:rsidRDefault="002E39FC" w:rsidP="002E39FC">
      <w:pPr>
        <w:spacing w:after="0" w:line="240" w:lineRule="auto"/>
        <w:jc w:val="both"/>
        <w:rPr>
          <w:rFonts w:ascii="Open Sans Light" w:eastAsia="Open Sans Light" w:hAnsi="Open Sans Light" w:cs="Open Sans Light"/>
          <w:b/>
          <w:bCs/>
          <w:color w:val="000000"/>
          <w:sz w:val="24"/>
          <w:szCs w:val="24"/>
        </w:rPr>
      </w:pPr>
      <w:r>
        <w:rPr>
          <w:rFonts w:ascii="Open Sans Light" w:eastAsia="Open Sans Light" w:hAnsi="Open Sans Light" w:cs="Open Sans Light"/>
          <w:b/>
          <w:bCs/>
          <w:color w:val="000000"/>
          <w:sz w:val="24"/>
          <w:szCs w:val="24"/>
        </w:rPr>
        <w:t>Resultados en comprensión lectora</w:t>
      </w:r>
    </w:p>
    <w:p w14:paraId="3996EF67"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6E6B1C54" w14:textId="105572AC" w:rsidR="002E39FC" w:rsidRPr="00A61DFC" w:rsidRDefault="002E39FC" w:rsidP="002E39FC">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Al cierre del 2021 se esperaba lograr que el 70% de estudiantes de segundo grado de primaria, alcanzara un nivel suficiente en comprensión de textos y matemática. Según las proyecciones realizadas para el 2021, 2 de cada 5 estudiantes de segundo grado de primaria comprenden lo que leen, </w:t>
      </w:r>
      <w:r w:rsidR="007B1933" w:rsidRPr="00A61DFC">
        <w:rPr>
          <w:rFonts w:ascii="Open Sans Light" w:eastAsia="Open Sans Light" w:hAnsi="Open Sans Light" w:cs="Open Sans Light"/>
          <w:sz w:val="24"/>
          <w:szCs w:val="24"/>
        </w:rPr>
        <w:t xml:space="preserve">significando la existencia de una brecha de más de 30 puntos porcentuales respecto a la meta. </w:t>
      </w:r>
    </w:p>
    <w:p w14:paraId="1E2AC185"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694EE0A8" w14:textId="4BD7D5E7" w:rsidR="002E39FC" w:rsidRDefault="00575D2F" w:rsidP="002E39FC">
      <w:pPr>
        <w:spacing w:after="0" w:line="240" w:lineRule="auto"/>
        <w:jc w:val="center"/>
        <w:rPr>
          <w:rFonts w:ascii="Open Sans Light" w:eastAsia="Open Sans Light" w:hAnsi="Open Sans Light" w:cs="Open Sans Light"/>
          <w:color w:val="000000"/>
          <w:sz w:val="24"/>
          <w:szCs w:val="24"/>
        </w:rPr>
      </w:pPr>
      <w:r w:rsidRPr="00575D2F">
        <w:rPr>
          <w:rFonts w:ascii="Open Sans Light" w:eastAsia="Open Sans Light" w:hAnsi="Open Sans Light" w:cs="Open Sans Light"/>
          <w:noProof/>
          <w:color w:val="000000"/>
          <w:sz w:val="24"/>
          <w:szCs w:val="24"/>
          <w:lang w:val="en-GB" w:eastAsia="en-GB"/>
        </w:rPr>
        <w:lastRenderedPageBreak/>
        <w:drawing>
          <wp:inline distT="0" distB="0" distL="0" distR="0" wp14:anchorId="2E74BC0B" wp14:editId="78F598C0">
            <wp:extent cx="4348975" cy="3158695"/>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55471" cy="3163413"/>
                    </a:xfrm>
                    <a:prstGeom prst="rect">
                      <a:avLst/>
                    </a:prstGeom>
                    <a:noFill/>
                    <a:ln>
                      <a:noFill/>
                    </a:ln>
                  </pic:spPr>
                </pic:pic>
              </a:graphicData>
            </a:graphic>
          </wp:inline>
        </w:drawing>
      </w:r>
    </w:p>
    <w:p w14:paraId="120D88F7" w14:textId="4B042552" w:rsidR="002E39FC" w:rsidRPr="00535782" w:rsidRDefault="002E39FC" w:rsidP="002E39FC">
      <w:pPr>
        <w:spacing w:after="0" w:line="240" w:lineRule="auto"/>
        <w:jc w:val="both"/>
        <w:rPr>
          <w:rFonts w:ascii="Open Sans Light" w:eastAsia="Open Sans Light" w:hAnsi="Open Sans Light" w:cs="Open Sans Light"/>
          <w:bCs/>
          <w:color w:val="000000"/>
          <w:sz w:val="24"/>
          <w:szCs w:val="20"/>
        </w:rPr>
      </w:pPr>
      <w:r w:rsidRPr="00535782">
        <w:rPr>
          <w:rFonts w:ascii="Open Sans Light" w:eastAsia="Open Sans Light" w:hAnsi="Open Sans Light" w:cs="Open Sans Light"/>
          <w:bCs/>
          <w:color w:val="000000"/>
          <w:sz w:val="24"/>
          <w:szCs w:val="20"/>
        </w:rPr>
        <w:t xml:space="preserve">Desde el 2012, año de inicio de la implementación del plan, las estudiantes mujeres del segundo grado que comprenden lo que leen conforman una mayor proporción que </w:t>
      </w:r>
      <w:r w:rsidR="0006725A" w:rsidRPr="00535782">
        <w:rPr>
          <w:rFonts w:ascii="Open Sans Light" w:eastAsia="Open Sans Light" w:hAnsi="Open Sans Light" w:cs="Open Sans Light"/>
          <w:bCs/>
          <w:color w:val="000000"/>
          <w:sz w:val="24"/>
          <w:szCs w:val="20"/>
        </w:rPr>
        <w:t xml:space="preserve">la de </w:t>
      </w:r>
      <w:r w:rsidRPr="00535782">
        <w:rPr>
          <w:rFonts w:ascii="Open Sans Light" w:eastAsia="Open Sans Light" w:hAnsi="Open Sans Light" w:cs="Open Sans Light"/>
          <w:bCs/>
          <w:color w:val="000000"/>
          <w:sz w:val="24"/>
          <w:szCs w:val="20"/>
        </w:rPr>
        <w:t>sus pares varones. Así, para el último año de ejecución de la ECE (2019), 2 de cada 5 mujeres alcanzaron el logro satisfactorio en competencias de comprensión de lectura, en comparación con 1 de cada 3 varones con las mismas condiciones.</w:t>
      </w:r>
    </w:p>
    <w:p w14:paraId="01D42938" w14:textId="6EEA0AB6" w:rsidR="002E39FC" w:rsidRPr="004942D5" w:rsidRDefault="002E39FC" w:rsidP="004942D5">
      <w:pPr>
        <w:spacing w:after="0" w:line="240" w:lineRule="auto"/>
        <w:jc w:val="center"/>
        <w:rPr>
          <w:rFonts w:ascii="Open Sans Light" w:eastAsia="Open Sans Light" w:hAnsi="Open Sans Light" w:cs="Open Sans Light"/>
          <w:b/>
          <w:color w:val="000000"/>
          <w:sz w:val="20"/>
          <w:szCs w:val="20"/>
        </w:rPr>
      </w:pPr>
      <w:r>
        <w:rPr>
          <w:rFonts w:ascii="Open Sans Light" w:eastAsia="Open Sans Light" w:hAnsi="Open Sans Light" w:cs="Open Sans Light"/>
          <w:b/>
          <w:noProof/>
          <w:color w:val="000000"/>
          <w:sz w:val="20"/>
          <w:szCs w:val="20"/>
          <w:lang w:val="en-GB" w:eastAsia="en-GB"/>
        </w:rPr>
        <w:drawing>
          <wp:inline distT="0" distB="0" distL="0" distR="0" wp14:anchorId="75505A1A" wp14:editId="01E57C86">
            <wp:extent cx="4248150" cy="3076575"/>
            <wp:effectExtent l="0" t="0" r="0" b="952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48150" cy="3076575"/>
                    </a:xfrm>
                    <a:prstGeom prst="rect">
                      <a:avLst/>
                    </a:prstGeom>
                    <a:noFill/>
                    <a:ln>
                      <a:noFill/>
                    </a:ln>
                  </pic:spPr>
                </pic:pic>
              </a:graphicData>
            </a:graphic>
          </wp:inline>
        </w:drawing>
      </w:r>
    </w:p>
    <w:p w14:paraId="18E1C62D" w14:textId="77777777" w:rsidR="001C0C56" w:rsidRDefault="002E39FC" w:rsidP="001C0C56">
      <w:pPr>
        <w:spacing w:after="0" w:line="240" w:lineRule="auto"/>
        <w:jc w:val="both"/>
        <w:rPr>
          <w:rFonts w:ascii="Open Sans Light" w:eastAsia="Open Sans Light" w:hAnsi="Open Sans Light" w:cs="Open Sans Light"/>
          <w:bCs/>
          <w:color w:val="000000"/>
          <w:sz w:val="24"/>
          <w:szCs w:val="20"/>
        </w:rPr>
      </w:pPr>
      <w:r w:rsidRPr="00535782">
        <w:rPr>
          <w:rFonts w:ascii="Open Sans Light" w:eastAsia="Open Sans Light" w:hAnsi="Open Sans Light" w:cs="Open Sans Light"/>
          <w:bCs/>
          <w:color w:val="000000"/>
          <w:sz w:val="24"/>
          <w:szCs w:val="20"/>
        </w:rPr>
        <w:t xml:space="preserve">El tipo de gestión de la institución puede ser un factor influyente en los resultados del logro de competencias de comprensión de lectura. Los datos indican que, durante todo el periodo de análisis, la proporción de estudiantes </w:t>
      </w:r>
      <w:r w:rsidRPr="00535782">
        <w:rPr>
          <w:rFonts w:ascii="Open Sans Light" w:eastAsia="Open Sans Light" w:hAnsi="Open Sans Light" w:cs="Open Sans Light"/>
          <w:bCs/>
          <w:color w:val="000000"/>
          <w:sz w:val="24"/>
          <w:szCs w:val="20"/>
        </w:rPr>
        <w:lastRenderedPageBreak/>
        <w:t xml:space="preserve">que comprenden lo que leen es significativamente superior cuando provienen de escuelas privadas. </w:t>
      </w:r>
    </w:p>
    <w:p w14:paraId="4A3DA7BE" w14:textId="3A58F5B2" w:rsidR="001C0C56" w:rsidRDefault="001C0C56" w:rsidP="001C0C56">
      <w:pPr>
        <w:spacing w:after="0" w:line="240" w:lineRule="auto"/>
        <w:jc w:val="center"/>
        <w:rPr>
          <w:rFonts w:ascii="Open Sans Light" w:eastAsia="Open Sans Light" w:hAnsi="Open Sans Light" w:cs="Open Sans Light"/>
          <w:bCs/>
          <w:color w:val="000000"/>
          <w:sz w:val="24"/>
          <w:szCs w:val="20"/>
        </w:rPr>
      </w:pPr>
      <w:r>
        <w:rPr>
          <w:rFonts w:ascii="Open Sans Light" w:eastAsia="Open Sans Light" w:hAnsi="Open Sans Light" w:cs="Open Sans Light"/>
          <w:noProof/>
          <w:color w:val="000000"/>
          <w:sz w:val="20"/>
          <w:szCs w:val="20"/>
          <w:lang w:val="en-GB" w:eastAsia="en-GB"/>
        </w:rPr>
        <w:drawing>
          <wp:inline distT="0" distB="0" distL="0" distR="0" wp14:anchorId="01D6870F" wp14:editId="1E07F250">
            <wp:extent cx="4057650" cy="2952750"/>
            <wp:effectExtent l="0" t="0" r="0" b="1905"/>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57650" cy="2952750"/>
                    </a:xfrm>
                    <a:prstGeom prst="rect">
                      <a:avLst/>
                    </a:prstGeom>
                    <a:noFill/>
                    <a:ln>
                      <a:noFill/>
                    </a:ln>
                  </pic:spPr>
                </pic:pic>
              </a:graphicData>
            </a:graphic>
          </wp:inline>
        </w:drawing>
      </w:r>
    </w:p>
    <w:p w14:paraId="3CE7CCA7" w14:textId="287C7913" w:rsidR="002E39FC" w:rsidRPr="001C0C56" w:rsidRDefault="002E39FC" w:rsidP="001C0C56">
      <w:pPr>
        <w:spacing w:after="0" w:line="240" w:lineRule="auto"/>
        <w:jc w:val="both"/>
        <w:rPr>
          <w:rFonts w:ascii="Open Sans Light" w:eastAsia="Open Sans Light" w:hAnsi="Open Sans Light" w:cs="Open Sans Light"/>
          <w:bCs/>
          <w:color w:val="000000"/>
          <w:sz w:val="24"/>
          <w:szCs w:val="20"/>
        </w:rPr>
      </w:pPr>
      <w:r w:rsidRPr="00535782">
        <w:rPr>
          <w:rFonts w:ascii="Open Sans Light" w:eastAsia="Open Sans Light" w:hAnsi="Open Sans Light" w:cs="Open Sans Light"/>
          <w:bCs/>
          <w:color w:val="000000"/>
          <w:sz w:val="24"/>
          <w:szCs w:val="20"/>
        </w:rPr>
        <w:t xml:space="preserve">En el 2012, mientras la mitad de los estudiantes de escuelas privadas alcanzaban el nivel satisfactorio en comprensión de textos, solo la cuarta parte de los escolares de escuela pública tenían el mismo desempeño. Hacia el 2019, la brecha se ha ido reducido por dos vías: primero, debido a que el porcentaje de estudiantes en escuelas privadas que adquieren el nivel satisfactorio se ha reducido al 47% (en 2015 llegó hasta 61%), </w:t>
      </w:r>
      <w:r w:rsidR="0006725A" w:rsidRPr="00535782">
        <w:rPr>
          <w:rFonts w:ascii="Open Sans Light" w:eastAsia="Open Sans Light" w:hAnsi="Open Sans Light" w:cs="Open Sans Light"/>
          <w:bCs/>
          <w:color w:val="000000"/>
          <w:sz w:val="24"/>
          <w:szCs w:val="20"/>
        </w:rPr>
        <w:t>y,</w:t>
      </w:r>
      <w:r w:rsidRPr="00535782">
        <w:rPr>
          <w:rFonts w:ascii="Open Sans Light" w:eastAsia="Open Sans Light" w:hAnsi="Open Sans Light" w:cs="Open Sans Light"/>
          <w:bCs/>
          <w:color w:val="000000"/>
          <w:sz w:val="24"/>
          <w:szCs w:val="20"/>
        </w:rPr>
        <w:t xml:space="preserve"> en segundo lugar, los estudiantes de IIEE públicas que mejoraron su nivel de comprensión lectora fue incrementándose, conformando, al 2019, un tercio del total de esta población.</w:t>
      </w:r>
    </w:p>
    <w:p w14:paraId="23A2F6E4" w14:textId="271E0429" w:rsidR="002E39FC" w:rsidRDefault="002E39FC" w:rsidP="002E39FC">
      <w:pPr>
        <w:spacing w:after="0" w:line="240" w:lineRule="auto"/>
        <w:jc w:val="center"/>
        <w:rPr>
          <w:rFonts w:ascii="Open Sans Light" w:eastAsia="Open Sans Light" w:hAnsi="Open Sans Light" w:cs="Open Sans Light"/>
          <w:color w:val="000000"/>
          <w:sz w:val="20"/>
          <w:szCs w:val="20"/>
        </w:rPr>
      </w:pPr>
    </w:p>
    <w:p w14:paraId="3DE64299" w14:textId="4AA7E58B" w:rsidR="002E39FC" w:rsidRPr="00535782" w:rsidRDefault="002E39FC" w:rsidP="002E39FC">
      <w:pPr>
        <w:spacing w:after="0" w:line="240" w:lineRule="auto"/>
        <w:jc w:val="both"/>
        <w:rPr>
          <w:rFonts w:ascii="Open Sans Light" w:eastAsia="Open Sans Light" w:hAnsi="Open Sans Light" w:cs="Open Sans Light"/>
          <w:bCs/>
          <w:color w:val="000000"/>
          <w:sz w:val="24"/>
          <w:szCs w:val="20"/>
        </w:rPr>
      </w:pPr>
      <w:r w:rsidRPr="00535782">
        <w:rPr>
          <w:rFonts w:ascii="Open Sans Light" w:eastAsia="Open Sans Light" w:hAnsi="Open Sans Light" w:cs="Open Sans Light"/>
          <w:bCs/>
          <w:color w:val="000000"/>
          <w:sz w:val="24"/>
          <w:szCs w:val="20"/>
        </w:rPr>
        <w:t xml:space="preserve">El área de residencia del estudiante también supone una diferencia para el logro de competencias en comprensión lectora en el segundo grado de primaria. En el 2019, el porcentaje de estudiantes de zonas urbanas que comprendían los textos era superior en más del doble (39.8%) </w:t>
      </w:r>
      <w:r w:rsidR="0006725A" w:rsidRPr="00535782">
        <w:rPr>
          <w:rFonts w:ascii="Open Sans Light" w:eastAsia="Open Sans Light" w:hAnsi="Open Sans Light" w:cs="Open Sans Light"/>
          <w:bCs/>
          <w:color w:val="000000"/>
          <w:sz w:val="24"/>
          <w:szCs w:val="20"/>
        </w:rPr>
        <w:t>a</w:t>
      </w:r>
      <w:r w:rsidRPr="00535782">
        <w:rPr>
          <w:rFonts w:ascii="Open Sans Light" w:eastAsia="Open Sans Light" w:hAnsi="Open Sans Light" w:cs="Open Sans Light"/>
          <w:bCs/>
          <w:color w:val="000000"/>
          <w:sz w:val="24"/>
          <w:szCs w:val="20"/>
        </w:rPr>
        <w:t xml:space="preserve"> los estudiantes de zonas rurales (16.7%).</w:t>
      </w:r>
    </w:p>
    <w:p w14:paraId="4595C325" w14:textId="25FD05ED" w:rsidR="002E39FC" w:rsidRDefault="002E39FC" w:rsidP="002E39FC">
      <w:pPr>
        <w:spacing w:after="0" w:line="240" w:lineRule="auto"/>
        <w:jc w:val="center"/>
        <w:rPr>
          <w:rFonts w:ascii="Open Sans Light" w:eastAsia="Open Sans Light" w:hAnsi="Open Sans Light" w:cs="Open Sans Light"/>
          <w:b/>
          <w:color w:val="000000"/>
          <w:sz w:val="20"/>
          <w:szCs w:val="20"/>
        </w:rPr>
      </w:pPr>
      <w:r>
        <w:rPr>
          <w:rFonts w:ascii="Open Sans Light" w:eastAsia="Open Sans Light" w:hAnsi="Open Sans Light" w:cs="Open Sans Light"/>
          <w:b/>
          <w:noProof/>
          <w:color w:val="000000"/>
          <w:sz w:val="20"/>
          <w:szCs w:val="20"/>
          <w:lang w:val="en-GB" w:eastAsia="en-GB"/>
        </w:rPr>
        <w:lastRenderedPageBreak/>
        <w:drawing>
          <wp:inline distT="0" distB="0" distL="0" distR="0" wp14:anchorId="05D8582D" wp14:editId="4A5E7D62">
            <wp:extent cx="4324350" cy="3143250"/>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4350" cy="3143250"/>
                    </a:xfrm>
                    <a:prstGeom prst="rect">
                      <a:avLst/>
                    </a:prstGeom>
                    <a:noFill/>
                    <a:ln>
                      <a:noFill/>
                    </a:ln>
                  </pic:spPr>
                </pic:pic>
              </a:graphicData>
            </a:graphic>
          </wp:inline>
        </w:drawing>
      </w:r>
    </w:p>
    <w:p w14:paraId="1D6C3AEF" w14:textId="1B87AADA" w:rsidR="002E39FC" w:rsidRPr="00535782" w:rsidRDefault="002E39FC" w:rsidP="002E39FC">
      <w:pPr>
        <w:spacing w:after="0" w:line="240" w:lineRule="auto"/>
        <w:jc w:val="both"/>
        <w:rPr>
          <w:rFonts w:ascii="Open Sans Light" w:eastAsia="Open Sans Light" w:hAnsi="Open Sans Light" w:cs="Open Sans Light"/>
          <w:bCs/>
          <w:color w:val="000000"/>
          <w:sz w:val="24"/>
          <w:szCs w:val="20"/>
        </w:rPr>
      </w:pPr>
      <w:r w:rsidRPr="00535782">
        <w:rPr>
          <w:rFonts w:ascii="Open Sans Light" w:eastAsia="Open Sans Light" w:hAnsi="Open Sans Light" w:cs="Open Sans Light"/>
          <w:bCs/>
          <w:color w:val="000000"/>
          <w:sz w:val="24"/>
          <w:szCs w:val="20"/>
        </w:rPr>
        <w:t xml:space="preserve">Una situación muy similar ocurre cuando la escuela es </w:t>
      </w:r>
      <w:r w:rsidRPr="00EF0CCC">
        <w:rPr>
          <w:rFonts w:ascii="Open Sans Light" w:eastAsia="Open Sans Light" w:hAnsi="Open Sans Light" w:cs="Open Sans Light"/>
          <w:bCs/>
          <w:color w:val="000000"/>
          <w:sz w:val="24"/>
          <w:szCs w:val="20"/>
        </w:rPr>
        <w:t>polidocente</w:t>
      </w:r>
      <w:r w:rsidR="00EF0CCC">
        <w:rPr>
          <w:rFonts w:ascii="Open Sans Light" w:eastAsia="Open Sans Light" w:hAnsi="Open Sans Light" w:cs="Open Sans Light"/>
          <w:bCs/>
          <w:color w:val="000000"/>
          <w:sz w:val="24"/>
          <w:szCs w:val="20"/>
        </w:rPr>
        <w:t>,</w:t>
      </w:r>
      <w:r w:rsidRPr="00535782">
        <w:rPr>
          <w:rFonts w:ascii="Open Sans Light" w:eastAsia="Open Sans Light" w:hAnsi="Open Sans Light" w:cs="Open Sans Light"/>
          <w:bCs/>
          <w:color w:val="000000"/>
          <w:sz w:val="24"/>
          <w:szCs w:val="20"/>
        </w:rPr>
        <w:t xml:space="preserve"> en comparación con las escuelas unidocentes o multigrado</w:t>
      </w:r>
      <w:r w:rsidR="00EF0CCC">
        <w:rPr>
          <w:rFonts w:ascii="Open Sans Light" w:eastAsia="Open Sans Light" w:hAnsi="Open Sans Light" w:cs="Open Sans Light"/>
          <w:bCs/>
          <w:color w:val="000000"/>
          <w:sz w:val="24"/>
          <w:szCs w:val="20"/>
        </w:rPr>
        <w:t>;</w:t>
      </w:r>
      <w:r w:rsidRPr="00535782">
        <w:rPr>
          <w:rFonts w:ascii="Open Sans Light" w:eastAsia="Open Sans Light" w:hAnsi="Open Sans Light" w:cs="Open Sans Light"/>
          <w:bCs/>
          <w:color w:val="000000"/>
          <w:sz w:val="24"/>
          <w:szCs w:val="20"/>
        </w:rPr>
        <w:t xml:space="preserve"> los estudiantes de escuelas polidocentes con suficiencia en comprensión lectora superan en más del doble al otro grupo. Cabe señalar que entre 2012 y 2019 el grupo de estudiantes de escuela unidocente o multigrado se ha incrementado casi de manera sostenida, en más de 10 puntos porcentuales. </w:t>
      </w:r>
    </w:p>
    <w:p w14:paraId="5C1DAA28" w14:textId="77777777" w:rsidR="002E39FC" w:rsidRDefault="002E39FC" w:rsidP="002E39FC">
      <w:pPr>
        <w:spacing w:after="0" w:line="240" w:lineRule="auto"/>
        <w:jc w:val="both"/>
        <w:rPr>
          <w:rFonts w:ascii="Open Sans Light" w:eastAsia="Open Sans Light" w:hAnsi="Open Sans Light" w:cs="Open Sans Light"/>
          <w:bCs/>
          <w:color w:val="000000"/>
          <w:sz w:val="20"/>
          <w:szCs w:val="20"/>
        </w:rPr>
      </w:pPr>
    </w:p>
    <w:p w14:paraId="7915975F" w14:textId="6D940261" w:rsidR="002E39FC" w:rsidRDefault="002E39FC" w:rsidP="002E39FC">
      <w:pPr>
        <w:spacing w:after="0" w:line="240" w:lineRule="auto"/>
        <w:jc w:val="center"/>
        <w:rPr>
          <w:rFonts w:ascii="Open Sans Light" w:eastAsia="Open Sans Light" w:hAnsi="Open Sans Light" w:cs="Open Sans Light"/>
          <w:b/>
          <w:color w:val="000000"/>
          <w:sz w:val="20"/>
          <w:szCs w:val="20"/>
        </w:rPr>
      </w:pPr>
      <w:r>
        <w:rPr>
          <w:rFonts w:ascii="Open Sans Light" w:eastAsia="Open Sans Light" w:hAnsi="Open Sans Light" w:cs="Open Sans Light"/>
          <w:b/>
          <w:noProof/>
          <w:color w:val="000000"/>
          <w:sz w:val="20"/>
          <w:szCs w:val="20"/>
          <w:lang w:val="en-GB" w:eastAsia="en-GB"/>
        </w:rPr>
        <w:lastRenderedPageBreak/>
        <w:drawing>
          <wp:inline distT="0" distB="0" distL="0" distR="0" wp14:anchorId="57BB797B" wp14:editId="136AC98E">
            <wp:extent cx="3619500" cy="2628900"/>
            <wp:effectExtent l="0" t="0" r="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19500" cy="2628900"/>
                    </a:xfrm>
                    <a:prstGeom prst="rect">
                      <a:avLst/>
                    </a:prstGeom>
                    <a:noFill/>
                    <a:ln>
                      <a:noFill/>
                    </a:ln>
                  </pic:spPr>
                </pic:pic>
              </a:graphicData>
            </a:graphic>
          </wp:inline>
        </w:drawing>
      </w:r>
      <w:r w:rsidR="00535782" w:rsidRPr="00EA0B0A">
        <w:rPr>
          <w:rFonts w:ascii="Open Sans Light" w:eastAsia="Open Sans Light" w:hAnsi="Open Sans Light" w:cs="Open Sans Light"/>
          <w:b/>
          <w:noProof/>
          <w:color w:val="000000"/>
          <w:sz w:val="20"/>
          <w:szCs w:val="20"/>
          <w:lang w:val="en-GB" w:eastAsia="en-GB"/>
        </w:rPr>
        <w:drawing>
          <wp:inline distT="0" distB="0" distL="0" distR="0" wp14:anchorId="622C4649" wp14:editId="0F7D064E">
            <wp:extent cx="5400040" cy="3922153"/>
            <wp:effectExtent l="0" t="0" r="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3922153"/>
                    </a:xfrm>
                    <a:prstGeom prst="rect">
                      <a:avLst/>
                    </a:prstGeom>
                    <a:noFill/>
                    <a:ln>
                      <a:noFill/>
                    </a:ln>
                  </pic:spPr>
                </pic:pic>
              </a:graphicData>
            </a:graphic>
          </wp:inline>
        </w:drawing>
      </w:r>
    </w:p>
    <w:p w14:paraId="4C5D055B" w14:textId="77777777" w:rsidR="002E39FC" w:rsidRDefault="002E39FC" w:rsidP="002E39FC">
      <w:pPr>
        <w:spacing w:after="0" w:line="240" w:lineRule="auto"/>
        <w:rPr>
          <w:rFonts w:ascii="Open Sans Light" w:eastAsia="Open Sans Light" w:hAnsi="Open Sans Light" w:cs="Open Sans Light"/>
          <w:b/>
          <w:color w:val="000000"/>
          <w:sz w:val="20"/>
          <w:szCs w:val="20"/>
        </w:rPr>
      </w:pPr>
    </w:p>
    <w:p w14:paraId="27A358FD" w14:textId="55C1EA0E" w:rsidR="002E39FC" w:rsidRPr="00535782" w:rsidRDefault="002E39FC" w:rsidP="00535782">
      <w:pPr>
        <w:spacing w:after="0" w:line="240" w:lineRule="auto"/>
        <w:jc w:val="both"/>
        <w:rPr>
          <w:rFonts w:ascii="Open Sans Light" w:eastAsia="Open Sans Light" w:hAnsi="Open Sans Light" w:cs="Open Sans Light"/>
          <w:bCs/>
          <w:color w:val="000000"/>
          <w:sz w:val="24"/>
          <w:szCs w:val="20"/>
        </w:rPr>
      </w:pPr>
      <w:r w:rsidRPr="00535782">
        <w:rPr>
          <w:rFonts w:ascii="Open Sans Light" w:eastAsia="Open Sans Light" w:hAnsi="Open Sans Light" w:cs="Open Sans Light"/>
          <w:bCs/>
          <w:color w:val="000000"/>
          <w:sz w:val="24"/>
          <w:szCs w:val="20"/>
        </w:rPr>
        <w:t xml:space="preserve">Al desagregar los datos más actualizados por regiones, destaca el mejor desempeño de los estudiantes de las regiones de la costa sur: Tacna (59.1%), Moquegua (52.1%) y Arequipa (52%), con más de la mitad de su población de segundo grado de primaria que alcanza un logro satisfactorio en las competencias de comprensión lectora. </w:t>
      </w:r>
      <w:r w:rsidR="006F7A9A" w:rsidRPr="00535782">
        <w:rPr>
          <w:rFonts w:ascii="Open Sans Light" w:eastAsia="Open Sans Light" w:hAnsi="Open Sans Light" w:cs="Open Sans Light"/>
          <w:bCs/>
          <w:color w:val="000000"/>
          <w:sz w:val="24"/>
          <w:szCs w:val="20"/>
        </w:rPr>
        <w:t>Por otro lado,</w:t>
      </w:r>
      <w:r w:rsidRPr="00535782">
        <w:rPr>
          <w:rFonts w:ascii="Open Sans Light" w:eastAsia="Open Sans Light" w:hAnsi="Open Sans Light" w:cs="Open Sans Light"/>
          <w:bCs/>
          <w:color w:val="000000"/>
          <w:sz w:val="24"/>
          <w:szCs w:val="20"/>
        </w:rPr>
        <w:t xml:space="preserve"> la situación más crítica se encuentra en la selva peruana, donde Loreto (11.4%), Ucayali (17.9%) y Madre de Dios (25.6%) reportan las tasas más bajas de comprensión lectora de su población estudiantil.</w:t>
      </w:r>
    </w:p>
    <w:p w14:paraId="62DEBC47" w14:textId="3F09B55C" w:rsidR="002E39FC" w:rsidRDefault="002E39FC" w:rsidP="00CD510D">
      <w:pPr>
        <w:spacing w:after="0" w:line="240" w:lineRule="auto"/>
        <w:rPr>
          <w:rFonts w:ascii="Open Sans Light" w:eastAsia="Open Sans Light" w:hAnsi="Open Sans Light" w:cs="Open Sans Light"/>
          <w:b/>
          <w:color w:val="000000"/>
          <w:sz w:val="20"/>
          <w:szCs w:val="20"/>
        </w:rPr>
      </w:pPr>
    </w:p>
    <w:p w14:paraId="15E9CF1B" w14:textId="77777777" w:rsidR="002E39FC" w:rsidRDefault="002E39FC" w:rsidP="002E39FC">
      <w:pPr>
        <w:spacing w:after="0" w:line="240" w:lineRule="auto"/>
        <w:jc w:val="center"/>
        <w:rPr>
          <w:rFonts w:ascii="Open Sans Light" w:eastAsia="Open Sans Light" w:hAnsi="Open Sans Light" w:cs="Open Sans Light"/>
          <w:b/>
          <w:color w:val="000000"/>
          <w:sz w:val="20"/>
          <w:szCs w:val="20"/>
        </w:rPr>
      </w:pPr>
    </w:p>
    <w:p w14:paraId="45BAF415" w14:textId="77777777" w:rsidR="002E39FC" w:rsidRDefault="002E39FC" w:rsidP="002E39FC">
      <w:pPr>
        <w:spacing w:after="0" w:line="240" w:lineRule="auto"/>
        <w:jc w:val="both"/>
        <w:rPr>
          <w:rFonts w:ascii="Open Sans Light" w:eastAsia="Open Sans Light" w:hAnsi="Open Sans Light" w:cs="Open Sans Light"/>
          <w:b/>
          <w:bCs/>
          <w:color w:val="000000"/>
          <w:sz w:val="24"/>
          <w:szCs w:val="24"/>
        </w:rPr>
      </w:pPr>
      <w:r>
        <w:rPr>
          <w:rFonts w:ascii="Open Sans Light" w:eastAsia="Open Sans Light" w:hAnsi="Open Sans Light" w:cs="Open Sans Light"/>
          <w:b/>
          <w:bCs/>
          <w:color w:val="000000"/>
          <w:sz w:val="24"/>
          <w:szCs w:val="24"/>
        </w:rPr>
        <w:t>Resultados en matemáticas</w:t>
      </w:r>
    </w:p>
    <w:p w14:paraId="3032A917" w14:textId="77777777" w:rsidR="002E39FC" w:rsidRDefault="002E39FC" w:rsidP="002E39FC">
      <w:pPr>
        <w:spacing w:after="0" w:line="240" w:lineRule="auto"/>
        <w:rPr>
          <w:rFonts w:ascii="Open Sans Light" w:eastAsia="Open Sans Light" w:hAnsi="Open Sans Light" w:cs="Open Sans Light"/>
          <w:color w:val="000000"/>
          <w:sz w:val="20"/>
          <w:szCs w:val="20"/>
        </w:rPr>
      </w:pPr>
    </w:p>
    <w:p w14:paraId="228D9A91" w14:textId="6BA3788D" w:rsidR="002E39FC" w:rsidRPr="00F535B6" w:rsidRDefault="002E39FC" w:rsidP="002E39FC">
      <w:pPr>
        <w:spacing w:after="0" w:line="240" w:lineRule="auto"/>
        <w:jc w:val="both"/>
        <w:rPr>
          <w:rFonts w:ascii="Open Sans Light" w:eastAsia="Open Sans Light" w:hAnsi="Open Sans Light" w:cs="Open Sans Light"/>
          <w:color w:val="00B050"/>
          <w:sz w:val="24"/>
          <w:szCs w:val="24"/>
        </w:rPr>
      </w:pPr>
      <w:r>
        <w:rPr>
          <w:rFonts w:ascii="Open Sans Light" w:eastAsia="Open Sans Light" w:hAnsi="Open Sans Light" w:cs="Open Sans Light"/>
          <w:color w:val="000000"/>
          <w:sz w:val="24"/>
          <w:szCs w:val="24"/>
        </w:rPr>
        <w:t xml:space="preserve">Si bien la meta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para el logro de suficiencia en matemática para estudiantes del segundo grado de primaria era el mismo: </w:t>
      </w:r>
      <w:r>
        <w:rPr>
          <w:rFonts w:ascii="Open Sans Light" w:eastAsia="Open Sans Light" w:hAnsi="Open Sans Light" w:cs="Open Sans Light"/>
          <w:i/>
          <w:iCs/>
          <w:color w:val="000000"/>
          <w:sz w:val="24"/>
          <w:szCs w:val="24"/>
        </w:rPr>
        <w:t>el 70% de estudiantes de segundo grado de primaria, alcanzaran un nivel suficiente en comprensión de textos y matemática</w:t>
      </w:r>
      <w:r>
        <w:rPr>
          <w:rFonts w:ascii="Open Sans Light" w:eastAsia="Open Sans Light" w:hAnsi="Open Sans Light" w:cs="Open Sans Light"/>
          <w:color w:val="000000"/>
          <w:sz w:val="24"/>
          <w:szCs w:val="24"/>
        </w:rPr>
        <w:t xml:space="preserve">; </w:t>
      </w:r>
      <w:r w:rsidRPr="00A61DFC">
        <w:rPr>
          <w:rFonts w:ascii="Open Sans Light" w:eastAsia="Open Sans Light" w:hAnsi="Open Sans Light" w:cs="Open Sans Light"/>
          <w:sz w:val="24"/>
          <w:szCs w:val="24"/>
        </w:rPr>
        <w:t>el panorama es más crítico en matemáticas pues</w:t>
      </w:r>
      <w:r w:rsidR="00F535B6" w:rsidRPr="00A61DFC">
        <w:rPr>
          <w:rFonts w:ascii="Open Sans Light" w:eastAsia="Open Sans Light" w:hAnsi="Open Sans Light" w:cs="Open Sans Light"/>
          <w:sz w:val="24"/>
          <w:szCs w:val="24"/>
        </w:rPr>
        <w:t xml:space="preserve">to que para 2021 </w:t>
      </w:r>
      <w:r w:rsidRPr="00A61DFC">
        <w:rPr>
          <w:rFonts w:ascii="Open Sans Light" w:eastAsia="Open Sans Light" w:hAnsi="Open Sans Light" w:cs="Open Sans Light"/>
          <w:sz w:val="24"/>
          <w:szCs w:val="24"/>
        </w:rPr>
        <w:t>solo el 17% estaría logrando este nivel</w:t>
      </w:r>
      <w:r w:rsidR="00F535B6" w:rsidRPr="00A61DFC">
        <w:rPr>
          <w:rFonts w:ascii="Open Sans Light" w:eastAsia="Open Sans Light" w:hAnsi="Open Sans Light" w:cs="Open Sans Light"/>
          <w:sz w:val="24"/>
          <w:szCs w:val="24"/>
        </w:rPr>
        <w:t>, quedando una brecha de más de 50 puntos porcentuales por cerrar.</w:t>
      </w:r>
    </w:p>
    <w:p w14:paraId="2D6F83E5" w14:textId="77777777" w:rsidR="002E39FC" w:rsidRDefault="002E39FC" w:rsidP="002E39FC">
      <w:pPr>
        <w:spacing w:after="0" w:line="240" w:lineRule="auto"/>
        <w:rPr>
          <w:rFonts w:ascii="Open Sans Light" w:eastAsia="Open Sans Light" w:hAnsi="Open Sans Light" w:cs="Open Sans Light"/>
          <w:b/>
          <w:color w:val="000000"/>
          <w:sz w:val="20"/>
          <w:szCs w:val="20"/>
        </w:rPr>
      </w:pPr>
    </w:p>
    <w:p w14:paraId="2A23AC27" w14:textId="77777777" w:rsidR="002E39FC" w:rsidRDefault="0070616A" w:rsidP="002E39FC">
      <w:pPr>
        <w:jc w:val="center"/>
        <w:rPr>
          <w:rFonts w:ascii="Open Sans Light" w:eastAsia="Open Sans Light" w:hAnsi="Open Sans Light" w:cs="Open Sans Light"/>
          <w:color w:val="000000"/>
          <w:sz w:val="24"/>
          <w:szCs w:val="24"/>
        </w:rPr>
      </w:pPr>
      <w:r w:rsidRPr="0070616A">
        <w:rPr>
          <w:rFonts w:ascii="Open Sans Light" w:eastAsia="Open Sans Light" w:hAnsi="Open Sans Light" w:cs="Open Sans Light"/>
          <w:noProof/>
          <w:color w:val="000000"/>
          <w:sz w:val="24"/>
          <w:szCs w:val="24"/>
          <w:lang w:val="en-GB" w:eastAsia="en-GB"/>
        </w:rPr>
        <w:drawing>
          <wp:inline distT="0" distB="0" distL="0" distR="0" wp14:anchorId="2565F6D9" wp14:editId="65B3E552">
            <wp:extent cx="4155688" cy="301830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59503" cy="3021080"/>
                    </a:xfrm>
                    <a:prstGeom prst="rect">
                      <a:avLst/>
                    </a:prstGeom>
                    <a:noFill/>
                    <a:ln>
                      <a:noFill/>
                    </a:ln>
                  </pic:spPr>
                </pic:pic>
              </a:graphicData>
            </a:graphic>
          </wp:inline>
        </w:drawing>
      </w:r>
    </w:p>
    <w:p w14:paraId="35902458" w14:textId="144158CD" w:rsidR="002E39FC" w:rsidRDefault="002E39FC" w:rsidP="00CD510D">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A diferencia del desempeño en </w:t>
      </w:r>
      <w:r w:rsidR="00C66F0F">
        <w:rPr>
          <w:rFonts w:ascii="Open Sans Light" w:eastAsia="Open Sans Light" w:hAnsi="Open Sans Light" w:cs="Open Sans Light"/>
          <w:color w:val="000000"/>
          <w:sz w:val="24"/>
          <w:szCs w:val="24"/>
        </w:rPr>
        <w:t>comprensión lectora</w:t>
      </w:r>
      <w:r>
        <w:rPr>
          <w:rFonts w:ascii="Open Sans Light" w:eastAsia="Open Sans Light" w:hAnsi="Open Sans Light" w:cs="Open Sans Light"/>
          <w:color w:val="000000"/>
          <w:sz w:val="24"/>
          <w:szCs w:val="24"/>
        </w:rPr>
        <w:t>, las estudiantes mujeres que obtuvieron una calificación satisfactoria en matemática representan una menor proporción que en el caso de los varones, aunque la diferencia no es muy marcada.</w:t>
      </w:r>
      <w:r w:rsidRPr="00972EA4">
        <w:rPr>
          <w:rFonts w:ascii="Open Sans Light" w:eastAsia="Open Sans Light" w:hAnsi="Open Sans Light" w:cs="Open Sans Light"/>
          <w:color w:val="00B050"/>
          <w:sz w:val="24"/>
          <w:szCs w:val="24"/>
        </w:rPr>
        <w:t xml:space="preserve"> </w:t>
      </w:r>
      <w:r w:rsidRPr="00A61DFC">
        <w:rPr>
          <w:rFonts w:ascii="Open Sans Light" w:eastAsia="Open Sans Light" w:hAnsi="Open Sans Light" w:cs="Open Sans Light"/>
          <w:sz w:val="24"/>
          <w:szCs w:val="24"/>
        </w:rPr>
        <w:t>Así</w:t>
      </w:r>
      <w:r w:rsidR="00972EA4" w:rsidRPr="00A61DFC">
        <w:rPr>
          <w:rFonts w:ascii="Open Sans Light" w:eastAsia="Open Sans Light" w:hAnsi="Open Sans Light" w:cs="Open Sans Light"/>
          <w:sz w:val="24"/>
          <w:szCs w:val="24"/>
        </w:rPr>
        <w:t xml:space="preserve"> se tiene que, </w:t>
      </w:r>
      <w:r w:rsidRPr="00A61DFC">
        <w:rPr>
          <w:rFonts w:ascii="Open Sans Light" w:eastAsia="Open Sans Light" w:hAnsi="Open Sans Light" w:cs="Open Sans Light"/>
          <w:sz w:val="24"/>
          <w:szCs w:val="24"/>
        </w:rPr>
        <w:t xml:space="preserve">en la evaluación del 2019, el 18.8% de varones lograba un nivel satisfactorio en las competencias de matemáticas, en tanto que </w:t>
      </w:r>
      <w:r w:rsidR="00972EA4" w:rsidRPr="00A61DFC">
        <w:rPr>
          <w:rFonts w:ascii="Open Sans Light" w:eastAsia="Open Sans Light" w:hAnsi="Open Sans Light" w:cs="Open Sans Light"/>
          <w:sz w:val="24"/>
          <w:szCs w:val="24"/>
        </w:rPr>
        <w:t>un 15.2% de</w:t>
      </w:r>
      <w:r w:rsidRPr="00A61DFC">
        <w:rPr>
          <w:rFonts w:ascii="Open Sans Light" w:eastAsia="Open Sans Light" w:hAnsi="Open Sans Light" w:cs="Open Sans Light"/>
          <w:sz w:val="24"/>
          <w:szCs w:val="24"/>
        </w:rPr>
        <w:t xml:space="preserve"> mujeres </w:t>
      </w:r>
      <w:r w:rsidR="00972EA4" w:rsidRPr="00A61DFC">
        <w:rPr>
          <w:rFonts w:ascii="Open Sans Light" w:eastAsia="Open Sans Light" w:hAnsi="Open Sans Light" w:cs="Open Sans Light"/>
          <w:sz w:val="24"/>
          <w:szCs w:val="24"/>
        </w:rPr>
        <w:t xml:space="preserve">lograba un nivel similar. Se resalta además que la brecha de género en cuanto a este indicador se ha mantenido a favor de los hombres durante todo el periodo de análisis, tocando su punto más mínimo en 2015, con 1.4 puntos porcentuales de diferencia. </w:t>
      </w:r>
    </w:p>
    <w:p w14:paraId="75CF0514" w14:textId="69CF42A0" w:rsidR="002E39FC" w:rsidRDefault="002E39FC" w:rsidP="002E39FC">
      <w:pPr>
        <w:spacing w:after="0" w:line="240" w:lineRule="auto"/>
        <w:jc w:val="center"/>
        <w:rPr>
          <w:rFonts w:ascii="Open Sans Light" w:eastAsia="Open Sans Light" w:hAnsi="Open Sans Light" w:cs="Open Sans Light"/>
          <w:color w:val="000000"/>
          <w:sz w:val="20"/>
          <w:szCs w:val="20"/>
        </w:rPr>
      </w:pPr>
    </w:p>
    <w:p w14:paraId="2202CA8D" w14:textId="6FE0CC2D" w:rsidR="002E39FC" w:rsidRPr="006429BC" w:rsidRDefault="002E39FC" w:rsidP="002E39FC">
      <w:pPr>
        <w:spacing w:after="0" w:line="240" w:lineRule="auto"/>
        <w:jc w:val="both"/>
        <w:rPr>
          <w:rFonts w:ascii="Open Sans Light" w:eastAsia="Open Sans Light" w:hAnsi="Open Sans Light" w:cs="Open Sans Light"/>
          <w:color w:val="00B050"/>
          <w:sz w:val="24"/>
          <w:szCs w:val="24"/>
        </w:rPr>
      </w:pPr>
      <w:r w:rsidRPr="00972EA4">
        <w:rPr>
          <w:rFonts w:ascii="Open Sans Light" w:eastAsia="Open Sans Light" w:hAnsi="Open Sans Light" w:cs="Open Sans Light"/>
          <w:color w:val="000000"/>
          <w:sz w:val="24"/>
          <w:szCs w:val="24"/>
        </w:rPr>
        <w:t xml:space="preserve">Así como en el caso de los resultados en comprensión lectora, lograr que una mayor proporción de estudiantes obtenga un despeño satisfactorio depende de la cantidad de docentes con la que cuente la institución educativa. Así, mientras que en las instituciones polidocentes, el 18.1% de los estudiantes de </w:t>
      </w:r>
      <w:r w:rsidRPr="00972EA4">
        <w:rPr>
          <w:rFonts w:ascii="Open Sans Light" w:eastAsia="Open Sans Light" w:hAnsi="Open Sans Light" w:cs="Open Sans Light"/>
          <w:color w:val="000000"/>
          <w:sz w:val="24"/>
          <w:szCs w:val="24"/>
        </w:rPr>
        <w:lastRenderedPageBreak/>
        <w:t xml:space="preserve">segundo de primaria lograron las competencias en matemáticas para el año 2019, </w:t>
      </w:r>
      <w:r w:rsidR="006429BC" w:rsidRPr="00A61DFC">
        <w:rPr>
          <w:rFonts w:ascii="Open Sans Light" w:eastAsia="Open Sans Light" w:hAnsi="Open Sans Light" w:cs="Open Sans Light"/>
          <w:sz w:val="24"/>
          <w:szCs w:val="24"/>
        </w:rPr>
        <w:t>el mismo resultado</w:t>
      </w:r>
      <w:r w:rsidRPr="00A61DFC">
        <w:rPr>
          <w:rFonts w:ascii="Open Sans Light" w:eastAsia="Open Sans Light" w:hAnsi="Open Sans Light" w:cs="Open Sans Light"/>
          <w:sz w:val="24"/>
          <w:szCs w:val="24"/>
        </w:rPr>
        <w:t xml:space="preserve"> se obtuvo s</w:t>
      </w:r>
      <w:r w:rsidR="006429BC" w:rsidRPr="00A61DFC">
        <w:rPr>
          <w:rFonts w:ascii="Open Sans Light" w:eastAsia="Open Sans Light" w:hAnsi="Open Sans Light" w:cs="Open Sans Light"/>
          <w:sz w:val="24"/>
          <w:szCs w:val="24"/>
        </w:rPr>
        <w:t>ó</w:t>
      </w:r>
      <w:r w:rsidRPr="00A61DFC">
        <w:rPr>
          <w:rFonts w:ascii="Open Sans Light" w:eastAsia="Open Sans Light" w:hAnsi="Open Sans Light" w:cs="Open Sans Light"/>
          <w:sz w:val="24"/>
          <w:szCs w:val="24"/>
        </w:rPr>
        <w:t xml:space="preserve">lo para el 9.3% de estudiantes de instituciones con un/a solo/a maestro/a. </w:t>
      </w:r>
      <w:r w:rsidR="006429BC" w:rsidRPr="00A61DFC">
        <w:rPr>
          <w:rFonts w:ascii="Open Sans Light" w:eastAsia="Open Sans Light" w:hAnsi="Open Sans Light" w:cs="Open Sans Light"/>
          <w:sz w:val="24"/>
          <w:szCs w:val="24"/>
        </w:rPr>
        <w:t>Por otro lado, c</w:t>
      </w:r>
      <w:r w:rsidRPr="00A61DFC">
        <w:rPr>
          <w:rFonts w:ascii="Open Sans Light" w:eastAsia="Open Sans Light" w:hAnsi="Open Sans Light" w:cs="Open Sans Light"/>
          <w:sz w:val="24"/>
          <w:szCs w:val="24"/>
        </w:rPr>
        <w:t>abe señalar que el tipo de gestión (público o privado) de la institución parece no ser relevante en el desempeño de los estudiantes con buen rendimiento en las competencias de matemáticas</w:t>
      </w:r>
      <w:r w:rsidR="006429BC" w:rsidRPr="00A61DFC">
        <w:rPr>
          <w:rFonts w:ascii="Open Sans Light" w:eastAsia="Open Sans Light" w:hAnsi="Open Sans Light" w:cs="Open Sans Light"/>
          <w:sz w:val="24"/>
          <w:szCs w:val="24"/>
        </w:rPr>
        <w:t xml:space="preserve">; tanto en 2019 como en 2020, la brecha basada en la gestión de la institución no ha excedido los 0.3 puntos porcentuales. </w:t>
      </w:r>
    </w:p>
    <w:p w14:paraId="6021477B" w14:textId="12ACAD6A" w:rsidR="002E39FC" w:rsidRDefault="002E39FC" w:rsidP="002E39FC">
      <w:pPr>
        <w:spacing w:after="0" w:line="240" w:lineRule="auto"/>
        <w:jc w:val="center"/>
        <w:rPr>
          <w:rFonts w:ascii="Open Sans Light" w:eastAsia="Open Sans Light" w:hAnsi="Open Sans Light" w:cs="Open Sans Light"/>
          <w:color w:val="000000"/>
          <w:sz w:val="20"/>
          <w:szCs w:val="20"/>
        </w:rPr>
      </w:pPr>
      <w:r>
        <w:rPr>
          <w:rFonts w:ascii="Open Sans Light" w:eastAsia="Open Sans Light" w:hAnsi="Open Sans Light" w:cs="Open Sans Light"/>
          <w:noProof/>
          <w:color w:val="000000"/>
          <w:sz w:val="20"/>
          <w:szCs w:val="20"/>
          <w:lang w:val="en-GB" w:eastAsia="en-GB"/>
        </w:rPr>
        <w:drawing>
          <wp:inline distT="0" distB="0" distL="0" distR="0" wp14:anchorId="7D196D14" wp14:editId="19E4E5F9">
            <wp:extent cx="4459857" cy="3241939"/>
            <wp:effectExtent l="0" t="0" r="0"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67583" cy="3247555"/>
                    </a:xfrm>
                    <a:prstGeom prst="rect">
                      <a:avLst/>
                    </a:prstGeom>
                    <a:noFill/>
                    <a:ln>
                      <a:noFill/>
                    </a:ln>
                  </pic:spPr>
                </pic:pic>
              </a:graphicData>
            </a:graphic>
          </wp:inline>
        </w:drawing>
      </w:r>
    </w:p>
    <w:p w14:paraId="77C025BA" w14:textId="77777777" w:rsidR="002E39FC" w:rsidRPr="00CD510D" w:rsidRDefault="002E39FC" w:rsidP="002E39FC">
      <w:pPr>
        <w:jc w:val="both"/>
        <w:rPr>
          <w:sz w:val="28"/>
        </w:rPr>
      </w:pPr>
      <w:r w:rsidRPr="00CD510D">
        <w:rPr>
          <w:rFonts w:ascii="Open Sans Light" w:eastAsia="Open Sans Light" w:hAnsi="Open Sans Light" w:cs="Open Sans Light"/>
          <w:color w:val="000000"/>
          <w:sz w:val="24"/>
          <w:szCs w:val="20"/>
        </w:rPr>
        <w:t>Por regiones, la situación es similar a los resultados en comprensión lectora, donde las regiones de la costa sur presentan el mejor desempeño y, por el contrario, los estudiantes de las regiones de la selva son los que en menor medida logran adquirir de manera satisfactoria las competencias necesarias en matemáticas. Solo Tacna, que en comprensión lectora se encontraba entre las regiones con mayor porcentaje de estudiantes que entienden lo que leen, en matemáticas se ubica en un nivel intermedio de las regiones, con apenas el 16.6% de estudiantes con resultado satisfactorio en dicha materia.</w:t>
      </w:r>
    </w:p>
    <w:p w14:paraId="21744DED" w14:textId="23A980BF" w:rsidR="002E39FC" w:rsidRDefault="003D39A5" w:rsidP="002E39FC">
      <w:pPr>
        <w:jc w:val="center"/>
        <w:rPr>
          <w:rFonts w:ascii="Open Sans Light" w:eastAsia="Open Sans Light" w:hAnsi="Open Sans Light" w:cs="Open Sans Light"/>
          <w:color w:val="000000"/>
          <w:sz w:val="24"/>
          <w:szCs w:val="24"/>
        </w:rPr>
      </w:pPr>
      <w:r w:rsidRPr="003D39A5">
        <w:rPr>
          <w:noProof/>
          <w:lang w:val="en-GB" w:eastAsia="en-GB"/>
        </w:rPr>
        <w:lastRenderedPageBreak/>
        <w:drawing>
          <wp:inline distT="0" distB="0" distL="0" distR="0" wp14:anchorId="2D46A386" wp14:editId="572119CD">
            <wp:extent cx="5639779" cy="409621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44581" cy="4099702"/>
                    </a:xfrm>
                    <a:prstGeom prst="rect">
                      <a:avLst/>
                    </a:prstGeom>
                    <a:noFill/>
                    <a:ln>
                      <a:noFill/>
                    </a:ln>
                  </pic:spPr>
                </pic:pic>
              </a:graphicData>
            </a:graphic>
          </wp:inline>
        </w:drawing>
      </w:r>
      <w:r w:rsidR="002E39FC">
        <w:t xml:space="preserve"> </w:t>
      </w:r>
      <w:r w:rsidR="002E39FC">
        <w:br w:type="page"/>
      </w:r>
    </w:p>
    <w:p w14:paraId="05DE5298"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lastRenderedPageBreak/>
        <w:t>Resultado 6. Niñas, niños y adolescentes se encuentran protegidos frente al trabajo infantil</w:t>
      </w:r>
    </w:p>
    <w:p w14:paraId="3D134E5C"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28B201A8" w14:textId="405ABEE7" w:rsidR="002E39FC" w:rsidRDefault="002E39FC" w:rsidP="002E39FC">
      <w:pPr>
        <w:spacing w:after="0" w:line="240" w:lineRule="auto"/>
        <w:jc w:val="both"/>
        <w:rPr>
          <w:rFonts w:ascii="Open Sans Light" w:eastAsia="Open Sans Light" w:hAnsi="Open Sans Light" w:cs="Open Sans Light"/>
          <w:color w:val="000000"/>
          <w:sz w:val="24"/>
          <w:szCs w:val="24"/>
        </w:rPr>
      </w:pPr>
      <w:bookmarkStart w:id="14" w:name="_heading=h.3rdcrjn"/>
      <w:bookmarkEnd w:id="14"/>
      <w:r>
        <w:rPr>
          <w:rFonts w:ascii="Open Sans Light" w:eastAsia="Open Sans Light" w:hAnsi="Open Sans Light" w:cs="Open Sans Light"/>
          <w:color w:val="000000"/>
          <w:sz w:val="24"/>
          <w:szCs w:val="24"/>
        </w:rPr>
        <w:t xml:space="preserve">Este resultado se mide a través del porcentaje de niñas, niños y adolescentes que trabajan por debajo de la edad mínima (5-13 años de edad). Al 2020, 1 de cada 5 niñas, niños y adolescentes hasta los 13 años estaban trabajando, lo cual indicaría que, en casi una década, el trabajo infantil por debajo de la edad mínima solo se habría reducido en 2 puntos porcentuales, cuando se esperaba su completa erradicación hacia la culminación de la vigencia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w:t>
      </w:r>
      <w:r w:rsidRPr="00A61DFC">
        <w:rPr>
          <w:rFonts w:ascii="Open Sans Light" w:eastAsia="Open Sans Light" w:hAnsi="Open Sans Light" w:cs="Open Sans Light"/>
          <w:sz w:val="24"/>
          <w:szCs w:val="24"/>
        </w:rPr>
        <w:t xml:space="preserve"> </w:t>
      </w:r>
      <w:r w:rsidR="00D244E0" w:rsidRPr="00A61DFC">
        <w:rPr>
          <w:rFonts w:ascii="Open Sans Light" w:eastAsia="Open Sans Light" w:hAnsi="Open Sans Light" w:cs="Open Sans Light"/>
          <w:sz w:val="24"/>
          <w:szCs w:val="24"/>
        </w:rPr>
        <w:t xml:space="preserve">Hay dos quiebres en la tendencia hacia la baja observada en el periodo de análisis para este indicador. La segunda (2.9%), entre 2019 y 2020, que podría obedecer a la llegada de la pandemia por COVID-19, es 4 veces más fuerte que la primera (0.7%), entre 2015 y 2016. </w:t>
      </w:r>
    </w:p>
    <w:p w14:paraId="4FF64287" w14:textId="3D290B53" w:rsidR="002E39FC" w:rsidRDefault="001132E3" w:rsidP="002E39FC">
      <w:pPr>
        <w:spacing w:after="0" w:line="240" w:lineRule="auto"/>
        <w:jc w:val="center"/>
        <w:rPr>
          <w:rFonts w:ascii="Open Sans Light" w:eastAsia="Open Sans Light" w:hAnsi="Open Sans Light" w:cs="Open Sans Light"/>
          <w:color w:val="000000"/>
          <w:sz w:val="20"/>
          <w:szCs w:val="20"/>
        </w:rPr>
      </w:pPr>
      <w:r>
        <w:rPr>
          <w:noProof/>
          <w:lang w:val="en-GB" w:eastAsia="en-GB"/>
        </w:rPr>
        <w:drawing>
          <wp:inline distT="0" distB="0" distL="0" distR="0" wp14:anchorId="68E3917C" wp14:editId="05C9A566">
            <wp:extent cx="4679092" cy="3400925"/>
            <wp:effectExtent l="0" t="0" r="7620" b="9525"/>
            <wp:docPr id="13" name="Imagen 13"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Gráfico, Gráfico de líneas&#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97213" cy="3414096"/>
                    </a:xfrm>
                    <a:prstGeom prst="rect">
                      <a:avLst/>
                    </a:prstGeom>
                    <a:noFill/>
                    <a:ln>
                      <a:noFill/>
                    </a:ln>
                  </pic:spPr>
                </pic:pic>
              </a:graphicData>
            </a:graphic>
          </wp:inline>
        </w:drawing>
      </w:r>
    </w:p>
    <w:p w14:paraId="33FF889F" w14:textId="6163196D" w:rsidR="002E39FC" w:rsidRDefault="002E39FC" w:rsidP="002E39FC">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Sin embargo, para este año, las proyecciones muestran que la tasa se reduciría en alrededor de 2 puntos porcentuales respecto al año </w:t>
      </w:r>
      <w:r w:rsidR="00D244E0">
        <w:rPr>
          <w:rFonts w:ascii="Open Sans Light" w:eastAsia="Open Sans Light" w:hAnsi="Open Sans Light" w:cs="Open Sans Light"/>
          <w:color w:val="000000"/>
          <w:sz w:val="24"/>
          <w:szCs w:val="24"/>
        </w:rPr>
        <w:t>2020</w:t>
      </w:r>
      <w:r>
        <w:rPr>
          <w:rFonts w:ascii="Open Sans Light" w:eastAsia="Open Sans Light" w:hAnsi="Open Sans Light" w:cs="Open Sans Light"/>
          <w:color w:val="000000"/>
          <w:sz w:val="24"/>
          <w:szCs w:val="24"/>
        </w:rPr>
        <w:t xml:space="preserve">, alcanzando un 18.7% de NNA menores de 14 años que trabajan. Esto indica que, según lo proyectado, solo se habría avanzado en un 9.5% de lo programado durante el periodo 2012 – 2021 de vigencia del plan. Cabe señalar que, si bien a nivel nacional se encontró una tendencia decreciente del indicador durante todo el periodo de análisis, en los ámbitos urbano y rural han presentado una situación de incremento del trabajo infantil. En ambos casos, desde el 2012, la proporción de NNA menores de 14 años que trabajan aumentó alrededor de 1 punto </w:t>
      </w:r>
      <w:r>
        <w:rPr>
          <w:rFonts w:ascii="Open Sans Light" w:eastAsia="Open Sans Light" w:hAnsi="Open Sans Light" w:cs="Open Sans Light"/>
          <w:color w:val="000000"/>
          <w:sz w:val="24"/>
          <w:szCs w:val="24"/>
        </w:rPr>
        <w:lastRenderedPageBreak/>
        <w:t xml:space="preserve">porcentual, llegando a conformar para el año 2020, el 8.2% y 53.6% de NNA residentes del área urbano y rural, respectivamente. </w:t>
      </w:r>
    </w:p>
    <w:p w14:paraId="23DAE7EA" w14:textId="54DD923B" w:rsidR="003A0832" w:rsidRDefault="003A0832" w:rsidP="00D15916">
      <w:pPr>
        <w:jc w:val="center"/>
        <w:rPr>
          <w:rFonts w:ascii="Open Sans Light" w:eastAsia="Open Sans Light" w:hAnsi="Open Sans Light" w:cs="Open Sans Light"/>
          <w:color w:val="000000"/>
          <w:sz w:val="24"/>
          <w:szCs w:val="24"/>
        </w:rPr>
      </w:pPr>
      <w:r w:rsidRPr="003A0832">
        <w:rPr>
          <w:rFonts w:ascii="Open Sans Light" w:eastAsia="Open Sans Light" w:hAnsi="Open Sans Light" w:cs="Open Sans Light"/>
          <w:noProof/>
          <w:color w:val="000000"/>
          <w:sz w:val="24"/>
          <w:szCs w:val="24"/>
          <w:lang w:val="en-GB" w:eastAsia="en-GB"/>
        </w:rPr>
        <w:drawing>
          <wp:inline distT="0" distB="0" distL="0" distR="0" wp14:anchorId="0375CC39" wp14:editId="228AA313">
            <wp:extent cx="4258962" cy="3099775"/>
            <wp:effectExtent l="0" t="0" r="8255"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71410" cy="3108835"/>
                    </a:xfrm>
                    <a:prstGeom prst="rect">
                      <a:avLst/>
                    </a:prstGeom>
                    <a:noFill/>
                    <a:ln>
                      <a:noFill/>
                    </a:ln>
                  </pic:spPr>
                </pic:pic>
              </a:graphicData>
            </a:graphic>
          </wp:inline>
        </w:drawing>
      </w:r>
      <w:r w:rsidR="00D15916" w:rsidRPr="00E9030B">
        <w:rPr>
          <w:rFonts w:ascii="Open Sans Light" w:eastAsia="Open Sans Light" w:hAnsi="Open Sans Light" w:cs="Open Sans Light"/>
          <w:noProof/>
          <w:color w:val="000000"/>
          <w:sz w:val="24"/>
          <w:szCs w:val="24"/>
          <w:lang w:val="en-GB" w:eastAsia="en-GB"/>
        </w:rPr>
        <w:drawing>
          <wp:inline distT="0" distB="0" distL="0" distR="0" wp14:anchorId="533FD3D9" wp14:editId="5B2964BE">
            <wp:extent cx="5376145" cy="3904736"/>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80259" cy="3907724"/>
                    </a:xfrm>
                    <a:prstGeom prst="rect">
                      <a:avLst/>
                    </a:prstGeom>
                    <a:noFill/>
                    <a:ln>
                      <a:noFill/>
                    </a:ln>
                  </pic:spPr>
                </pic:pic>
              </a:graphicData>
            </a:graphic>
          </wp:inline>
        </w:drawing>
      </w:r>
    </w:p>
    <w:p w14:paraId="5874318D" w14:textId="5CD184F1" w:rsidR="002E39FC" w:rsidRPr="00A61DFC" w:rsidRDefault="006118EB" w:rsidP="00D15916">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Desde un análisis por departamentos se puede afirmar que </w:t>
      </w:r>
      <w:r w:rsidR="002E39FC" w:rsidRPr="00A61DFC">
        <w:rPr>
          <w:rFonts w:ascii="Open Sans Light" w:eastAsia="Open Sans Light" w:hAnsi="Open Sans Light" w:cs="Open Sans Light"/>
          <w:sz w:val="24"/>
          <w:szCs w:val="24"/>
        </w:rPr>
        <w:t>son las regiones de Cajamarca y Amazonas las que cuentan con mayor porcentaje de trabajo infantil por debajo de la edad mínima,</w:t>
      </w:r>
      <w:r w:rsidRPr="00A61DFC">
        <w:rPr>
          <w:rFonts w:ascii="Open Sans Light" w:eastAsia="Open Sans Light" w:hAnsi="Open Sans Light" w:cs="Open Sans Light"/>
          <w:sz w:val="24"/>
          <w:szCs w:val="24"/>
        </w:rPr>
        <w:t xml:space="preserve"> con 46.1% y 34.8% respectivamente,</w:t>
      </w:r>
      <w:r w:rsidR="002E39FC" w:rsidRPr="00A61DFC">
        <w:rPr>
          <w:rFonts w:ascii="Open Sans Light" w:eastAsia="Open Sans Light" w:hAnsi="Open Sans Light" w:cs="Open Sans Light"/>
          <w:sz w:val="24"/>
          <w:szCs w:val="24"/>
        </w:rPr>
        <w:t xml:space="preserve"> seguido de </w:t>
      </w:r>
      <w:r w:rsidR="002E39FC" w:rsidRPr="00A61DFC">
        <w:rPr>
          <w:rFonts w:ascii="Open Sans Light" w:eastAsia="Open Sans Light" w:hAnsi="Open Sans Light" w:cs="Open Sans Light"/>
          <w:sz w:val="24"/>
          <w:szCs w:val="24"/>
        </w:rPr>
        <w:lastRenderedPageBreak/>
        <w:t xml:space="preserve">Huánuco </w:t>
      </w:r>
      <w:r w:rsidRPr="00A61DFC">
        <w:rPr>
          <w:rFonts w:ascii="Open Sans Light" w:eastAsia="Open Sans Light" w:hAnsi="Open Sans Light" w:cs="Open Sans Light"/>
          <w:sz w:val="24"/>
          <w:szCs w:val="24"/>
        </w:rPr>
        <w:t xml:space="preserve">(28.85%) </w:t>
      </w:r>
      <w:r w:rsidR="002E39FC" w:rsidRPr="00A61DFC">
        <w:rPr>
          <w:rFonts w:ascii="Open Sans Light" w:eastAsia="Open Sans Light" w:hAnsi="Open Sans Light" w:cs="Open Sans Light"/>
          <w:sz w:val="24"/>
          <w:szCs w:val="24"/>
        </w:rPr>
        <w:t>y Pasco</w:t>
      </w:r>
      <w:r w:rsidRPr="00A61DFC">
        <w:rPr>
          <w:rFonts w:ascii="Open Sans Light" w:eastAsia="Open Sans Light" w:hAnsi="Open Sans Light" w:cs="Open Sans Light"/>
          <w:sz w:val="24"/>
          <w:szCs w:val="24"/>
        </w:rPr>
        <w:t xml:space="preserve"> (28.92%)</w:t>
      </w:r>
      <w:r w:rsidR="002E39FC" w:rsidRPr="00A61DFC">
        <w:rPr>
          <w:rFonts w:ascii="Open Sans Light" w:eastAsia="Open Sans Light" w:hAnsi="Open Sans Light" w:cs="Open Sans Light"/>
          <w:sz w:val="24"/>
          <w:szCs w:val="24"/>
        </w:rPr>
        <w:t xml:space="preserve">. </w:t>
      </w:r>
      <w:r w:rsidRPr="00A61DFC">
        <w:rPr>
          <w:rFonts w:ascii="Open Sans Light" w:eastAsia="Open Sans Light" w:hAnsi="Open Sans Light" w:cs="Open Sans Light"/>
          <w:sz w:val="24"/>
          <w:szCs w:val="24"/>
        </w:rPr>
        <w:t xml:space="preserve">Los departamentos que más avanzaron en la consecución del objetivo fueron </w:t>
      </w:r>
      <w:r w:rsidR="001B20F4" w:rsidRPr="00A61DFC">
        <w:rPr>
          <w:rFonts w:ascii="Open Sans Light" w:eastAsia="Open Sans Light" w:hAnsi="Open Sans Light" w:cs="Open Sans Light"/>
          <w:sz w:val="24"/>
          <w:szCs w:val="24"/>
        </w:rPr>
        <w:t>Piura (4.78%), Apurímac (3.25%), Loreto (2.24%), Ancash (2.2%), la provincia constitucional del Callao (2.01%), Tumbes (1.7%), Arequipa (1.43%), Moquegua (1.41%), Lima (1.24%), e Ica (0.59%).</w:t>
      </w:r>
    </w:p>
    <w:p w14:paraId="7C9DE13C" w14:textId="3CBFC7E2" w:rsidR="002E39FC" w:rsidRDefault="002E39FC" w:rsidP="002E39FC">
      <w:pPr>
        <w:jc w:val="center"/>
        <w:rPr>
          <w:rFonts w:ascii="Open Sans Light" w:eastAsia="Open Sans Light" w:hAnsi="Open Sans Light" w:cs="Open Sans Light"/>
          <w:color w:val="000000"/>
          <w:sz w:val="24"/>
          <w:szCs w:val="24"/>
        </w:rPr>
      </w:pPr>
    </w:p>
    <w:p w14:paraId="4FD6B408"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7. Las y los adolescentes acceden y concluyen en la edad normativa una educación secundaria de calidad, intercultural, inclusiva, con cultura ambiental y libre de violencia</w:t>
      </w:r>
    </w:p>
    <w:p w14:paraId="7AC56CD9"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02EDA7CA" w14:textId="501E3B8F" w:rsidR="002E39FC" w:rsidRPr="00A92BCC" w:rsidRDefault="002E39FC" w:rsidP="002E39FC">
      <w:pPr>
        <w:spacing w:after="0" w:line="240" w:lineRule="auto"/>
        <w:jc w:val="both"/>
        <w:rPr>
          <w:rFonts w:ascii="Open Sans Light" w:eastAsia="Open Sans Light" w:hAnsi="Open Sans Light" w:cs="Open Sans Light"/>
          <w:color w:val="00B050"/>
          <w:sz w:val="24"/>
          <w:szCs w:val="24"/>
        </w:rPr>
      </w:pPr>
      <w:r>
        <w:rPr>
          <w:rFonts w:ascii="Open Sans Light" w:eastAsia="Open Sans Light" w:hAnsi="Open Sans Light" w:cs="Open Sans Light"/>
          <w:color w:val="000000"/>
          <w:sz w:val="24"/>
          <w:szCs w:val="24"/>
        </w:rPr>
        <w:t xml:space="preserve">Este resultado se mide a través de la calificación promedio de las y los estudiantes peruanos de 15 años de edad obtenidos en el Programa para la Evaluación Internacional de Estudiantes (PISA), el cual tiene por objetivo evaluar la capacidad de los estudiantes para utilizar sus conocimientos y habilidades frente a los desafíos de la vida en un mundo globalizado. Considerando los datos disponibles de la prueba donde el Perú ha participado desde el inicio de la vigencia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(2012, 2015 y 2018), no ha sido posible realizar la proyección del indicador al 2021; </w:t>
      </w:r>
      <w:r w:rsidRPr="00A61DFC">
        <w:rPr>
          <w:rFonts w:ascii="Open Sans Light" w:eastAsia="Open Sans Light" w:hAnsi="Open Sans Light" w:cs="Open Sans Light"/>
          <w:sz w:val="24"/>
          <w:szCs w:val="24"/>
        </w:rPr>
        <w:t xml:space="preserve">no </w:t>
      </w:r>
      <w:r w:rsidR="00E265F0" w:rsidRPr="00A61DFC">
        <w:rPr>
          <w:rFonts w:ascii="Open Sans Light" w:eastAsia="Open Sans Light" w:hAnsi="Open Sans Light" w:cs="Open Sans Light"/>
          <w:sz w:val="24"/>
          <w:szCs w:val="24"/>
        </w:rPr>
        <w:t>obstante,</w:t>
      </w:r>
      <w:r w:rsidRPr="00A61DFC">
        <w:rPr>
          <w:rFonts w:ascii="Open Sans Light" w:eastAsia="Open Sans Light" w:hAnsi="Open Sans Light" w:cs="Open Sans Light"/>
          <w:sz w:val="24"/>
          <w:szCs w:val="24"/>
        </w:rPr>
        <w:t xml:space="preserve"> se realizará el análisis evolutivo del indicador según la materia evaluada</w:t>
      </w:r>
      <w:r w:rsidR="00E265F0" w:rsidRPr="00A61DFC">
        <w:rPr>
          <w:rFonts w:ascii="Open Sans Light" w:eastAsia="Open Sans Light" w:hAnsi="Open Sans Light" w:cs="Open Sans Light"/>
          <w:sz w:val="24"/>
          <w:szCs w:val="24"/>
        </w:rPr>
        <w:t xml:space="preserve"> (comprensión lectora, matemática, ciencias)</w:t>
      </w:r>
      <w:r w:rsidRPr="00A61DFC">
        <w:rPr>
          <w:rFonts w:ascii="Open Sans Light" w:eastAsia="Open Sans Light" w:hAnsi="Open Sans Light" w:cs="Open Sans Light"/>
          <w:sz w:val="24"/>
          <w:szCs w:val="24"/>
        </w:rPr>
        <w:t>.</w:t>
      </w:r>
      <w:r w:rsidR="00E265F0" w:rsidRPr="00A61DFC">
        <w:rPr>
          <w:rFonts w:ascii="Open Sans Light" w:eastAsia="Open Sans Light" w:hAnsi="Open Sans Light" w:cs="Open Sans Light"/>
          <w:sz w:val="24"/>
          <w:szCs w:val="24"/>
        </w:rPr>
        <w:t xml:space="preserve"> En primer lugar, en cuanto a comprensión lectora, el desempeño de estudiantes peruanos de 15 años pasó de </w:t>
      </w:r>
      <w:r w:rsidR="00A92BCC" w:rsidRPr="00A61DFC">
        <w:rPr>
          <w:rFonts w:ascii="Open Sans Light" w:eastAsia="Open Sans Light" w:hAnsi="Open Sans Light" w:cs="Open Sans Light"/>
          <w:sz w:val="24"/>
          <w:szCs w:val="24"/>
        </w:rPr>
        <w:t xml:space="preserve">11.4 en 2012 a 14.3 en 2018, teniendo un pico de 15 en 2015. En segundo lugar, en cuanto a matemáticas se pasó de 6.7 en 2012 a 11.6 en 2018. En tercer lugar, en cuanto a ciencias, se pasó de 7 en 2012 a 13.2 en 2018. De las tendencias a la mejora se puede concluir que donde más se avanzó fue en matemáticas y ciencias, con un 73% y 88% de mejoras en 2018 en cuanto a sus equivalentes del 2012. </w:t>
      </w:r>
    </w:p>
    <w:p w14:paraId="724A93AC"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2F235F4E" w14:textId="56352E2F" w:rsidR="002E39FC" w:rsidRDefault="008E08CA" w:rsidP="002E39FC">
      <w:pPr>
        <w:spacing w:after="0" w:line="240" w:lineRule="auto"/>
        <w:jc w:val="center"/>
        <w:rPr>
          <w:rFonts w:ascii="Open Sans Light" w:eastAsia="Open Sans Light" w:hAnsi="Open Sans Light" w:cs="Open Sans Light"/>
          <w:color w:val="000000"/>
          <w:sz w:val="20"/>
          <w:szCs w:val="20"/>
        </w:rPr>
      </w:pPr>
      <w:r>
        <w:rPr>
          <w:noProof/>
          <w:lang w:val="en-GB" w:eastAsia="en-GB"/>
        </w:rPr>
        <w:lastRenderedPageBreak/>
        <w:drawing>
          <wp:inline distT="0" distB="0" distL="0" distR="0" wp14:anchorId="4C84343E" wp14:editId="4ABE9534">
            <wp:extent cx="5130800" cy="3729242"/>
            <wp:effectExtent l="0" t="0" r="0" b="5080"/>
            <wp:docPr id="26" name="Imagen 2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Gráfico, Gráfico de barras&#10;&#10;Descripción generada automáticament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33127" cy="3730933"/>
                    </a:xfrm>
                    <a:prstGeom prst="rect">
                      <a:avLst/>
                    </a:prstGeom>
                    <a:noFill/>
                    <a:ln>
                      <a:noFill/>
                    </a:ln>
                  </pic:spPr>
                </pic:pic>
              </a:graphicData>
            </a:graphic>
          </wp:inline>
        </w:drawing>
      </w:r>
    </w:p>
    <w:p w14:paraId="7B0BFB44" w14:textId="77777777" w:rsidR="002E39FC" w:rsidRDefault="002E39FC" w:rsidP="002E39FC">
      <w:pPr>
        <w:spacing w:after="0" w:line="240" w:lineRule="auto"/>
        <w:jc w:val="center"/>
        <w:rPr>
          <w:rFonts w:ascii="Open Sans Light" w:eastAsia="Open Sans Light" w:hAnsi="Open Sans Light" w:cs="Open Sans Light"/>
          <w:color w:val="000000"/>
          <w:sz w:val="20"/>
          <w:szCs w:val="20"/>
        </w:rPr>
      </w:pPr>
    </w:p>
    <w:p w14:paraId="15B347EE" w14:textId="46E9A16E" w:rsidR="002E39FC" w:rsidRDefault="002E39FC" w:rsidP="002E39FC">
      <w:pPr>
        <w:spacing w:after="0" w:line="240" w:lineRule="auto"/>
        <w:jc w:val="both"/>
        <w:rPr>
          <w:rFonts w:ascii="Open Sans Light" w:eastAsia="Open Sans Light" w:hAnsi="Open Sans Light" w:cs="Open Sans Light"/>
          <w:color w:val="000000"/>
          <w:sz w:val="20"/>
          <w:szCs w:val="20"/>
        </w:rPr>
      </w:pPr>
      <w:r>
        <w:rPr>
          <w:rFonts w:ascii="Open Sans Light" w:eastAsia="Open Sans Light" w:hAnsi="Open Sans Light" w:cs="Open Sans Light"/>
          <w:color w:val="000000"/>
          <w:sz w:val="24"/>
          <w:szCs w:val="24"/>
        </w:rPr>
        <w:t>En el ranking de países de la región, Perú muestra la mayor variación porcentual positiva respecto al desempeño en comprensión lectora, matemáticas y ciencias entre 2009 y 2018. Así, la mayor variación se ha presentado por igual tanto en matemáticas como en ciencias, seguida de comprensión de lectura.</w:t>
      </w:r>
    </w:p>
    <w:p w14:paraId="19DB426A" w14:textId="77777777" w:rsidR="002E39FC" w:rsidRDefault="002E39FC" w:rsidP="002E39FC"/>
    <w:p w14:paraId="0B8FA4E4" w14:textId="77777777" w:rsidR="002E39FC" w:rsidRDefault="002E39FC" w:rsidP="002E39FC">
      <w:pPr>
        <w:spacing w:after="0"/>
        <w:sectPr w:rsidR="002E39FC" w:rsidSect="002E39FC">
          <w:type w:val="continuous"/>
          <w:pgSz w:w="11906" w:h="16838"/>
          <w:pgMar w:top="2126" w:right="1701" w:bottom="1418" w:left="1701" w:header="709" w:footer="567" w:gutter="0"/>
          <w:cols w:space="720"/>
        </w:sectPr>
      </w:pPr>
    </w:p>
    <w:p w14:paraId="20B58424" w14:textId="4F819582" w:rsidR="002E39FC" w:rsidRDefault="008E08CA" w:rsidP="002E39FC">
      <w:r>
        <w:rPr>
          <w:noProof/>
          <w:lang w:val="en-GB" w:eastAsia="en-GB"/>
        </w:rPr>
        <w:drawing>
          <wp:inline distT="0" distB="0" distL="0" distR="0" wp14:anchorId="74745794" wp14:editId="4457BEA5">
            <wp:extent cx="2471420" cy="1796415"/>
            <wp:effectExtent l="0" t="0" r="5080" b="0"/>
            <wp:docPr id="30" name="Imagen 3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Gráfico&#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1420" cy="1796415"/>
                    </a:xfrm>
                    <a:prstGeom prst="rect">
                      <a:avLst/>
                    </a:prstGeom>
                    <a:noFill/>
                    <a:ln>
                      <a:noFill/>
                    </a:ln>
                  </pic:spPr>
                </pic:pic>
              </a:graphicData>
            </a:graphic>
          </wp:inline>
        </w:drawing>
      </w:r>
      <w:r w:rsidR="002E39FC">
        <w:t xml:space="preserve"> </w:t>
      </w:r>
    </w:p>
    <w:p w14:paraId="6E9B0D3A" w14:textId="38605C66" w:rsidR="002E39FC" w:rsidRDefault="008E08CA" w:rsidP="002E39FC">
      <w:r>
        <w:rPr>
          <w:noProof/>
          <w:lang w:val="en-GB" w:eastAsia="en-GB"/>
        </w:rPr>
        <w:drawing>
          <wp:inline distT="0" distB="0" distL="0" distR="0" wp14:anchorId="6D003BF0" wp14:editId="035400A2">
            <wp:extent cx="2471420" cy="1796415"/>
            <wp:effectExtent l="0" t="0" r="5080" b="0"/>
            <wp:docPr id="32" name="Imagen 3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Gráfico, Gráfico de barras&#10;&#10;Descripción generada automáticamen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71420" cy="1796415"/>
                    </a:xfrm>
                    <a:prstGeom prst="rect">
                      <a:avLst/>
                    </a:prstGeom>
                    <a:noFill/>
                    <a:ln>
                      <a:noFill/>
                    </a:ln>
                  </pic:spPr>
                </pic:pic>
              </a:graphicData>
            </a:graphic>
          </wp:inline>
        </w:drawing>
      </w:r>
    </w:p>
    <w:p w14:paraId="4D575418" w14:textId="77777777" w:rsidR="002E39FC" w:rsidRDefault="002E39FC" w:rsidP="002E39FC">
      <w:pPr>
        <w:spacing w:after="0"/>
        <w:sectPr w:rsidR="002E39FC">
          <w:type w:val="continuous"/>
          <w:pgSz w:w="11906" w:h="16838"/>
          <w:pgMar w:top="2126" w:right="1701" w:bottom="1418" w:left="1701" w:header="709" w:footer="567" w:gutter="0"/>
          <w:cols w:num="2" w:space="720"/>
        </w:sectPr>
      </w:pPr>
    </w:p>
    <w:p w14:paraId="2A41F775" w14:textId="655D71D1" w:rsidR="002E39FC" w:rsidRDefault="008E08CA" w:rsidP="002E39FC">
      <w:pPr>
        <w:jc w:val="center"/>
      </w:pPr>
      <w:r>
        <w:rPr>
          <w:noProof/>
          <w:lang w:val="en-GB" w:eastAsia="en-GB"/>
        </w:rPr>
        <w:lastRenderedPageBreak/>
        <w:drawing>
          <wp:inline distT="0" distB="0" distL="0" distR="0" wp14:anchorId="437C3DC4" wp14:editId="48D45039">
            <wp:extent cx="4637903" cy="3370987"/>
            <wp:effectExtent l="0" t="0" r="0" b="1270"/>
            <wp:docPr id="35" name="Imagen 35"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Gráfico, Gráfico de barras&#10;&#10;Descripción generada automáticament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37903" cy="3370987"/>
                    </a:xfrm>
                    <a:prstGeom prst="rect">
                      <a:avLst/>
                    </a:prstGeom>
                    <a:noFill/>
                    <a:ln>
                      <a:noFill/>
                    </a:ln>
                  </pic:spPr>
                </pic:pic>
              </a:graphicData>
            </a:graphic>
          </wp:inline>
        </w:drawing>
      </w:r>
    </w:p>
    <w:p w14:paraId="3FBF1C12" w14:textId="77777777" w:rsidR="002E39FC" w:rsidRDefault="002E39FC" w:rsidP="002E39FC">
      <w:pPr>
        <w:jc w:val="both"/>
        <w:rPr>
          <w:rFonts w:ascii="Open Sans Light" w:hAnsi="Open Sans Light" w:cs="Open Sans Light"/>
          <w:sz w:val="24"/>
          <w:szCs w:val="24"/>
        </w:rPr>
      </w:pPr>
      <w:r>
        <w:rPr>
          <w:rFonts w:ascii="Open Sans Light" w:hAnsi="Open Sans Light" w:cs="Open Sans Light"/>
          <w:sz w:val="24"/>
          <w:szCs w:val="24"/>
        </w:rPr>
        <w:t>Adicionalmente, se observa relación estrecha entre la gestión de la institución educativa y el desempeño en lectura y matemáticas. Al respecto, de manera consistente las escuelas de la gestión privada han presentado resultados superiores al grupo de instituciones públicas. De igual manera, las instituciones ubicadas en zonas rurales de manera sistémica tienen resultados menos favorables en comparación con el desempeño de las escuelas del área urbana.</w:t>
      </w:r>
    </w:p>
    <w:p w14:paraId="21A4ACD7" w14:textId="0CB96F4E" w:rsidR="002E39FC" w:rsidRDefault="0097273E" w:rsidP="002E39FC">
      <w:pPr>
        <w:jc w:val="center"/>
      </w:pPr>
      <w:r>
        <w:rPr>
          <w:noProof/>
          <w:lang w:val="en-GB" w:eastAsia="en-GB"/>
        </w:rPr>
        <w:drawing>
          <wp:inline distT="0" distB="0" distL="0" distR="0" wp14:anchorId="38D8F310" wp14:editId="2B00D50B">
            <wp:extent cx="4473146" cy="3251236"/>
            <wp:effectExtent l="0" t="0" r="3810" b="6350"/>
            <wp:docPr id="40" name="Imagen 40"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Gráfico, Gráfico de barras&#10;&#10;Descripción generada automáticament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82639" cy="3258136"/>
                    </a:xfrm>
                    <a:prstGeom prst="rect">
                      <a:avLst/>
                    </a:prstGeom>
                    <a:noFill/>
                    <a:ln>
                      <a:noFill/>
                    </a:ln>
                  </pic:spPr>
                </pic:pic>
              </a:graphicData>
            </a:graphic>
          </wp:inline>
        </w:drawing>
      </w:r>
    </w:p>
    <w:p w14:paraId="458786D4" w14:textId="179E3498" w:rsidR="002E39FC" w:rsidRDefault="0097273E" w:rsidP="002E39FC">
      <w:pPr>
        <w:jc w:val="center"/>
      </w:pPr>
      <w:r>
        <w:rPr>
          <w:noProof/>
          <w:lang w:val="en-GB" w:eastAsia="en-GB"/>
        </w:rPr>
        <w:lastRenderedPageBreak/>
        <w:drawing>
          <wp:inline distT="0" distB="0" distL="0" distR="0" wp14:anchorId="54FD1641" wp14:editId="480D39E4">
            <wp:extent cx="4390768" cy="3191362"/>
            <wp:effectExtent l="0" t="0" r="0" b="9525"/>
            <wp:docPr id="41" name="Imagen 4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Gráfico, Gráfico de barras&#10;&#10;Descripción generada automáticament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07838" cy="3203769"/>
                    </a:xfrm>
                    <a:prstGeom prst="rect">
                      <a:avLst/>
                    </a:prstGeom>
                    <a:noFill/>
                    <a:ln>
                      <a:noFill/>
                    </a:ln>
                  </pic:spPr>
                </pic:pic>
              </a:graphicData>
            </a:graphic>
          </wp:inline>
        </w:drawing>
      </w:r>
    </w:p>
    <w:p w14:paraId="7B4C3ADE"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8. Las y los adolescentes se encuentran protegidos frente al trabajo peligroso</w:t>
      </w:r>
    </w:p>
    <w:p w14:paraId="367B5E45"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5FB162F4" w14:textId="4DA79BB5"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Este resultado se mide a través del porcentaje de adolescentes dentro de la edad permitida</w:t>
      </w:r>
      <w:r>
        <w:rPr>
          <w:rStyle w:val="FootnoteReference"/>
          <w:rFonts w:ascii="Open Sans Light" w:eastAsia="Open Sans Light" w:hAnsi="Open Sans Light" w:cs="Open Sans Light"/>
          <w:color w:val="000000"/>
          <w:sz w:val="24"/>
          <w:szCs w:val="24"/>
        </w:rPr>
        <w:footnoteReference w:id="2"/>
      </w:r>
      <w:r>
        <w:rPr>
          <w:rFonts w:ascii="Open Sans Light" w:eastAsia="Open Sans Light" w:hAnsi="Open Sans Light" w:cs="Open Sans Light"/>
          <w:color w:val="000000"/>
          <w:sz w:val="24"/>
          <w:szCs w:val="24"/>
        </w:rPr>
        <w:t xml:space="preserve"> que realizan trabajos peligrosos. La meta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al 2021 es erradicar el trabajo peligroso adolescente aún dentro de la edad laboral </w:t>
      </w:r>
      <w:r w:rsidR="00A1302C">
        <w:rPr>
          <w:rFonts w:ascii="Open Sans Light" w:eastAsia="Open Sans Light" w:hAnsi="Open Sans Light" w:cs="Open Sans Light"/>
          <w:color w:val="000000"/>
          <w:sz w:val="24"/>
          <w:szCs w:val="24"/>
        </w:rPr>
        <w:t xml:space="preserve">permitida. </w:t>
      </w:r>
      <w:r w:rsidR="00AE58B5" w:rsidRPr="00A61DFC">
        <w:rPr>
          <w:rFonts w:ascii="Open Sans Light" w:eastAsia="Open Sans Light" w:hAnsi="Open Sans Light" w:cs="Open Sans Light"/>
          <w:sz w:val="24"/>
          <w:szCs w:val="24"/>
        </w:rPr>
        <w:t xml:space="preserve">Utilizando como insumos los registros de años </w:t>
      </w:r>
      <w:r w:rsidR="0010237C" w:rsidRPr="00A61DFC">
        <w:rPr>
          <w:rFonts w:ascii="Open Sans Light" w:eastAsia="Open Sans Light" w:hAnsi="Open Sans Light" w:cs="Open Sans Light"/>
          <w:sz w:val="24"/>
          <w:szCs w:val="24"/>
        </w:rPr>
        <w:t>anteriores</w:t>
      </w:r>
      <w:r w:rsidRPr="00A61DFC">
        <w:rPr>
          <w:rFonts w:ascii="Open Sans Light" w:eastAsia="Open Sans Light" w:hAnsi="Open Sans Light" w:cs="Open Sans Light"/>
          <w:sz w:val="24"/>
          <w:szCs w:val="24"/>
        </w:rPr>
        <w:t>, se pronostica que el indicador se reduzca hasta un 6.15%</w:t>
      </w:r>
      <w:r w:rsidR="007F6B6E" w:rsidRPr="00A61DFC">
        <w:rPr>
          <w:rFonts w:ascii="Open Sans Light" w:eastAsia="Open Sans Light" w:hAnsi="Open Sans Light" w:cs="Open Sans Light"/>
          <w:sz w:val="24"/>
          <w:szCs w:val="24"/>
        </w:rPr>
        <w:t xml:space="preserve"> en 2021</w:t>
      </w:r>
      <w:r w:rsidRPr="00A61DFC">
        <w:rPr>
          <w:rFonts w:ascii="Open Sans Light" w:eastAsia="Open Sans Light" w:hAnsi="Open Sans Light" w:cs="Open Sans Light"/>
          <w:sz w:val="24"/>
          <w:szCs w:val="24"/>
        </w:rPr>
        <w:t>, lo que supone un avance correspondiente al 45% respecto a la meta programada</w:t>
      </w:r>
      <w:r w:rsidR="00AE58B5" w:rsidRPr="00A61DFC">
        <w:rPr>
          <w:rFonts w:ascii="Open Sans Light" w:eastAsia="Open Sans Light" w:hAnsi="Open Sans Light" w:cs="Open Sans Light"/>
          <w:sz w:val="24"/>
          <w:szCs w:val="24"/>
        </w:rPr>
        <w:t xml:space="preserve"> (erradicación completa)</w:t>
      </w:r>
      <w:r w:rsidRPr="00A61DFC">
        <w:rPr>
          <w:rFonts w:ascii="Open Sans Light" w:eastAsia="Open Sans Light" w:hAnsi="Open Sans Light" w:cs="Open Sans Light"/>
          <w:sz w:val="24"/>
          <w:szCs w:val="24"/>
        </w:rPr>
        <w:t xml:space="preserve">. </w:t>
      </w:r>
    </w:p>
    <w:p w14:paraId="332E15B7" w14:textId="779EE3F3" w:rsidR="002E39FC" w:rsidRDefault="008E08CA" w:rsidP="002E39FC">
      <w:pPr>
        <w:spacing w:after="0" w:line="240" w:lineRule="auto"/>
        <w:jc w:val="center"/>
        <w:rPr>
          <w:rFonts w:ascii="Open Sans Light" w:eastAsia="Open Sans Light" w:hAnsi="Open Sans Light" w:cs="Open Sans Light"/>
          <w:color w:val="000000"/>
          <w:sz w:val="20"/>
          <w:szCs w:val="20"/>
        </w:rPr>
      </w:pPr>
      <w:r>
        <w:rPr>
          <w:noProof/>
          <w:lang w:val="en-GB" w:eastAsia="en-GB"/>
        </w:rPr>
        <w:lastRenderedPageBreak/>
        <w:drawing>
          <wp:inline distT="0" distB="0" distL="0" distR="0" wp14:anchorId="586A5CF8" wp14:editId="6C42613E">
            <wp:extent cx="4300151" cy="3009059"/>
            <wp:effectExtent l="0" t="0" r="5715" b="1270"/>
            <wp:docPr id="24" name="Imagen 24"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Gráfico, Gráfico de líneas&#10;&#10;Descripción generada automáticamente"/>
                    <pic:cNvPicPr>
                      <a:picLocks noChangeAspect="1" noChangeArrowheads="1"/>
                    </pic:cNvPicPr>
                  </pic:nvPicPr>
                  <pic:blipFill rotWithShape="1">
                    <a:blip r:embed="rId67">
                      <a:extLst>
                        <a:ext uri="{28A0092B-C50C-407E-A947-70E740481C1C}">
                          <a14:useLocalDpi xmlns:a14="http://schemas.microsoft.com/office/drawing/2010/main" val="0"/>
                        </a:ext>
                      </a:extLst>
                    </a:blip>
                    <a:srcRect t="1765" b="1961"/>
                    <a:stretch/>
                  </pic:blipFill>
                  <pic:spPr bwMode="auto">
                    <a:xfrm>
                      <a:off x="0" y="0"/>
                      <a:ext cx="4311412" cy="3016939"/>
                    </a:xfrm>
                    <a:prstGeom prst="rect">
                      <a:avLst/>
                    </a:prstGeom>
                    <a:noFill/>
                    <a:ln>
                      <a:noFill/>
                    </a:ln>
                    <a:extLst>
                      <a:ext uri="{53640926-AAD7-44D8-BBD7-CCE9431645EC}">
                        <a14:shadowObscured xmlns:a14="http://schemas.microsoft.com/office/drawing/2010/main"/>
                      </a:ext>
                    </a:extLst>
                  </pic:spPr>
                </pic:pic>
              </a:graphicData>
            </a:graphic>
          </wp:inline>
        </w:drawing>
      </w:r>
    </w:p>
    <w:p w14:paraId="0A03D69D" w14:textId="77777777" w:rsidR="002E39FC" w:rsidRDefault="002E39FC" w:rsidP="002E39FC">
      <w:pPr>
        <w:spacing w:after="0" w:line="240" w:lineRule="auto"/>
        <w:jc w:val="both"/>
        <w:rPr>
          <w:rFonts w:ascii="Open Sans Light" w:eastAsia="Open Sans Light" w:hAnsi="Open Sans Light" w:cs="Open Sans Light"/>
          <w:color w:val="000000"/>
          <w:sz w:val="20"/>
          <w:szCs w:val="20"/>
        </w:rPr>
      </w:pPr>
    </w:p>
    <w:p w14:paraId="504D034D" w14:textId="3943C623" w:rsidR="002E39FC" w:rsidRPr="004B238D" w:rsidRDefault="002E39FC" w:rsidP="002E39FC">
      <w:pPr>
        <w:spacing w:after="0" w:line="240" w:lineRule="auto"/>
        <w:jc w:val="both"/>
        <w:rPr>
          <w:rFonts w:ascii="Open Sans Light" w:eastAsia="Open Sans Light" w:hAnsi="Open Sans Light" w:cs="Open Sans Light"/>
          <w:color w:val="000000"/>
          <w:sz w:val="24"/>
          <w:szCs w:val="20"/>
        </w:rPr>
      </w:pPr>
      <w:r w:rsidRPr="004B238D">
        <w:rPr>
          <w:rFonts w:ascii="Open Sans Light" w:eastAsia="Open Sans Light" w:hAnsi="Open Sans Light" w:cs="Open Sans Light"/>
          <w:color w:val="000000"/>
          <w:sz w:val="24"/>
          <w:szCs w:val="20"/>
        </w:rPr>
        <w:t xml:space="preserve">Como se aprecia en </w:t>
      </w:r>
      <w:r w:rsidR="00AE58B5" w:rsidRPr="004B238D">
        <w:rPr>
          <w:rFonts w:ascii="Open Sans Light" w:eastAsia="Open Sans Light" w:hAnsi="Open Sans Light" w:cs="Open Sans Light"/>
          <w:color w:val="000000"/>
          <w:sz w:val="24"/>
          <w:szCs w:val="20"/>
        </w:rPr>
        <w:t>el siguiente</w:t>
      </w:r>
      <w:r w:rsidR="00B306CB" w:rsidRPr="004B238D">
        <w:rPr>
          <w:rFonts w:ascii="Open Sans Light" w:eastAsia="Open Sans Light" w:hAnsi="Open Sans Light" w:cs="Open Sans Light"/>
          <w:color w:val="000000"/>
          <w:sz w:val="24"/>
          <w:szCs w:val="20"/>
        </w:rPr>
        <w:t xml:space="preserve"> gráfico</w:t>
      </w:r>
      <w:r w:rsidRPr="004B238D">
        <w:rPr>
          <w:rFonts w:ascii="Open Sans Light" w:eastAsia="Open Sans Light" w:hAnsi="Open Sans Light" w:cs="Open Sans Light"/>
          <w:color w:val="000000"/>
          <w:sz w:val="24"/>
          <w:szCs w:val="20"/>
        </w:rPr>
        <w:t xml:space="preserve">, el trabajo peligroso en adolescentes se encuentra de manera más prevalente en las regiones de la selva central y oriental, entre las cuales están los departamentos de San Martín (41.96%), Huánuco (38.62%) y Ayacucho (35.84%). </w:t>
      </w:r>
      <w:r w:rsidRPr="00A61DFC">
        <w:rPr>
          <w:rFonts w:ascii="Open Sans Light" w:eastAsia="Open Sans Light" w:hAnsi="Open Sans Light" w:cs="Open Sans Light"/>
          <w:sz w:val="24"/>
          <w:szCs w:val="20"/>
        </w:rPr>
        <w:t xml:space="preserve">Estas cifras </w:t>
      </w:r>
      <w:r w:rsidR="00720892" w:rsidRPr="00A61DFC">
        <w:rPr>
          <w:rFonts w:ascii="Open Sans Light" w:eastAsia="Open Sans Light" w:hAnsi="Open Sans Light" w:cs="Open Sans Light"/>
          <w:sz w:val="24"/>
          <w:szCs w:val="20"/>
        </w:rPr>
        <w:t>están a poco de duplicar</w:t>
      </w:r>
      <w:r w:rsidRPr="00A61DFC">
        <w:rPr>
          <w:rFonts w:ascii="Open Sans Light" w:eastAsia="Open Sans Light" w:hAnsi="Open Sans Light" w:cs="Open Sans Light"/>
          <w:sz w:val="24"/>
          <w:szCs w:val="20"/>
        </w:rPr>
        <w:t xml:space="preserve"> el promedio nacional</w:t>
      </w:r>
      <w:r w:rsidR="00AE58B5" w:rsidRPr="00A61DFC">
        <w:rPr>
          <w:rFonts w:ascii="Open Sans Light" w:eastAsia="Open Sans Light" w:hAnsi="Open Sans Light" w:cs="Open Sans Light"/>
          <w:sz w:val="24"/>
          <w:szCs w:val="20"/>
        </w:rPr>
        <w:t xml:space="preserve"> (23.22%)</w:t>
      </w:r>
      <w:r w:rsidRPr="00A61DFC">
        <w:rPr>
          <w:rFonts w:ascii="Open Sans Light" w:eastAsia="Open Sans Light" w:hAnsi="Open Sans Light" w:cs="Open Sans Light"/>
          <w:sz w:val="24"/>
          <w:szCs w:val="20"/>
        </w:rPr>
        <w:t xml:space="preserve">, lo cual </w:t>
      </w:r>
      <w:r w:rsidR="00AE58B5" w:rsidRPr="00A61DFC">
        <w:rPr>
          <w:rFonts w:ascii="Open Sans Light" w:eastAsia="Open Sans Light" w:hAnsi="Open Sans Light" w:cs="Open Sans Light"/>
          <w:sz w:val="24"/>
          <w:szCs w:val="20"/>
        </w:rPr>
        <w:t xml:space="preserve">demandaría esfuerzos focalizados territorialmente. </w:t>
      </w:r>
    </w:p>
    <w:p w14:paraId="22AA7C60" w14:textId="77777777" w:rsidR="00B306CB" w:rsidRDefault="00B306CB" w:rsidP="002E39FC">
      <w:pPr>
        <w:spacing w:after="0" w:line="240" w:lineRule="auto"/>
        <w:jc w:val="both"/>
        <w:rPr>
          <w:rFonts w:ascii="Open Sans Light" w:eastAsia="Open Sans Light" w:hAnsi="Open Sans Light" w:cs="Open Sans Light"/>
          <w:color w:val="000000"/>
          <w:sz w:val="20"/>
          <w:szCs w:val="20"/>
        </w:rPr>
      </w:pPr>
    </w:p>
    <w:p w14:paraId="358478A4" w14:textId="0A2CDC21" w:rsidR="002E39FC" w:rsidRDefault="00E17D24" w:rsidP="002E39FC">
      <w:pPr>
        <w:jc w:val="center"/>
        <w:rPr>
          <w:rFonts w:ascii="Open Sans Light" w:eastAsia="Open Sans Light" w:hAnsi="Open Sans Light" w:cs="Open Sans Light"/>
          <w:color w:val="000000"/>
          <w:sz w:val="24"/>
          <w:szCs w:val="24"/>
        </w:rPr>
      </w:pPr>
      <w:r w:rsidRPr="00E17D24">
        <w:rPr>
          <w:rFonts w:ascii="Open Sans Light" w:eastAsia="Open Sans Light" w:hAnsi="Open Sans Light" w:cs="Open Sans Light"/>
          <w:noProof/>
          <w:color w:val="000000"/>
          <w:sz w:val="24"/>
          <w:szCs w:val="24"/>
          <w:lang w:val="en-GB" w:eastAsia="en-GB"/>
        </w:rPr>
        <w:drawing>
          <wp:inline distT="0" distB="0" distL="0" distR="0" wp14:anchorId="7F0A9CF5" wp14:editId="4DCDF8A9">
            <wp:extent cx="4446092" cy="322923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65845" cy="3243578"/>
                    </a:xfrm>
                    <a:prstGeom prst="rect">
                      <a:avLst/>
                    </a:prstGeom>
                    <a:noFill/>
                    <a:ln>
                      <a:noFill/>
                    </a:ln>
                  </pic:spPr>
                </pic:pic>
              </a:graphicData>
            </a:graphic>
          </wp:inline>
        </w:drawing>
      </w:r>
      <w:r w:rsidR="002E39FC">
        <w:rPr>
          <w:rFonts w:ascii="Open Sans Light" w:eastAsia="Open Sans Light" w:hAnsi="Open Sans Light" w:cs="Open Sans Light"/>
          <w:color w:val="000000"/>
          <w:sz w:val="24"/>
          <w:szCs w:val="24"/>
        </w:rPr>
        <w:t xml:space="preserve"> </w:t>
      </w:r>
    </w:p>
    <w:p w14:paraId="3614F2FC"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p>
    <w:p w14:paraId="5CBA8B5B"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lastRenderedPageBreak/>
        <w:t>Resultado 9. Las y los adolescentes postergan su maternidad y paternidad hasta alcanzar la edad adulta</w:t>
      </w:r>
    </w:p>
    <w:p w14:paraId="7B810BC7"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20ADDCD0"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Este resultado se mide a través del indicador Porcentaje de mujeres (15- 19 años de edad) que ya son madres o están embarazadas por primera vez. </w:t>
      </w:r>
    </w:p>
    <w:p w14:paraId="48FCD36E"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264801D2" w14:textId="7DC1028A" w:rsidR="002E39FC" w:rsidRDefault="002E39FC" w:rsidP="002E39FC">
      <w:pPr>
        <w:spacing w:after="0" w:line="240" w:lineRule="auto"/>
        <w:jc w:val="center"/>
        <w:rPr>
          <w:rFonts w:ascii="Open Sans Light" w:eastAsia="Open Sans Light" w:hAnsi="Open Sans Light" w:cs="Open Sans Light"/>
          <w:color w:val="000000"/>
          <w:sz w:val="18"/>
          <w:szCs w:val="18"/>
        </w:rPr>
      </w:pPr>
    </w:p>
    <w:p w14:paraId="53C96499" w14:textId="4245054A" w:rsidR="00920E65" w:rsidRDefault="002E39FC" w:rsidP="002E39FC">
      <w:pPr>
        <w:jc w:val="both"/>
        <w:rPr>
          <w:rFonts w:ascii="Open Sans Light" w:eastAsia="Open Sans Light" w:hAnsi="Open Sans Light" w:cs="Open Sans Light"/>
          <w:sz w:val="24"/>
          <w:szCs w:val="24"/>
        </w:rPr>
      </w:pPr>
      <w:r>
        <w:rPr>
          <w:rFonts w:ascii="Open Sans Light" w:eastAsia="Open Sans Light" w:hAnsi="Open Sans Light" w:cs="Open Sans Light"/>
          <w:color w:val="000000"/>
          <w:sz w:val="24"/>
          <w:szCs w:val="24"/>
        </w:rPr>
        <w:t xml:space="preserve">Este indicador descendió en 2.1 puntos porcentuales entre 2019 y 2020, y 4.2 puntos porcentuales desde el año previo de implementación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en 2011, donde alcanzaba un 12% de adolescentes de 15 a 19 años ya eran madres o reportaron estar embarazadas por primera vez, con respecto al año 2020. </w:t>
      </w:r>
      <w:r w:rsidRPr="00A61DFC">
        <w:rPr>
          <w:rFonts w:ascii="Open Sans Light" w:eastAsia="Open Sans Light" w:hAnsi="Open Sans Light" w:cs="Open Sans Light"/>
          <w:sz w:val="24"/>
          <w:szCs w:val="24"/>
        </w:rPr>
        <w:t>Asimismo, se observa una tendencia claramente decreciente durante los últimos 4 años, lo que indicaría que</w:t>
      </w:r>
      <w:r w:rsidR="003F1C9F" w:rsidRPr="00A61DFC">
        <w:rPr>
          <w:rFonts w:ascii="Open Sans Light" w:eastAsia="Open Sans Light" w:hAnsi="Open Sans Light" w:cs="Open Sans Light"/>
          <w:sz w:val="24"/>
          <w:szCs w:val="24"/>
        </w:rPr>
        <w:t>, de mantenerse la tendencia observada, el porcentaje de mujeres en este grupo etario que ya son madres o están embarazadas por primera vez baje hasta 7.73%, se</w:t>
      </w:r>
      <w:r w:rsidRPr="00A61DFC">
        <w:rPr>
          <w:rFonts w:ascii="Open Sans Light" w:eastAsia="Open Sans Light" w:hAnsi="Open Sans Light" w:cs="Open Sans Light"/>
          <w:sz w:val="24"/>
          <w:szCs w:val="24"/>
        </w:rPr>
        <w:t xml:space="preserve">gún lo pronosticado. </w:t>
      </w:r>
      <w:r w:rsidR="007E6391" w:rsidRPr="00A61DFC">
        <w:rPr>
          <w:rFonts w:ascii="Open Sans Light" w:eastAsia="Open Sans Light" w:hAnsi="Open Sans Light" w:cs="Open Sans Light"/>
          <w:sz w:val="24"/>
          <w:szCs w:val="24"/>
        </w:rPr>
        <w:t>Es importante resaltar que el valor del indicador, al cierre del 2021, estaría cumpliendo la meta programada, la cual se esperaba que disminuya en un 20% respecto a su línea de base (2011).</w:t>
      </w:r>
    </w:p>
    <w:p w14:paraId="337AAD7B" w14:textId="040CC6EA" w:rsidR="002E39FC" w:rsidRDefault="00920E65" w:rsidP="0010237C">
      <w:pPr>
        <w:jc w:val="center"/>
        <w:rPr>
          <w:rFonts w:ascii="Open Sans Light" w:eastAsia="Open Sans Light" w:hAnsi="Open Sans Light" w:cs="Open Sans Light"/>
          <w:sz w:val="24"/>
          <w:szCs w:val="24"/>
        </w:rPr>
      </w:pPr>
      <w:r w:rsidRPr="00E40108">
        <w:rPr>
          <w:rFonts w:ascii="Open Sans Light" w:eastAsia="Open Sans Light" w:hAnsi="Open Sans Light" w:cs="Open Sans Light"/>
          <w:noProof/>
          <w:color w:val="000000"/>
          <w:sz w:val="18"/>
          <w:szCs w:val="18"/>
          <w:lang w:val="en-GB" w:eastAsia="en-GB"/>
        </w:rPr>
        <w:drawing>
          <wp:inline distT="0" distB="0" distL="0" distR="0" wp14:anchorId="1FFBE96F" wp14:editId="64359524">
            <wp:extent cx="4670854" cy="3392478"/>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73743" cy="3394576"/>
                    </a:xfrm>
                    <a:prstGeom prst="rect">
                      <a:avLst/>
                    </a:prstGeom>
                    <a:noFill/>
                    <a:ln>
                      <a:noFill/>
                    </a:ln>
                  </pic:spPr>
                </pic:pic>
              </a:graphicData>
            </a:graphic>
          </wp:inline>
        </w:drawing>
      </w:r>
    </w:p>
    <w:p w14:paraId="6987A80D" w14:textId="77777777" w:rsidR="00DF5B2E" w:rsidRPr="00A61DFC" w:rsidRDefault="00DF5B2E" w:rsidP="00A1302C">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Desde un análisis regional, se tiene que Lima Metropolitana (5.7%) ha conseguido mejores resultados que sus pares del Resto de la Costa (8.9%), Selva (18.7%) y Sierra (9.5%). Nuevamente, estos resultados exigirían mayores esfuerzos por focalizar las estrategias implementadas de manera territorial. </w:t>
      </w:r>
    </w:p>
    <w:p w14:paraId="7937B780" w14:textId="77777777" w:rsidR="00DF5B2E" w:rsidRDefault="00DF5B2E" w:rsidP="002E39FC">
      <w:pPr>
        <w:jc w:val="both"/>
        <w:rPr>
          <w:rFonts w:ascii="Open Sans Light" w:eastAsia="Open Sans Light" w:hAnsi="Open Sans Light" w:cs="Open Sans Light"/>
          <w:sz w:val="24"/>
          <w:szCs w:val="24"/>
        </w:rPr>
      </w:pPr>
    </w:p>
    <w:p w14:paraId="29055131" w14:textId="53F5E443" w:rsidR="002E39FC" w:rsidRDefault="0097273E" w:rsidP="002E39FC">
      <w:pPr>
        <w:jc w:val="center"/>
        <w:rPr>
          <w:rFonts w:ascii="Open Sans Light" w:eastAsia="Open Sans Light" w:hAnsi="Open Sans Light" w:cs="Open Sans Light"/>
          <w:sz w:val="24"/>
          <w:szCs w:val="24"/>
        </w:rPr>
      </w:pPr>
      <w:r>
        <w:rPr>
          <w:noProof/>
          <w:lang w:val="en-GB" w:eastAsia="en-GB"/>
        </w:rPr>
        <w:drawing>
          <wp:inline distT="0" distB="0" distL="0" distR="0" wp14:anchorId="7C5B4B64" wp14:editId="07013CFA">
            <wp:extent cx="4166559" cy="3028398"/>
            <wp:effectExtent l="0" t="0" r="5715" b="635"/>
            <wp:docPr id="42" name="Imagen 4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Gráfico, Gráfico de barras&#10;&#10;Descripción generada automáticament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82871" cy="3040254"/>
                    </a:xfrm>
                    <a:prstGeom prst="rect">
                      <a:avLst/>
                    </a:prstGeom>
                    <a:noFill/>
                    <a:ln>
                      <a:noFill/>
                    </a:ln>
                  </pic:spPr>
                </pic:pic>
              </a:graphicData>
            </a:graphic>
          </wp:inline>
        </w:drawing>
      </w:r>
    </w:p>
    <w:p w14:paraId="4C088AC9" w14:textId="7BC2F980" w:rsidR="002E39FC" w:rsidRDefault="002E39FC" w:rsidP="002E39FC">
      <w:pPr>
        <w:jc w:val="both"/>
        <w:rPr>
          <w:rFonts w:ascii="Open Sans Light" w:hAnsi="Open Sans Light" w:cs="Open Sans Light"/>
          <w:sz w:val="24"/>
          <w:szCs w:val="24"/>
        </w:rPr>
      </w:pPr>
      <w:r>
        <w:rPr>
          <w:rFonts w:ascii="Open Sans Light" w:hAnsi="Open Sans Light" w:cs="Open Sans Light"/>
          <w:sz w:val="24"/>
          <w:szCs w:val="24"/>
        </w:rPr>
        <w:t xml:space="preserve">A nivel departamental, las regiones de la selva como Loreto, Ucayali, Amazonas y San Martín superan el 15% de adolescentes entre 15 y 19 años que ya son madres o están embarazadas por primera vez. En el caso de Loreto, 1 de </w:t>
      </w:r>
      <w:r w:rsidR="00DF5B2E">
        <w:rPr>
          <w:rFonts w:ascii="Open Sans Light" w:hAnsi="Open Sans Light" w:cs="Open Sans Light"/>
          <w:sz w:val="24"/>
          <w:szCs w:val="24"/>
        </w:rPr>
        <w:t xml:space="preserve">cada </w:t>
      </w:r>
      <w:r>
        <w:rPr>
          <w:rFonts w:ascii="Open Sans Light" w:hAnsi="Open Sans Light" w:cs="Open Sans Light"/>
          <w:sz w:val="24"/>
          <w:szCs w:val="24"/>
        </w:rPr>
        <w:t xml:space="preserve">4 adolescentes es madre (ENDES, 2019). </w:t>
      </w:r>
      <w:r w:rsidRPr="00A61DFC">
        <w:rPr>
          <w:rFonts w:ascii="Open Sans Light" w:hAnsi="Open Sans Light" w:cs="Open Sans Light"/>
          <w:sz w:val="24"/>
          <w:szCs w:val="24"/>
        </w:rPr>
        <w:t>En tanto</w:t>
      </w:r>
      <w:r w:rsidR="00DF5B2E" w:rsidRPr="00A61DFC">
        <w:rPr>
          <w:rFonts w:ascii="Open Sans Light" w:hAnsi="Open Sans Light" w:cs="Open Sans Light"/>
          <w:sz w:val="24"/>
          <w:szCs w:val="24"/>
        </w:rPr>
        <w:t xml:space="preserve"> que, en</w:t>
      </w:r>
      <w:r w:rsidRPr="00A61DFC">
        <w:rPr>
          <w:rFonts w:ascii="Open Sans Light" w:hAnsi="Open Sans Light" w:cs="Open Sans Light"/>
          <w:sz w:val="24"/>
          <w:szCs w:val="24"/>
        </w:rPr>
        <w:t xml:space="preserve"> las regiones de la costa sur como Arequipa, Moquegua y Tacna</w:t>
      </w:r>
      <w:r w:rsidR="00DF5B2E" w:rsidRPr="00A61DFC">
        <w:rPr>
          <w:rFonts w:ascii="Open Sans Light" w:hAnsi="Open Sans Light" w:cs="Open Sans Light"/>
          <w:sz w:val="24"/>
          <w:szCs w:val="24"/>
        </w:rPr>
        <w:t>, estas</w:t>
      </w:r>
      <w:r w:rsidRPr="00A61DFC">
        <w:rPr>
          <w:rFonts w:ascii="Open Sans Light" w:hAnsi="Open Sans Light" w:cs="Open Sans Light"/>
          <w:sz w:val="24"/>
          <w:szCs w:val="24"/>
        </w:rPr>
        <w:t xml:space="preserve"> tasas </w:t>
      </w:r>
      <w:r w:rsidR="00DF5B2E" w:rsidRPr="00A61DFC">
        <w:rPr>
          <w:rFonts w:ascii="Open Sans Light" w:hAnsi="Open Sans Light" w:cs="Open Sans Light"/>
          <w:sz w:val="24"/>
          <w:szCs w:val="24"/>
        </w:rPr>
        <w:t xml:space="preserve">de embarazo adolescente son </w:t>
      </w:r>
      <w:r w:rsidRPr="00A61DFC">
        <w:rPr>
          <w:rFonts w:ascii="Open Sans Light" w:hAnsi="Open Sans Light" w:cs="Open Sans Light"/>
          <w:sz w:val="24"/>
          <w:szCs w:val="24"/>
        </w:rPr>
        <w:t>más bajas para el mismo periodo.</w:t>
      </w:r>
    </w:p>
    <w:p w14:paraId="7EC10D85" w14:textId="3F0C3817" w:rsidR="002E39FC" w:rsidRDefault="005357BA" w:rsidP="002E39FC">
      <w:pPr>
        <w:jc w:val="center"/>
        <w:rPr>
          <w:rFonts w:ascii="Open Sans Light" w:eastAsia="Open Sans Light" w:hAnsi="Open Sans Light" w:cs="Open Sans Light"/>
          <w:i/>
          <w:color w:val="7030A0"/>
          <w:sz w:val="24"/>
          <w:szCs w:val="24"/>
        </w:rPr>
      </w:pPr>
      <w:r w:rsidRPr="005357BA">
        <w:rPr>
          <w:noProof/>
          <w:lang w:val="en-GB" w:eastAsia="en-GB"/>
        </w:rPr>
        <w:lastRenderedPageBreak/>
        <w:drawing>
          <wp:inline distT="0" distB="0" distL="0" distR="0" wp14:anchorId="3AC87934" wp14:editId="545196C5">
            <wp:extent cx="5353050" cy="3887962"/>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53050" cy="3887962"/>
                    </a:xfrm>
                    <a:prstGeom prst="rect">
                      <a:avLst/>
                    </a:prstGeom>
                    <a:noFill/>
                    <a:ln>
                      <a:noFill/>
                    </a:ln>
                  </pic:spPr>
                </pic:pic>
              </a:graphicData>
            </a:graphic>
          </wp:inline>
        </w:drawing>
      </w:r>
      <w:r w:rsidR="002E39FC">
        <w:br w:type="page"/>
      </w:r>
    </w:p>
    <w:p w14:paraId="4F30929D"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lastRenderedPageBreak/>
        <w:t>Resultado 10. Las y los adolescentes disminuyen el consumo de drogas legales e ilegales</w:t>
      </w:r>
    </w:p>
    <w:p w14:paraId="15756F13"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5532DDCE" w14:textId="215955A0"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Este resultado se mide a través de la prevalencia anual de consumo de drogas en población escolar de secundaria de 12 a 17 años de edad en ciudades de más de 30 mil habitantes. La meta al 2021 era reducir en 5% la prevalencia anual del consumo de drogas legales e ilegales. Esto es, en comparación con los resultados del año base (2012), se esperaba lograr un 22.1% y 3.6% en consumo de drogas legales e ilegales, respectivamente. Dada la limitada cantidad de datos disponibles, el indicador no fue proyectado al 2021.</w:t>
      </w:r>
    </w:p>
    <w:p w14:paraId="1B7400A1"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78CCC74F" w14:textId="0D48A212" w:rsidR="008C3A6A" w:rsidRPr="00EB4DA0" w:rsidRDefault="002E39FC" w:rsidP="008C3A6A">
      <w:pPr>
        <w:spacing w:after="0" w:line="240" w:lineRule="auto"/>
        <w:jc w:val="both"/>
        <w:rPr>
          <w:rFonts w:ascii="Open Sans Light" w:eastAsia="Open Sans Light" w:hAnsi="Open Sans Light" w:cs="Open Sans Light"/>
          <w:color w:val="000000"/>
          <w:sz w:val="24"/>
          <w:szCs w:val="24"/>
        </w:rPr>
      </w:pPr>
      <w:r w:rsidRPr="00EB4DA0">
        <w:rPr>
          <w:rFonts w:ascii="Open Sans Light" w:eastAsia="Open Sans Light" w:hAnsi="Open Sans Light" w:cs="Open Sans Light"/>
          <w:color w:val="000000"/>
          <w:sz w:val="24"/>
          <w:szCs w:val="24"/>
        </w:rPr>
        <w:t xml:space="preserve">Conviene resaltar que, según la última información correspondiente al año 2017, ya se ha superado la meta para las drogas legales. </w:t>
      </w:r>
      <w:r w:rsidR="008C3A6A" w:rsidRPr="00A61DFC">
        <w:rPr>
          <w:rFonts w:ascii="Open Sans Light" w:eastAsia="Open Sans Light" w:hAnsi="Open Sans Light" w:cs="Open Sans Light"/>
          <w:sz w:val="24"/>
          <w:szCs w:val="24"/>
        </w:rPr>
        <w:t xml:space="preserve">Así, la prevalencia anual de consumo de drogas </w:t>
      </w:r>
      <w:r w:rsidR="007D7D33" w:rsidRPr="00A61DFC">
        <w:rPr>
          <w:rFonts w:ascii="Open Sans Light" w:eastAsia="Open Sans Light" w:hAnsi="Open Sans Light" w:cs="Open Sans Light"/>
          <w:sz w:val="24"/>
          <w:szCs w:val="24"/>
        </w:rPr>
        <w:t xml:space="preserve">legales </w:t>
      </w:r>
      <w:r w:rsidR="008C3A6A" w:rsidRPr="00A61DFC">
        <w:rPr>
          <w:rFonts w:ascii="Open Sans Light" w:eastAsia="Open Sans Light" w:hAnsi="Open Sans Light" w:cs="Open Sans Light"/>
          <w:sz w:val="24"/>
          <w:szCs w:val="24"/>
        </w:rPr>
        <w:t xml:space="preserve">en población escolar de secundaria ha bajado de 28.9% en 2009 hasta 20.3% en 2017. </w:t>
      </w:r>
      <w:r w:rsidRPr="00A61DFC">
        <w:rPr>
          <w:rFonts w:ascii="Open Sans Light" w:eastAsia="Open Sans Light" w:hAnsi="Open Sans Light" w:cs="Open Sans Light"/>
          <w:sz w:val="24"/>
          <w:szCs w:val="24"/>
        </w:rPr>
        <w:t xml:space="preserve">Este avance es identificado como uno de los principales logros de las acciones desarrolladas por DEVIDA, según lo señalado por las y los actores entrevistados para esta evaluación. </w:t>
      </w:r>
      <w:r w:rsidR="008C3A6A" w:rsidRPr="00A61DFC">
        <w:rPr>
          <w:rFonts w:ascii="Open Sans Light" w:eastAsia="Open Sans Light" w:hAnsi="Open Sans Light" w:cs="Open Sans Light"/>
          <w:sz w:val="24"/>
          <w:szCs w:val="24"/>
        </w:rPr>
        <w:t xml:space="preserve">Sin embargo, aún queda pendiente la reducción en casi un punto porcentual para el caso de las drogas ilegales, donde se presentó un incremento asociado al uso de marihuana en población escolar, alcanzando a cerca del 2.5% de la población escolar. </w:t>
      </w:r>
    </w:p>
    <w:p w14:paraId="4C48DD54" w14:textId="630726B2" w:rsidR="002E39FC" w:rsidRPr="00902D1B" w:rsidRDefault="002E39FC" w:rsidP="002E39FC">
      <w:pPr>
        <w:spacing w:after="0" w:line="240" w:lineRule="auto"/>
        <w:jc w:val="both"/>
        <w:rPr>
          <w:rFonts w:ascii="Open Sans Light" w:eastAsia="Open Sans Light" w:hAnsi="Open Sans Light" w:cs="Open Sans Light"/>
          <w:color w:val="000000"/>
          <w:sz w:val="24"/>
          <w:szCs w:val="24"/>
          <w:highlight w:val="yellow"/>
        </w:rPr>
      </w:pPr>
    </w:p>
    <w:p w14:paraId="225FCC3D" w14:textId="0E4BD161" w:rsidR="002E39FC" w:rsidRPr="00902D1B" w:rsidRDefault="00AF6D45" w:rsidP="002E39FC">
      <w:pPr>
        <w:spacing w:after="0" w:line="240" w:lineRule="auto"/>
        <w:jc w:val="center"/>
        <w:rPr>
          <w:rFonts w:ascii="Open Sans Light" w:eastAsia="Open Sans Light" w:hAnsi="Open Sans Light" w:cs="Open Sans Light"/>
          <w:color w:val="000000"/>
          <w:sz w:val="24"/>
          <w:szCs w:val="24"/>
          <w:highlight w:val="yellow"/>
        </w:rPr>
      </w:pPr>
      <w:r w:rsidRPr="00AF6D45">
        <w:rPr>
          <w:noProof/>
          <w:lang w:val="en-GB" w:eastAsia="en-GB"/>
        </w:rPr>
        <w:drawing>
          <wp:inline distT="0" distB="0" distL="0" distR="0" wp14:anchorId="7A6B8F3E" wp14:editId="78BD27D4">
            <wp:extent cx="4316627" cy="3141745"/>
            <wp:effectExtent l="0" t="0" r="8255"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7040" cy="3149324"/>
                    </a:xfrm>
                    <a:prstGeom prst="rect">
                      <a:avLst/>
                    </a:prstGeom>
                    <a:noFill/>
                    <a:ln>
                      <a:noFill/>
                    </a:ln>
                  </pic:spPr>
                </pic:pic>
              </a:graphicData>
            </a:graphic>
          </wp:inline>
        </w:drawing>
      </w:r>
      <w:r w:rsidR="007D7D33" w:rsidRPr="007D7D33">
        <w:rPr>
          <w:noProof/>
          <w:lang w:eastAsia="es-MX"/>
        </w:rPr>
        <w:t xml:space="preserve"> </w:t>
      </w:r>
    </w:p>
    <w:p w14:paraId="7AD52060" w14:textId="1D3DD5F8" w:rsidR="00572F16" w:rsidRPr="00A61DFC" w:rsidRDefault="00C12433" w:rsidP="00C12433">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En cuanto al consumo de drogas ilegales, un análisis desagregado permite dilucidar que la marihuana se configura como la opción con mayor prevalencia entre la población escolar. </w:t>
      </w:r>
    </w:p>
    <w:p w14:paraId="1E0A80C6" w14:textId="661256A1" w:rsidR="002E39FC" w:rsidRDefault="005C1F7A" w:rsidP="002E39FC">
      <w:pPr>
        <w:jc w:val="center"/>
        <w:rPr>
          <w:highlight w:val="yellow"/>
        </w:rPr>
      </w:pPr>
      <w:r>
        <w:rPr>
          <w:noProof/>
          <w:lang w:val="en-GB" w:eastAsia="en-GB"/>
        </w:rPr>
        <w:lastRenderedPageBreak/>
        <w:drawing>
          <wp:inline distT="0" distB="0" distL="0" distR="0" wp14:anchorId="75E920DB" wp14:editId="66EDFB90">
            <wp:extent cx="3871661" cy="2811780"/>
            <wp:effectExtent l="0" t="0" r="0" b="7620"/>
            <wp:docPr id="49" name="Imagen 49"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Gráfico, Gráfico de barras&#10;&#10;Descripción generada automáticament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76363" cy="2815195"/>
                    </a:xfrm>
                    <a:prstGeom prst="rect">
                      <a:avLst/>
                    </a:prstGeom>
                    <a:noFill/>
                    <a:ln>
                      <a:noFill/>
                    </a:ln>
                  </pic:spPr>
                </pic:pic>
              </a:graphicData>
            </a:graphic>
          </wp:inline>
        </w:drawing>
      </w:r>
    </w:p>
    <w:p w14:paraId="34A06969" w14:textId="1D8C0D1F" w:rsidR="00842B9C" w:rsidRPr="00156027" w:rsidRDefault="001512AA" w:rsidP="00842B9C">
      <w:pPr>
        <w:spacing w:after="0" w:line="240" w:lineRule="auto"/>
        <w:jc w:val="both"/>
        <w:rPr>
          <w:rFonts w:ascii="Open Sans Light" w:hAnsi="Open Sans Light" w:cs="Open Sans Light"/>
          <w:sz w:val="24"/>
        </w:rPr>
      </w:pPr>
      <w:r>
        <w:rPr>
          <w:rFonts w:ascii="Open Sans Light" w:hAnsi="Open Sans Light" w:cs="Open Sans Light"/>
          <w:sz w:val="24"/>
        </w:rPr>
        <w:t>Al desagregar por sexo, se puede observar que</w:t>
      </w:r>
      <w:r w:rsidR="00944D0E">
        <w:rPr>
          <w:rFonts w:ascii="Open Sans Light" w:hAnsi="Open Sans Light" w:cs="Open Sans Light"/>
          <w:sz w:val="24"/>
        </w:rPr>
        <w:t xml:space="preserve"> </w:t>
      </w:r>
      <w:r>
        <w:rPr>
          <w:rFonts w:ascii="Open Sans Light" w:hAnsi="Open Sans Light" w:cs="Open Sans Light"/>
          <w:sz w:val="24"/>
        </w:rPr>
        <w:t xml:space="preserve">esta preferencia por la marihuana </w:t>
      </w:r>
      <w:r w:rsidR="000B4D63">
        <w:rPr>
          <w:rFonts w:ascii="Open Sans Light" w:hAnsi="Open Sans Light" w:cs="Open Sans Light"/>
          <w:sz w:val="24"/>
        </w:rPr>
        <w:t xml:space="preserve">es superior </w:t>
      </w:r>
      <w:r>
        <w:rPr>
          <w:rFonts w:ascii="Open Sans Light" w:hAnsi="Open Sans Light" w:cs="Open Sans Light"/>
          <w:sz w:val="24"/>
        </w:rPr>
        <w:t xml:space="preserve">en </w:t>
      </w:r>
      <w:r w:rsidR="000B4D63">
        <w:rPr>
          <w:rFonts w:ascii="Open Sans Light" w:hAnsi="Open Sans Light" w:cs="Open Sans Light"/>
          <w:sz w:val="24"/>
        </w:rPr>
        <w:t>1.1% en hombres</w:t>
      </w:r>
      <w:r>
        <w:rPr>
          <w:rFonts w:ascii="Open Sans Light" w:hAnsi="Open Sans Light" w:cs="Open Sans Light"/>
          <w:sz w:val="24"/>
        </w:rPr>
        <w:t xml:space="preserve"> respecto a las mujeres.  En cuanto a los demás tipos de drogas ilegales la diferencia es m</w:t>
      </w:r>
      <w:r w:rsidR="000B4D63">
        <w:rPr>
          <w:rFonts w:ascii="Open Sans Light" w:hAnsi="Open Sans Light" w:cs="Open Sans Light"/>
          <w:sz w:val="24"/>
        </w:rPr>
        <w:t>ínima y cercana</w:t>
      </w:r>
      <w:r>
        <w:rPr>
          <w:rFonts w:ascii="Open Sans Light" w:hAnsi="Open Sans Light" w:cs="Open Sans Light"/>
          <w:sz w:val="24"/>
        </w:rPr>
        <w:t xml:space="preserve"> a 0.0</w:t>
      </w:r>
      <w:r w:rsidR="00A57CCE">
        <w:rPr>
          <w:rFonts w:ascii="Open Sans Light" w:hAnsi="Open Sans Light" w:cs="Open Sans Light"/>
          <w:sz w:val="24"/>
        </w:rPr>
        <w:t>2</w:t>
      </w:r>
      <w:r>
        <w:rPr>
          <w:rFonts w:ascii="Open Sans Light" w:hAnsi="Open Sans Light" w:cs="Open Sans Light"/>
          <w:sz w:val="24"/>
        </w:rPr>
        <w:t>%</w:t>
      </w:r>
      <w:r w:rsidR="00944D0E">
        <w:rPr>
          <w:rFonts w:ascii="Open Sans Light" w:hAnsi="Open Sans Light" w:cs="Open Sans Light"/>
          <w:sz w:val="24"/>
        </w:rPr>
        <w:t xml:space="preserve">  </w:t>
      </w:r>
    </w:p>
    <w:p w14:paraId="59638A80" w14:textId="72196C7C" w:rsidR="00DD0BC1" w:rsidRDefault="00DD0BC1" w:rsidP="002E39FC">
      <w:pPr>
        <w:jc w:val="center"/>
        <w:rPr>
          <w:rFonts w:ascii="Open Sans Light" w:eastAsia="Open Sans Light" w:hAnsi="Open Sans Light" w:cs="Open Sans Light"/>
          <w:i/>
          <w:color w:val="7030A0"/>
          <w:sz w:val="24"/>
          <w:szCs w:val="24"/>
        </w:rPr>
      </w:pPr>
      <w:r>
        <w:rPr>
          <w:noProof/>
          <w:lang w:val="en-GB" w:eastAsia="en-GB"/>
        </w:rPr>
        <w:drawing>
          <wp:inline distT="0" distB="0" distL="0" distR="0" wp14:anchorId="0BA65DFF" wp14:editId="417E06D3">
            <wp:extent cx="4175760" cy="3032631"/>
            <wp:effectExtent l="0" t="0" r="0" b="0"/>
            <wp:docPr id="50" name="Imagen 50"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Gráfico, Gráfico de barras&#10;&#10;Descripción generada automáticament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79934" cy="3035663"/>
                    </a:xfrm>
                    <a:prstGeom prst="rect">
                      <a:avLst/>
                    </a:prstGeom>
                    <a:noFill/>
                    <a:ln>
                      <a:noFill/>
                    </a:ln>
                  </pic:spPr>
                </pic:pic>
              </a:graphicData>
            </a:graphic>
          </wp:inline>
        </w:drawing>
      </w:r>
    </w:p>
    <w:p w14:paraId="4BA2DCE2" w14:textId="2012CF6A" w:rsidR="00DC1EE0" w:rsidRDefault="00425119" w:rsidP="00DC1EE0">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Por otro lado, u</w:t>
      </w:r>
      <w:r w:rsidR="00DC1EE0" w:rsidRPr="00EB4DA0">
        <w:rPr>
          <w:rFonts w:ascii="Open Sans Light" w:eastAsia="Open Sans Light" w:hAnsi="Open Sans Light" w:cs="Open Sans Light"/>
          <w:color w:val="000000"/>
          <w:sz w:val="24"/>
          <w:szCs w:val="24"/>
        </w:rPr>
        <w:t>n tercio de los adolescentes y jóvenes entre 17 y 20 años consume drogas legales, en tanto más de la cuarta parte de adolescentes 14 a 16 años se encuentran en la misma situación.</w:t>
      </w:r>
    </w:p>
    <w:p w14:paraId="4200B985" w14:textId="77777777" w:rsidR="00DC1EE0" w:rsidRDefault="00DC1EE0" w:rsidP="00DC1EE0">
      <w:pPr>
        <w:spacing w:after="0" w:line="240" w:lineRule="auto"/>
        <w:jc w:val="both"/>
        <w:rPr>
          <w:rFonts w:ascii="Open Sans Light" w:eastAsia="Open Sans Light" w:hAnsi="Open Sans Light" w:cs="Open Sans Light"/>
          <w:color w:val="000000"/>
          <w:sz w:val="24"/>
          <w:szCs w:val="24"/>
        </w:rPr>
      </w:pPr>
    </w:p>
    <w:p w14:paraId="7F932943" w14:textId="1ED04985" w:rsidR="00DC1EE0" w:rsidRPr="00AF6D45" w:rsidRDefault="00551451" w:rsidP="00AF6D45">
      <w:pPr>
        <w:jc w:val="center"/>
      </w:pPr>
      <w:r w:rsidRPr="00551451">
        <w:rPr>
          <w:noProof/>
          <w:lang w:val="en-GB" w:eastAsia="en-GB"/>
        </w:rPr>
        <w:lastRenderedPageBreak/>
        <w:drawing>
          <wp:inline distT="0" distB="0" distL="0" distR="0" wp14:anchorId="7EBB01E6" wp14:editId="42433BAC">
            <wp:extent cx="4275438" cy="311176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84038" cy="3118026"/>
                    </a:xfrm>
                    <a:prstGeom prst="rect">
                      <a:avLst/>
                    </a:prstGeom>
                    <a:noFill/>
                    <a:ln>
                      <a:noFill/>
                    </a:ln>
                  </pic:spPr>
                </pic:pic>
              </a:graphicData>
            </a:graphic>
          </wp:inline>
        </w:drawing>
      </w:r>
      <w:r w:rsidR="00AF6D45">
        <w:t xml:space="preserve"> </w:t>
      </w:r>
    </w:p>
    <w:p w14:paraId="579D3EAC"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p>
    <w:p w14:paraId="467A390E"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11. Las y los adolescentes involucrados en conflictos con la ley penal disminuyen</w:t>
      </w:r>
    </w:p>
    <w:p w14:paraId="59EBAF7E"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41B853B5" w14:textId="364BBFAD"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Este resultado se mide a través de la tasa de expedientes ingresados a las fiscalías de familia y/o mixtas por infracción de la Ley Penal por cada 100 mil habitantes entre 14 y 17 años de edad, reportado a través del Sistema de Información al Trabajo Fiscal del Ministerio Público – Fiscalía de la Nación. En el periodo de análisis, siguiendo la meta (no cuantificable)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w:t>
      </w:r>
      <w:r>
        <w:rPr>
          <w:rFonts w:ascii="Open Sans Light" w:eastAsia="Open Sans Light" w:hAnsi="Open Sans Light" w:cs="Open Sans Light"/>
          <w:i/>
          <w:iCs/>
          <w:color w:val="000000"/>
          <w:sz w:val="24"/>
          <w:szCs w:val="24"/>
        </w:rPr>
        <w:t xml:space="preserve">“reducir la tasa de adolescentes que se encuentran en conflicto con la Ley Penal”, </w:t>
      </w:r>
      <w:r>
        <w:rPr>
          <w:rFonts w:ascii="Open Sans Light" w:eastAsia="Open Sans Light" w:hAnsi="Open Sans Light" w:cs="Open Sans Light"/>
          <w:color w:val="000000"/>
          <w:sz w:val="24"/>
          <w:szCs w:val="24"/>
        </w:rPr>
        <w:t xml:space="preserve">el indicador disminuyó desde 340 casos de adolescentes involucrados con la ley reportados al MP-FN en el año 2012, hasta poco menos de 290 casos para el año 2019. </w:t>
      </w:r>
      <w:r w:rsidR="001D4C1F" w:rsidRPr="00A61DFC">
        <w:rPr>
          <w:rFonts w:ascii="Open Sans Light" w:eastAsia="Open Sans Light" w:hAnsi="Open Sans Light" w:cs="Open Sans Light"/>
          <w:sz w:val="24"/>
          <w:szCs w:val="24"/>
        </w:rPr>
        <w:t>En e</w:t>
      </w:r>
      <w:r w:rsidRPr="00A61DFC">
        <w:rPr>
          <w:rFonts w:ascii="Open Sans Light" w:eastAsia="Open Sans Light" w:hAnsi="Open Sans Light" w:cs="Open Sans Light"/>
          <w:sz w:val="24"/>
          <w:szCs w:val="24"/>
        </w:rPr>
        <w:t xml:space="preserve">l siguiente año </w:t>
      </w:r>
      <w:r w:rsidR="001D4C1F" w:rsidRPr="00A61DFC">
        <w:rPr>
          <w:rFonts w:ascii="Open Sans Light" w:eastAsia="Open Sans Light" w:hAnsi="Open Sans Light" w:cs="Open Sans Light"/>
          <w:sz w:val="24"/>
          <w:szCs w:val="24"/>
        </w:rPr>
        <w:t>se</w:t>
      </w:r>
      <w:r w:rsidRPr="00A61DFC">
        <w:rPr>
          <w:rFonts w:ascii="Open Sans Light" w:eastAsia="Open Sans Light" w:hAnsi="Open Sans Light" w:cs="Open Sans Light"/>
          <w:sz w:val="24"/>
          <w:szCs w:val="24"/>
        </w:rPr>
        <w:t xml:space="preserve"> mostró una caída importante, con aproximadamente la tercera parte de expedientes ingresados en comparación al 2019; pero esto </w:t>
      </w:r>
      <w:r w:rsidR="001D4C1F" w:rsidRPr="00A61DFC">
        <w:rPr>
          <w:rFonts w:ascii="Open Sans Light" w:eastAsia="Open Sans Light" w:hAnsi="Open Sans Light" w:cs="Open Sans Light"/>
          <w:sz w:val="24"/>
          <w:szCs w:val="24"/>
        </w:rPr>
        <w:t>más que ser consecuencia de las gestiones para conseguir el objetivo, pudo haberse debido al</w:t>
      </w:r>
      <w:r w:rsidRPr="00A61DFC">
        <w:rPr>
          <w:rFonts w:ascii="Open Sans Light" w:eastAsia="Open Sans Light" w:hAnsi="Open Sans Light" w:cs="Open Sans Light"/>
          <w:sz w:val="24"/>
          <w:szCs w:val="24"/>
        </w:rPr>
        <w:t xml:space="preserve"> contexto de emergencia sanitaria que generó una cuarentena nacional de varios meses. </w:t>
      </w:r>
    </w:p>
    <w:p w14:paraId="577025E9" w14:textId="77777777" w:rsidR="002E39FC" w:rsidRDefault="002E39FC" w:rsidP="002E39FC">
      <w:pPr>
        <w:spacing w:after="0" w:line="240" w:lineRule="auto"/>
        <w:jc w:val="center"/>
        <w:rPr>
          <w:rFonts w:ascii="Open Sans Light" w:eastAsia="Open Sans Light" w:hAnsi="Open Sans Light" w:cs="Open Sans Light"/>
          <w:b/>
          <w:color w:val="000000"/>
          <w:sz w:val="20"/>
          <w:szCs w:val="20"/>
        </w:rPr>
      </w:pPr>
    </w:p>
    <w:p w14:paraId="046B4FB6" w14:textId="121CCC60" w:rsidR="002E39FC" w:rsidRDefault="003A6E27" w:rsidP="002E39FC">
      <w:pPr>
        <w:jc w:val="center"/>
        <w:rPr>
          <w:rFonts w:ascii="Open Sans Light" w:eastAsia="Open Sans Light" w:hAnsi="Open Sans Light" w:cs="Open Sans Light"/>
          <w:sz w:val="24"/>
          <w:szCs w:val="24"/>
        </w:rPr>
      </w:pPr>
      <w:r w:rsidRPr="003A6E27">
        <w:rPr>
          <w:rFonts w:ascii="Open Sans Light" w:eastAsia="Open Sans Light" w:hAnsi="Open Sans Light" w:cs="Open Sans Light"/>
          <w:noProof/>
          <w:sz w:val="24"/>
          <w:szCs w:val="24"/>
          <w:lang w:val="en-GB" w:eastAsia="en-GB"/>
        </w:rPr>
        <w:lastRenderedPageBreak/>
        <w:drawing>
          <wp:inline distT="0" distB="0" distL="0" distR="0" wp14:anchorId="7FA7C934" wp14:editId="50A226BC">
            <wp:extent cx="4601736" cy="3342277"/>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08063" cy="3346872"/>
                    </a:xfrm>
                    <a:prstGeom prst="rect">
                      <a:avLst/>
                    </a:prstGeom>
                    <a:noFill/>
                    <a:ln>
                      <a:noFill/>
                    </a:ln>
                  </pic:spPr>
                </pic:pic>
              </a:graphicData>
            </a:graphic>
          </wp:inline>
        </w:drawing>
      </w:r>
    </w:p>
    <w:p w14:paraId="23DDBA75"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12. Se reduce la infección de VIH y SIDA en las y los adolescentes</w:t>
      </w:r>
    </w:p>
    <w:p w14:paraId="0C46DCF8"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01FB020F" w14:textId="46B8A6A5"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La reducción de la infección de VIH y SIDA en adolescentes se mide a través del porcentaje de adolescentes con diagnóstico de VIH que reciben tratamiento de </w:t>
      </w:r>
      <w:r w:rsidR="00A23065">
        <w:rPr>
          <w:rFonts w:ascii="Open Sans Light" w:eastAsia="Open Sans Light" w:hAnsi="Open Sans Light" w:cs="Open Sans Light"/>
          <w:color w:val="000000"/>
          <w:sz w:val="24"/>
          <w:szCs w:val="24"/>
        </w:rPr>
        <w:t>forma gratuita, oportuna y continua</w:t>
      </w:r>
      <w:r>
        <w:rPr>
          <w:rFonts w:ascii="Open Sans Light" w:eastAsia="Open Sans Light" w:hAnsi="Open Sans Light" w:cs="Open Sans Light"/>
          <w:color w:val="000000"/>
          <w:sz w:val="24"/>
          <w:szCs w:val="24"/>
        </w:rPr>
        <w:t xml:space="preserve">. 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tenía como meta al 2021 lograr que el 100% de adolescentes con diagnóstico de VIH reciban este tipo de </w:t>
      </w:r>
      <w:r w:rsidRPr="00A93193">
        <w:rPr>
          <w:rFonts w:ascii="Open Sans Light" w:eastAsia="Open Sans Light" w:hAnsi="Open Sans Light" w:cs="Open Sans Light"/>
          <w:color w:val="000000"/>
          <w:sz w:val="24"/>
          <w:szCs w:val="24"/>
        </w:rPr>
        <w:t>tratamiento</w:t>
      </w:r>
      <w:r w:rsidRPr="00A61DFC">
        <w:rPr>
          <w:rFonts w:ascii="Open Sans Light" w:eastAsia="Open Sans Light" w:hAnsi="Open Sans Light" w:cs="Open Sans Light"/>
          <w:sz w:val="24"/>
          <w:szCs w:val="24"/>
        </w:rPr>
        <w:t xml:space="preserve">. De acuerdo con las proyecciones basadas en la data histórica, no se lograría cumplir la meta al cierre del presente año, puesto que se estaría alcanzado el 95.3%, quedando una brecha pendiente </w:t>
      </w:r>
      <w:r w:rsidR="001D4C1F" w:rsidRPr="00A61DFC">
        <w:rPr>
          <w:rFonts w:ascii="Open Sans Light" w:eastAsia="Open Sans Light" w:hAnsi="Open Sans Light" w:cs="Open Sans Light"/>
          <w:sz w:val="24"/>
          <w:szCs w:val="24"/>
        </w:rPr>
        <w:t>de cerrar equivalente al</w:t>
      </w:r>
      <w:r w:rsidRPr="00A61DFC">
        <w:rPr>
          <w:rFonts w:ascii="Open Sans Light" w:eastAsia="Open Sans Light" w:hAnsi="Open Sans Light" w:cs="Open Sans Light"/>
          <w:sz w:val="24"/>
          <w:szCs w:val="24"/>
        </w:rPr>
        <w:t xml:space="preserve"> 4.7%. </w:t>
      </w:r>
    </w:p>
    <w:p w14:paraId="158AB76B"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05AB3FAC" w14:textId="0CD82544" w:rsidR="002E39FC" w:rsidRDefault="00DD0BC1" w:rsidP="002E39FC">
      <w:pPr>
        <w:spacing w:after="0" w:line="240" w:lineRule="auto"/>
        <w:jc w:val="center"/>
        <w:rPr>
          <w:rFonts w:ascii="Open Sans Light" w:eastAsia="Open Sans Light" w:hAnsi="Open Sans Light" w:cs="Open Sans Light"/>
          <w:color w:val="000000"/>
          <w:sz w:val="24"/>
          <w:szCs w:val="24"/>
        </w:rPr>
      </w:pPr>
      <w:r>
        <w:rPr>
          <w:noProof/>
          <w:lang w:val="en-GB" w:eastAsia="en-GB"/>
        </w:rPr>
        <w:lastRenderedPageBreak/>
        <w:drawing>
          <wp:inline distT="0" distB="0" distL="0" distR="0" wp14:anchorId="420485F2" wp14:editId="5DC3573D">
            <wp:extent cx="4166558" cy="3025948"/>
            <wp:effectExtent l="0" t="0" r="5715" b="3175"/>
            <wp:docPr id="53" name="Imagen 53"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líneas&#10;&#10;Descripción generada automáticament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79220" cy="3035144"/>
                    </a:xfrm>
                    <a:prstGeom prst="rect">
                      <a:avLst/>
                    </a:prstGeom>
                    <a:noFill/>
                    <a:ln>
                      <a:noFill/>
                    </a:ln>
                  </pic:spPr>
                </pic:pic>
              </a:graphicData>
            </a:graphic>
          </wp:inline>
        </w:drawing>
      </w:r>
    </w:p>
    <w:p w14:paraId="15B64BA8"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p>
    <w:p w14:paraId="0D8118EB"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13. Las y los adolescentes acceden a una atención de salud de calidad y con pertinencia cultural</w:t>
      </w:r>
    </w:p>
    <w:p w14:paraId="2CA59B48"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683AD74B" w14:textId="40F1B2E5"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Este resultado se mide a través de la prevalencia de anemia en mujeres de 15 a 19 años de edad, mostrando un incremento sostenido a lo largo de los años (entre 2011 y 2020 aumentó en casi un 40%), cuando se esperaba que este </w:t>
      </w:r>
      <w:r w:rsidR="00A93193">
        <w:rPr>
          <w:rFonts w:ascii="Open Sans Light" w:eastAsia="Open Sans Light" w:hAnsi="Open Sans Light" w:cs="Open Sans Light"/>
          <w:color w:val="000000"/>
          <w:sz w:val="24"/>
          <w:szCs w:val="24"/>
        </w:rPr>
        <w:t xml:space="preserve">indicador </w:t>
      </w:r>
      <w:r>
        <w:rPr>
          <w:rFonts w:ascii="Open Sans Light" w:eastAsia="Open Sans Light" w:hAnsi="Open Sans Light" w:cs="Open Sans Light"/>
          <w:color w:val="000000"/>
          <w:sz w:val="24"/>
          <w:szCs w:val="24"/>
        </w:rPr>
        <w:t xml:space="preserve">decreciera. Cabe acotar que la meta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fue “incrementar la atención integral y diferenciada de las y los adolescentes”, la cual no tiene una vinculación directa con el indicador. </w:t>
      </w:r>
    </w:p>
    <w:p w14:paraId="34624D5C" w14:textId="3096D16C" w:rsidR="002E39FC" w:rsidRDefault="009B3E1A" w:rsidP="002E39FC">
      <w:pPr>
        <w:jc w:val="center"/>
        <w:rPr>
          <w:rFonts w:ascii="Open Sans Light" w:eastAsia="Open Sans Light" w:hAnsi="Open Sans Light" w:cs="Open Sans Light"/>
          <w:color w:val="000000"/>
          <w:sz w:val="24"/>
          <w:szCs w:val="24"/>
        </w:rPr>
      </w:pPr>
      <w:r w:rsidRPr="009B3E1A">
        <w:rPr>
          <w:noProof/>
          <w:lang w:val="en-GB" w:eastAsia="en-GB"/>
        </w:rPr>
        <w:drawing>
          <wp:inline distT="0" distB="0" distL="0" distR="0" wp14:anchorId="53C24112" wp14:editId="4D9818CC">
            <wp:extent cx="4012328" cy="2914186"/>
            <wp:effectExtent l="0" t="0" r="762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32130" cy="2928568"/>
                    </a:xfrm>
                    <a:prstGeom prst="rect">
                      <a:avLst/>
                    </a:prstGeom>
                    <a:noFill/>
                    <a:ln>
                      <a:noFill/>
                    </a:ln>
                  </pic:spPr>
                </pic:pic>
              </a:graphicData>
            </a:graphic>
          </wp:inline>
        </w:drawing>
      </w:r>
      <w:r w:rsidR="002E39FC">
        <w:br w:type="page"/>
      </w:r>
    </w:p>
    <w:p w14:paraId="3A3E9897"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lastRenderedPageBreak/>
        <w:t>Resultado 14. Las y los adolescentes no son objeto de explotación sexual</w:t>
      </w:r>
    </w:p>
    <w:p w14:paraId="0E70AE5A"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13DD6FD7" w14:textId="30B0795E" w:rsidR="002E39FC" w:rsidRPr="00A61DFC" w:rsidRDefault="005B6A13" w:rsidP="002E39FC">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Este resultado se mide mediante el porcentaje que representan las denuncias por explotación sexual del total de denuncias ingresadas al Ministerio Público </w:t>
      </w:r>
      <w:r w:rsidR="002E39FC" w:rsidRPr="00A61DFC">
        <w:rPr>
          <w:rFonts w:ascii="Open Sans Light" w:eastAsia="Open Sans Light" w:hAnsi="Open Sans Light" w:cs="Open Sans Light"/>
          <w:sz w:val="24"/>
          <w:szCs w:val="24"/>
        </w:rPr>
        <w:t xml:space="preserve">en NNA (ESNNA). Los datos se encuentran disponibles </w:t>
      </w:r>
      <w:r w:rsidRPr="00A61DFC">
        <w:rPr>
          <w:rFonts w:ascii="Open Sans Light" w:eastAsia="Open Sans Light" w:hAnsi="Open Sans Light" w:cs="Open Sans Light"/>
          <w:sz w:val="24"/>
          <w:szCs w:val="24"/>
        </w:rPr>
        <w:t>para el intervalo que va desde el</w:t>
      </w:r>
      <w:r w:rsidR="002E39FC" w:rsidRPr="00A61DFC">
        <w:rPr>
          <w:rFonts w:ascii="Open Sans Light" w:eastAsia="Open Sans Light" w:hAnsi="Open Sans Light" w:cs="Open Sans Light"/>
          <w:sz w:val="24"/>
          <w:szCs w:val="24"/>
        </w:rPr>
        <w:t xml:space="preserve"> año 2015 al 2020, periodo en el cual se incrementó en 3.6 puntos porcentuales, con una proyección de 6.5% de denuncias por casos de ESNNA </w:t>
      </w:r>
      <w:r w:rsidRPr="00A61DFC">
        <w:rPr>
          <w:rFonts w:ascii="Open Sans Light" w:eastAsia="Open Sans Light" w:hAnsi="Open Sans Light" w:cs="Open Sans Light"/>
          <w:sz w:val="24"/>
          <w:szCs w:val="24"/>
        </w:rPr>
        <w:t xml:space="preserve">para el 2021. </w:t>
      </w:r>
    </w:p>
    <w:p w14:paraId="34E23ED6" w14:textId="77777777" w:rsidR="00FB243E" w:rsidRDefault="00FB243E" w:rsidP="002E39FC">
      <w:pPr>
        <w:spacing w:after="0" w:line="240" w:lineRule="auto"/>
        <w:jc w:val="both"/>
        <w:rPr>
          <w:rFonts w:ascii="Open Sans Light" w:eastAsia="Open Sans Light" w:hAnsi="Open Sans Light" w:cs="Open Sans Light"/>
          <w:color w:val="000000"/>
          <w:sz w:val="24"/>
          <w:szCs w:val="24"/>
        </w:rPr>
      </w:pPr>
    </w:p>
    <w:p w14:paraId="311846F9" w14:textId="075AC9CF" w:rsidR="002E39FC" w:rsidRDefault="00FB243E" w:rsidP="00FB243E">
      <w:pPr>
        <w:spacing w:after="0" w:line="240" w:lineRule="auto"/>
        <w:jc w:val="center"/>
        <w:rPr>
          <w:rFonts w:ascii="Open Sans Light" w:eastAsia="Open Sans Light" w:hAnsi="Open Sans Light" w:cs="Open Sans Light"/>
          <w:color w:val="000000"/>
          <w:sz w:val="24"/>
          <w:szCs w:val="24"/>
        </w:rPr>
      </w:pPr>
      <w:r w:rsidRPr="007C625C">
        <w:rPr>
          <w:noProof/>
          <w:lang w:val="en-GB" w:eastAsia="en-GB"/>
        </w:rPr>
        <w:drawing>
          <wp:inline distT="0" distB="0" distL="0" distR="0" wp14:anchorId="0C1D7EAD" wp14:editId="5C68F15A">
            <wp:extent cx="4762708" cy="3459193"/>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80399" cy="3472042"/>
                    </a:xfrm>
                    <a:prstGeom prst="rect">
                      <a:avLst/>
                    </a:prstGeom>
                    <a:noFill/>
                    <a:ln>
                      <a:noFill/>
                    </a:ln>
                  </pic:spPr>
                </pic:pic>
              </a:graphicData>
            </a:graphic>
          </wp:inline>
        </w:drawing>
      </w:r>
    </w:p>
    <w:p w14:paraId="40FCAE3D" w14:textId="77777777" w:rsidR="00FB243E" w:rsidRDefault="00FB243E" w:rsidP="00FB243E">
      <w:pPr>
        <w:spacing w:after="0" w:line="240" w:lineRule="auto"/>
        <w:jc w:val="center"/>
        <w:rPr>
          <w:rFonts w:ascii="Open Sans Light" w:eastAsia="Open Sans Light" w:hAnsi="Open Sans Light" w:cs="Open Sans Light"/>
          <w:color w:val="000000"/>
          <w:sz w:val="24"/>
          <w:szCs w:val="24"/>
        </w:rPr>
      </w:pPr>
    </w:p>
    <w:p w14:paraId="0B679D52" w14:textId="37D8648B"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Teniendo en cuenta que la meta establecida en 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para el 2021 es “disminuir el número de niñas, niños y adolescentes que se encuentran en situación de explotación sexual”, el incremento mostrado durante el periodo de vigencia del plan podría estar ligad</w:t>
      </w:r>
      <w:r w:rsidR="005B6A13">
        <w:rPr>
          <w:rFonts w:ascii="Open Sans Light" w:eastAsia="Open Sans Light" w:hAnsi="Open Sans Light" w:cs="Open Sans Light"/>
          <w:color w:val="000000"/>
          <w:sz w:val="24"/>
          <w:szCs w:val="24"/>
        </w:rPr>
        <w:t>o</w:t>
      </w:r>
      <w:r>
        <w:rPr>
          <w:rFonts w:ascii="Open Sans Light" w:eastAsia="Open Sans Light" w:hAnsi="Open Sans Light" w:cs="Open Sans Light"/>
          <w:color w:val="000000"/>
          <w:sz w:val="24"/>
          <w:szCs w:val="24"/>
        </w:rPr>
        <w:t xml:space="preserve"> a una mejor identificación y predisposición para la denuncia de estos casos y no necesariamente a un incremento efectivo de NNA víctimas de explotación sexual, por lo cual no se puede determinar el cumplimiento de la meta.</w:t>
      </w:r>
    </w:p>
    <w:p w14:paraId="210B049E"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3EBCF338" w14:textId="4D90BE35" w:rsidR="002E39FC" w:rsidRDefault="002E39FC" w:rsidP="002E39FC">
      <w:pPr>
        <w:jc w:val="center"/>
      </w:pPr>
      <w:r>
        <w:br w:type="page"/>
      </w:r>
    </w:p>
    <w:p w14:paraId="71CB92AB" w14:textId="77777777" w:rsidR="002E39FC" w:rsidRDefault="002E39FC" w:rsidP="002E39FC">
      <w:pPr>
        <w:rPr>
          <w:rFonts w:ascii="Open Sans Light" w:eastAsia="Open Sans Light" w:hAnsi="Open Sans Light" w:cs="Open Sans Light"/>
          <w:color w:val="000000"/>
          <w:sz w:val="24"/>
          <w:szCs w:val="24"/>
        </w:rPr>
      </w:pPr>
    </w:p>
    <w:p w14:paraId="29C69678"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15. Niñas, niños y adolescentes tienen asegurado el derecho al nombre y a la identidad de manera universal y oportuna</w:t>
      </w:r>
    </w:p>
    <w:p w14:paraId="4287463F"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5A9EB1C2" w14:textId="0DB9337C"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Este resultado se mide a través del porcentaje de niñas, niños y adolescentes de 0 a 17 años de edad que cuentan DNI. </w:t>
      </w:r>
      <w:r w:rsidR="00F016D8" w:rsidRPr="00A61DFC">
        <w:rPr>
          <w:rFonts w:ascii="Open Sans Light" w:eastAsia="Open Sans Light" w:hAnsi="Open Sans Light" w:cs="Open Sans Light"/>
          <w:sz w:val="24"/>
          <w:szCs w:val="24"/>
        </w:rPr>
        <w:t xml:space="preserve">En el periodo de análisis se puede visualizar que – según cifras oficiales – se logró incrementar el porcentaje de niñas, niños y adolescentes en el grupo etario de 0 a 17 años que cuentan con DNI desde 89.5% en 2011 hasta 98.6% en 2019. </w:t>
      </w:r>
      <w:r>
        <w:rPr>
          <w:rFonts w:ascii="Open Sans Light" w:eastAsia="Open Sans Light" w:hAnsi="Open Sans Light" w:cs="Open Sans Light"/>
          <w:color w:val="000000"/>
          <w:sz w:val="24"/>
          <w:szCs w:val="24"/>
        </w:rPr>
        <w:t xml:space="preserve">Las proyecciones realizadas para el término del año 2021 indican que se </w:t>
      </w:r>
      <w:r w:rsidR="00C506F8">
        <w:rPr>
          <w:rFonts w:ascii="Open Sans Light" w:eastAsia="Open Sans Light" w:hAnsi="Open Sans Light" w:cs="Open Sans Light"/>
          <w:color w:val="000000"/>
          <w:sz w:val="24"/>
          <w:szCs w:val="24"/>
        </w:rPr>
        <w:t xml:space="preserve">estará alrededor de 2 puntos porcentuales (98.34%) por debajo de </w:t>
      </w:r>
      <w:r>
        <w:rPr>
          <w:rFonts w:ascii="Open Sans Light" w:eastAsia="Open Sans Light" w:hAnsi="Open Sans Light" w:cs="Open Sans Light"/>
          <w:color w:val="000000"/>
          <w:sz w:val="24"/>
          <w:szCs w:val="24"/>
        </w:rPr>
        <w:t>la meta de universalizar el uso del DNI para las niñas, niños y adolescentes.</w:t>
      </w:r>
    </w:p>
    <w:p w14:paraId="15163546"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10067116" w14:textId="354BD0C3" w:rsidR="002E39FC" w:rsidRDefault="00DD0BC1" w:rsidP="002E39FC">
      <w:pPr>
        <w:jc w:val="center"/>
        <w:rPr>
          <w:rFonts w:ascii="Open Sans Light" w:eastAsia="Open Sans Light" w:hAnsi="Open Sans Light" w:cs="Open Sans Light"/>
          <w:color w:val="000000"/>
          <w:sz w:val="24"/>
          <w:szCs w:val="24"/>
        </w:rPr>
      </w:pPr>
      <w:r>
        <w:rPr>
          <w:noProof/>
          <w:lang w:val="en-GB" w:eastAsia="en-GB"/>
        </w:rPr>
        <w:drawing>
          <wp:inline distT="0" distB="0" distL="0" distR="0" wp14:anchorId="39A30CA1" wp14:editId="1433961F">
            <wp:extent cx="4459230" cy="3238500"/>
            <wp:effectExtent l="0" t="0" r="0" b="0"/>
            <wp:docPr id="55" name="Imagen 55"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Gráfico, Gráfico de líneas&#10;&#10;Descripción generada automáticament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66453" cy="3243746"/>
                    </a:xfrm>
                    <a:prstGeom prst="rect">
                      <a:avLst/>
                    </a:prstGeom>
                    <a:noFill/>
                    <a:ln>
                      <a:noFill/>
                    </a:ln>
                  </pic:spPr>
                </pic:pic>
              </a:graphicData>
            </a:graphic>
          </wp:inline>
        </w:drawing>
      </w:r>
    </w:p>
    <w:p w14:paraId="2E2266DA" w14:textId="4F4EB352" w:rsidR="00F06976" w:rsidRDefault="00F06976" w:rsidP="007B1784">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Estas cifras revelan que</w:t>
      </w:r>
      <w:r w:rsidR="007E4BC1">
        <w:rPr>
          <w:rFonts w:ascii="Open Sans Light" w:eastAsia="Open Sans Light" w:hAnsi="Open Sans Light" w:cs="Open Sans Light"/>
          <w:color w:val="000000"/>
          <w:sz w:val="24"/>
          <w:szCs w:val="24"/>
        </w:rPr>
        <w:t>, a la fecha 2 de cada 100</w:t>
      </w:r>
      <w:r>
        <w:rPr>
          <w:rFonts w:ascii="Open Sans Light" w:eastAsia="Open Sans Light" w:hAnsi="Open Sans Light" w:cs="Open Sans Light"/>
          <w:color w:val="000000"/>
          <w:sz w:val="24"/>
          <w:szCs w:val="24"/>
        </w:rPr>
        <w:t xml:space="preserve"> niñas, niños y</w:t>
      </w:r>
      <w:r w:rsidR="007E4BC1">
        <w:rPr>
          <w:rFonts w:ascii="Open Sans Light" w:eastAsia="Open Sans Light" w:hAnsi="Open Sans Light" w:cs="Open Sans Light"/>
          <w:color w:val="000000"/>
          <w:sz w:val="24"/>
          <w:szCs w:val="24"/>
        </w:rPr>
        <w:t>/o</w:t>
      </w:r>
      <w:r>
        <w:rPr>
          <w:rFonts w:ascii="Open Sans Light" w:eastAsia="Open Sans Light" w:hAnsi="Open Sans Light" w:cs="Open Sans Light"/>
          <w:color w:val="000000"/>
          <w:sz w:val="24"/>
          <w:szCs w:val="24"/>
        </w:rPr>
        <w:t xml:space="preserve"> adolescentes de 0 a 17 años de edad </w:t>
      </w:r>
      <w:r w:rsidR="007E4BC1">
        <w:rPr>
          <w:rFonts w:ascii="Open Sans Light" w:eastAsia="Open Sans Light" w:hAnsi="Open Sans Light" w:cs="Open Sans Light"/>
          <w:color w:val="000000"/>
          <w:sz w:val="24"/>
          <w:szCs w:val="24"/>
        </w:rPr>
        <w:t>aún no cuentan con un documento nacional de identidad.</w:t>
      </w:r>
    </w:p>
    <w:p w14:paraId="622D0460"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16. Niñas, niños y adolescentes con discapacidad acceden a servicios especializados de educación y salud</w:t>
      </w:r>
    </w:p>
    <w:p w14:paraId="740DB73B"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p>
    <w:p w14:paraId="6272E04D" w14:textId="16811487" w:rsidR="006154C3"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Este resultado se mide a través de dos indicadores</w:t>
      </w:r>
      <w:r w:rsidR="006154C3">
        <w:rPr>
          <w:rFonts w:ascii="Open Sans Light" w:eastAsia="Open Sans Light" w:hAnsi="Open Sans Light" w:cs="Open Sans Light"/>
          <w:color w:val="000000"/>
          <w:sz w:val="24"/>
          <w:szCs w:val="24"/>
        </w:rPr>
        <w:t>; e</w:t>
      </w:r>
      <w:r>
        <w:rPr>
          <w:rFonts w:ascii="Open Sans Light" w:eastAsia="Open Sans Light" w:hAnsi="Open Sans Light" w:cs="Open Sans Light"/>
          <w:color w:val="000000"/>
          <w:sz w:val="24"/>
          <w:szCs w:val="24"/>
        </w:rPr>
        <w:t>l primero es el porcentaje de niñas, niños y adolescentes con discapacidad que culminan el año lectivo en los Centros de Educación Básica Especial (CEBE)</w:t>
      </w:r>
      <w:r w:rsidR="006154C3">
        <w:rPr>
          <w:rFonts w:ascii="Open Sans Light" w:eastAsia="Open Sans Light" w:hAnsi="Open Sans Light" w:cs="Open Sans Light"/>
          <w:color w:val="000000"/>
          <w:sz w:val="24"/>
          <w:szCs w:val="24"/>
        </w:rPr>
        <w:t xml:space="preserve">; el segundo es el porcentaje de </w:t>
      </w:r>
      <w:r w:rsidR="006154C3">
        <w:rPr>
          <w:rFonts w:ascii="Open Sans Light" w:eastAsia="Open Sans Light" w:hAnsi="Open Sans Light" w:cs="Open Sans Light"/>
          <w:color w:val="000000"/>
          <w:sz w:val="24"/>
          <w:szCs w:val="24"/>
        </w:rPr>
        <w:lastRenderedPageBreak/>
        <w:t>niñas y niños con discapacidad detectados oportunamente en los Establecimientos de Salud antes de los tres años de edad.</w:t>
      </w:r>
    </w:p>
    <w:p w14:paraId="70FD39DC" w14:textId="77777777" w:rsidR="006154C3" w:rsidRDefault="006154C3" w:rsidP="002E39FC">
      <w:pPr>
        <w:spacing w:after="0" w:line="240" w:lineRule="auto"/>
        <w:jc w:val="both"/>
        <w:rPr>
          <w:rFonts w:ascii="Open Sans Light" w:eastAsia="Open Sans Light" w:hAnsi="Open Sans Light" w:cs="Open Sans Light"/>
          <w:color w:val="000000"/>
          <w:sz w:val="24"/>
          <w:szCs w:val="24"/>
        </w:rPr>
      </w:pPr>
    </w:p>
    <w:p w14:paraId="2647C8B0" w14:textId="2DA22661" w:rsidR="002E39FC" w:rsidRPr="00CD7E13" w:rsidRDefault="002E39FC" w:rsidP="002E39FC">
      <w:pPr>
        <w:spacing w:after="0" w:line="240" w:lineRule="auto"/>
        <w:jc w:val="both"/>
        <w:rPr>
          <w:rFonts w:ascii="Open Sans Light" w:eastAsia="Open Sans Light" w:hAnsi="Open Sans Light" w:cs="Open Sans Light"/>
          <w:color w:val="000000"/>
          <w:sz w:val="24"/>
          <w:szCs w:val="24"/>
        </w:rPr>
      </w:pPr>
      <w:r w:rsidRPr="00CD7E13">
        <w:rPr>
          <w:rFonts w:ascii="Open Sans Light" w:eastAsia="Open Sans Light" w:hAnsi="Open Sans Light" w:cs="Open Sans Light"/>
          <w:color w:val="000000"/>
          <w:sz w:val="24"/>
          <w:szCs w:val="24"/>
        </w:rPr>
        <w:t xml:space="preserve">La meta al 2021 establecida en el </w:t>
      </w:r>
      <w:r w:rsidR="00D979D4">
        <w:rPr>
          <w:rFonts w:ascii="Open Sans Light" w:eastAsia="Open Sans Light" w:hAnsi="Open Sans Light" w:cs="Open Sans Light"/>
          <w:color w:val="000000"/>
          <w:sz w:val="24"/>
          <w:szCs w:val="24"/>
        </w:rPr>
        <w:t>PNAIA 2012 – 2021</w:t>
      </w:r>
      <w:r w:rsidRPr="00CD7E13">
        <w:rPr>
          <w:rFonts w:ascii="Open Sans Light" w:eastAsia="Open Sans Light" w:hAnsi="Open Sans Light" w:cs="Open Sans Light"/>
          <w:color w:val="000000"/>
          <w:sz w:val="24"/>
          <w:szCs w:val="24"/>
        </w:rPr>
        <w:t xml:space="preserve"> era reducir la deserción escolar de NNA con discapacidad en Educación Básica Especial. </w:t>
      </w:r>
      <w:r w:rsidRPr="00A61DFC">
        <w:rPr>
          <w:rFonts w:ascii="Open Sans Light" w:eastAsia="Open Sans Light" w:hAnsi="Open Sans Light" w:cs="Open Sans Light"/>
          <w:sz w:val="24"/>
          <w:szCs w:val="24"/>
        </w:rPr>
        <w:t xml:space="preserve">En ese sentido, la información histórica proporcionada por el MINEDU da cuenta de un progresivo incremento de la proporción de NNA con discapacidad que culminan el año escolar tanto en </w:t>
      </w:r>
      <w:r w:rsidR="00CD7E13" w:rsidRPr="00A61DFC">
        <w:rPr>
          <w:rFonts w:ascii="Open Sans Light" w:eastAsia="Open Sans Light" w:hAnsi="Open Sans Light" w:cs="Open Sans Light"/>
          <w:sz w:val="24"/>
          <w:szCs w:val="24"/>
        </w:rPr>
        <w:t>nivel inicial como primario</w:t>
      </w:r>
      <w:r w:rsidRPr="00A61DFC">
        <w:rPr>
          <w:rFonts w:ascii="Open Sans Light" w:eastAsia="Open Sans Light" w:hAnsi="Open Sans Light" w:cs="Open Sans Light"/>
          <w:sz w:val="24"/>
          <w:szCs w:val="24"/>
        </w:rPr>
        <w:t>, logrando alcanzar, en ambos casos, más del 97% para el año 2020.</w:t>
      </w:r>
    </w:p>
    <w:p w14:paraId="0D3DFF7D" w14:textId="47811842" w:rsidR="002E39FC" w:rsidRPr="00642D91" w:rsidRDefault="00A93BB0" w:rsidP="00642D91">
      <w:pPr>
        <w:spacing w:after="0" w:line="240" w:lineRule="auto"/>
        <w:jc w:val="center"/>
        <w:rPr>
          <w:rFonts w:ascii="Open Sans Light" w:eastAsia="Open Sans Light" w:hAnsi="Open Sans Light" w:cs="Open Sans Light"/>
          <w:color w:val="000000"/>
          <w:sz w:val="24"/>
          <w:szCs w:val="24"/>
          <w:highlight w:val="yellow"/>
        </w:rPr>
      </w:pPr>
      <w:r w:rsidRPr="00D87179">
        <w:rPr>
          <w:rFonts w:ascii="Open Sans Light" w:eastAsia="Open Sans Light" w:hAnsi="Open Sans Light" w:cs="Open Sans Light"/>
          <w:noProof/>
          <w:color w:val="000000"/>
          <w:sz w:val="24"/>
          <w:szCs w:val="24"/>
          <w:lang w:val="en-GB" w:eastAsia="en-GB"/>
        </w:rPr>
        <w:drawing>
          <wp:inline distT="0" distB="0" distL="0" distR="0" wp14:anchorId="6B2A4E2E" wp14:editId="77680BD9">
            <wp:extent cx="4267200" cy="3097133"/>
            <wp:effectExtent l="0" t="0" r="0"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505" b="574"/>
                    <a:stretch/>
                  </pic:blipFill>
                  <pic:spPr bwMode="auto">
                    <a:xfrm>
                      <a:off x="0" y="0"/>
                      <a:ext cx="4294681" cy="3117079"/>
                    </a:xfrm>
                    <a:prstGeom prst="rect">
                      <a:avLst/>
                    </a:prstGeom>
                    <a:noFill/>
                    <a:ln>
                      <a:noFill/>
                    </a:ln>
                    <a:extLst>
                      <a:ext uri="{53640926-AAD7-44D8-BBD7-CCE9431645EC}">
                        <a14:shadowObscured xmlns:a14="http://schemas.microsoft.com/office/drawing/2010/main"/>
                      </a:ext>
                    </a:extLst>
                  </pic:spPr>
                </pic:pic>
              </a:graphicData>
            </a:graphic>
          </wp:inline>
        </w:drawing>
      </w:r>
    </w:p>
    <w:p w14:paraId="0DD22CA3" w14:textId="4E1EA04C" w:rsidR="002E39FC" w:rsidRDefault="002E39FC" w:rsidP="00291413">
      <w:pPr>
        <w:spacing w:after="0" w:line="240" w:lineRule="auto"/>
        <w:jc w:val="center"/>
        <w:rPr>
          <w:rFonts w:ascii="Open Sans Light" w:eastAsia="Open Sans Light" w:hAnsi="Open Sans Light" w:cs="Open Sans Light"/>
          <w:color w:val="000000"/>
          <w:sz w:val="24"/>
          <w:szCs w:val="24"/>
        </w:rPr>
      </w:pPr>
      <w:r w:rsidRPr="00D87179">
        <w:rPr>
          <w:rFonts w:ascii="Open Sans Light" w:eastAsia="Open Sans Light" w:hAnsi="Open Sans Light" w:cs="Open Sans Light"/>
          <w:noProof/>
          <w:color w:val="000000"/>
          <w:sz w:val="24"/>
          <w:szCs w:val="24"/>
          <w:lang w:val="en-GB" w:eastAsia="en-GB"/>
        </w:rPr>
        <w:drawing>
          <wp:inline distT="0" distB="0" distL="0" distR="0" wp14:anchorId="3AEBFAAC" wp14:editId="1F5269CB">
            <wp:extent cx="4133850" cy="300990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33850" cy="3009900"/>
                    </a:xfrm>
                    <a:prstGeom prst="rect">
                      <a:avLst/>
                    </a:prstGeom>
                    <a:noFill/>
                    <a:ln>
                      <a:noFill/>
                    </a:ln>
                  </pic:spPr>
                </pic:pic>
              </a:graphicData>
            </a:graphic>
          </wp:inline>
        </w:drawing>
      </w:r>
    </w:p>
    <w:p w14:paraId="53072814" w14:textId="687D24A9" w:rsidR="002E39FC" w:rsidRDefault="002E39FC" w:rsidP="002E39FC">
      <w:pPr>
        <w:jc w:val="both"/>
        <w:rPr>
          <w:rFonts w:ascii="Open Sans Light" w:eastAsia="Open Sans Light" w:hAnsi="Open Sans Light" w:cs="Open Sans Light"/>
          <w:color w:val="000000"/>
          <w:sz w:val="24"/>
          <w:szCs w:val="24"/>
        </w:rPr>
      </w:pPr>
      <w:r w:rsidRPr="00CD7E13">
        <w:rPr>
          <w:rFonts w:ascii="Open Sans Light" w:eastAsia="Open Sans Light" w:hAnsi="Open Sans Light" w:cs="Open Sans Light"/>
          <w:color w:val="000000"/>
          <w:sz w:val="24"/>
          <w:szCs w:val="24"/>
        </w:rPr>
        <w:lastRenderedPageBreak/>
        <w:t>El segundo indicador es el porcentaje de niñas y niños con discapacidad detectados oportunamente en los Establecimientos de Salud</w:t>
      </w:r>
      <w:r w:rsidR="00CA0170" w:rsidRPr="00CD7E13">
        <w:rPr>
          <w:rFonts w:ascii="Open Sans Light" w:eastAsia="Open Sans Light" w:hAnsi="Open Sans Light" w:cs="Open Sans Light"/>
          <w:color w:val="000000"/>
          <w:sz w:val="24"/>
          <w:szCs w:val="24"/>
        </w:rPr>
        <w:t xml:space="preserve"> (EESS)</w:t>
      </w:r>
      <w:r w:rsidRPr="00CD7E13">
        <w:rPr>
          <w:rFonts w:ascii="Open Sans Light" w:eastAsia="Open Sans Light" w:hAnsi="Open Sans Light" w:cs="Open Sans Light"/>
          <w:color w:val="000000"/>
          <w:sz w:val="24"/>
          <w:szCs w:val="24"/>
        </w:rPr>
        <w:t xml:space="preserve"> antes de los tres años de edad, con información proporcionada por el MINSA. El </w:t>
      </w:r>
      <w:r w:rsidR="00D979D4">
        <w:rPr>
          <w:rFonts w:ascii="Open Sans Light" w:eastAsia="Open Sans Light" w:hAnsi="Open Sans Light" w:cs="Open Sans Light"/>
          <w:color w:val="000000"/>
          <w:sz w:val="24"/>
          <w:szCs w:val="24"/>
        </w:rPr>
        <w:t>PNAIA 2012 – 2021</w:t>
      </w:r>
      <w:r w:rsidRPr="00CD7E13">
        <w:rPr>
          <w:rFonts w:ascii="Open Sans Light" w:eastAsia="Open Sans Light" w:hAnsi="Open Sans Light" w:cs="Open Sans Light"/>
          <w:color w:val="000000"/>
          <w:sz w:val="24"/>
          <w:szCs w:val="24"/>
        </w:rPr>
        <w:t xml:space="preserve"> tenía como meta al cierre de su periodo de vigencia incrementar este porcentaje. Así, los datos muestran un comportamiento volátil a lo largo de la última década, con un gran incremento en 2015, </w:t>
      </w:r>
      <w:r w:rsidR="00CA0170" w:rsidRPr="00A61DFC">
        <w:rPr>
          <w:rFonts w:ascii="Open Sans Light" w:eastAsia="Open Sans Light" w:hAnsi="Open Sans Light" w:cs="Open Sans Light"/>
          <w:sz w:val="24"/>
          <w:szCs w:val="24"/>
        </w:rPr>
        <w:t>que llegó a significar un</w:t>
      </w:r>
      <w:r w:rsidRPr="00A61DFC">
        <w:rPr>
          <w:rFonts w:ascii="Open Sans Light" w:eastAsia="Open Sans Light" w:hAnsi="Open Sans Light" w:cs="Open Sans Light"/>
          <w:sz w:val="24"/>
          <w:szCs w:val="24"/>
        </w:rPr>
        <w:t xml:space="preserve"> 15% de niñas y niños menores de 3 años con discapacidad atendidos en los EESS; </w:t>
      </w:r>
      <w:r w:rsidRPr="00CD7E13">
        <w:rPr>
          <w:rFonts w:ascii="Open Sans Light" w:eastAsia="Open Sans Light" w:hAnsi="Open Sans Light" w:cs="Open Sans Light"/>
          <w:color w:val="000000"/>
          <w:sz w:val="24"/>
          <w:szCs w:val="24"/>
        </w:rPr>
        <w:t>pero que ha ido cayendo hasta el 7.1% para el año 2020. Al cierre del presente año, se proyecta alcanzar el 14.6% con base en la información histórica disponible.</w:t>
      </w:r>
    </w:p>
    <w:p w14:paraId="54997050" w14:textId="70331C63" w:rsidR="002E39FC" w:rsidRDefault="00DD0BC1" w:rsidP="002E39FC">
      <w:pPr>
        <w:spacing w:after="0" w:line="240" w:lineRule="auto"/>
        <w:jc w:val="center"/>
        <w:rPr>
          <w:rFonts w:ascii="Open Sans Light" w:eastAsia="Open Sans Light" w:hAnsi="Open Sans Light" w:cs="Open Sans Light"/>
          <w:color w:val="000000"/>
          <w:sz w:val="24"/>
          <w:szCs w:val="24"/>
        </w:rPr>
      </w:pPr>
      <w:r>
        <w:rPr>
          <w:noProof/>
          <w:lang w:val="en-GB" w:eastAsia="en-GB"/>
        </w:rPr>
        <w:drawing>
          <wp:inline distT="0" distB="0" distL="0" distR="0" wp14:anchorId="5BBB8A16" wp14:editId="6158AE21">
            <wp:extent cx="4152900" cy="3016029"/>
            <wp:effectExtent l="0" t="0" r="0" b="0"/>
            <wp:docPr id="57" name="Imagen 57"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Gráfico, Gráfico de líneas&#10;&#10;Descripción generada automáticament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58538" cy="3020124"/>
                    </a:xfrm>
                    <a:prstGeom prst="rect">
                      <a:avLst/>
                    </a:prstGeom>
                    <a:noFill/>
                    <a:ln>
                      <a:noFill/>
                    </a:ln>
                  </pic:spPr>
                </pic:pic>
              </a:graphicData>
            </a:graphic>
          </wp:inline>
        </w:drawing>
      </w:r>
    </w:p>
    <w:p w14:paraId="461333F3" w14:textId="77777777" w:rsidR="009320E4" w:rsidRDefault="009320E4" w:rsidP="002E39FC">
      <w:pPr>
        <w:spacing w:after="0" w:line="240" w:lineRule="auto"/>
        <w:jc w:val="center"/>
        <w:rPr>
          <w:rFonts w:ascii="Open Sans Light" w:eastAsia="Open Sans Light" w:hAnsi="Open Sans Light" w:cs="Open Sans Light"/>
          <w:color w:val="000000"/>
          <w:sz w:val="24"/>
          <w:szCs w:val="24"/>
        </w:rPr>
      </w:pPr>
    </w:p>
    <w:p w14:paraId="1D76A03B"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17. Niñas, niños y adolescentes están protegidos integralmente ante situaciones de trata (sexual, laboral, mendicidad)</w:t>
      </w:r>
    </w:p>
    <w:p w14:paraId="6AEDB1E0"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3BCDD24A" w14:textId="6FC48672" w:rsidR="002E39FC" w:rsidRPr="005C50EA" w:rsidRDefault="002E39FC" w:rsidP="002E39FC">
      <w:pPr>
        <w:spacing w:after="0" w:line="240" w:lineRule="auto"/>
        <w:jc w:val="both"/>
        <w:rPr>
          <w:rFonts w:ascii="Open Sans Light" w:eastAsia="Open Sans Light" w:hAnsi="Open Sans Light" w:cs="Open Sans Light"/>
          <w:color w:val="00B050"/>
          <w:sz w:val="24"/>
          <w:szCs w:val="24"/>
        </w:rPr>
      </w:pPr>
      <w:r>
        <w:rPr>
          <w:rFonts w:ascii="Open Sans Light" w:eastAsia="Open Sans Light" w:hAnsi="Open Sans Light" w:cs="Open Sans Light"/>
          <w:color w:val="000000"/>
          <w:sz w:val="24"/>
          <w:szCs w:val="24"/>
        </w:rPr>
        <w:t xml:space="preserve">Este resultado se mide a través del número de niñas, niños y adolescentes que son víctimas de trata de personas, obtenido a través de los registros administrativos del Ministerio del Interior. </w:t>
      </w:r>
      <w:r w:rsidRPr="00A61DFC">
        <w:rPr>
          <w:rFonts w:ascii="Open Sans Light" w:eastAsia="Open Sans Light" w:hAnsi="Open Sans Light" w:cs="Open Sans Light"/>
          <w:sz w:val="24"/>
          <w:szCs w:val="24"/>
        </w:rPr>
        <w:t xml:space="preserve">Si bien la meta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es disminuir el número de casos, estos se han incrementado sostenidamente desde el año 2013</w:t>
      </w:r>
      <w:r w:rsidR="005C50EA" w:rsidRPr="00A61DFC">
        <w:rPr>
          <w:rFonts w:ascii="Open Sans Light" w:eastAsia="Open Sans Light" w:hAnsi="Open Sans Light" w:cs="Open Sans Light"/>
          <w:sz w:val="24"/>
          <w:szCs w:val="24"/>
        </w:rPr>
        <w:t>, con 65 casos, hasta el 2019, con 186 casos</w:t>
      </w:r>
      <w:r w:rsidRPr="00A61DFC">
        <w:rPr>
          <w:rFonts w:ascii="Open Sans Light" w:eastAsia="Open Sans Light" w:hAnsi="Open Sans Light" w:cs="Open Sans Light"/>
          <w:sz w:val="24"/>
          <w:szCs w:val="24"/>
        </w:rPr>
        <w:t>. Al cierre del 2020, solo se reportaron 27 casos</w:t>
      </w:r>
      <w:r w:rsidR="005C50EA" w:rsidRPr="00A61DFC">
        <w:rPr>
          <w:rFonts w:ascii="Open Sans Light" w:eastAsia="Open Sans Light" w:hAnsi="Open Sans Light" w:cs="Open Sans Light"/>
          <w:sz w:val="24"/>
          <w:szCs w:val="24"/>
        </w:rPr>
        <w:t xml:space="preserve">; sin embargo, esto podría responder a las medidas de confinamiento decretadas en respuesta a la llegada del COVID-19. De acuerdo con las proyecciones, se esperaría que para el 2021 se lleguen a los 129 casos, alejándose de nuevo el indicador de sus niveles objetivo. </w:t>
      </w:r>
    </w:p>
    <w:p w14:paraId="62093AB8"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171E9CE2" w14:textId="40748043" w:rsidR="002E39FC" w:rsidRDefault="00BE4FA9" w:rsidP="002E39FC">
      <w:pPr>
        <w:spacing w:after="0" w:line="240" w:lineRule="auto"/>
        <w:jc w:val="center"/>
        <w:rPr>
          <w:rFonts w:ascii="Open Sans Light" w:eastAsia="Open Sans Light" w:hAnsi="Open Sans Light" w:cs="Open Sans Light"/>
          <w:color w:val="000000"/>
          <w:sz w:val="24"/>
          <w:szCs w:val="24"/>
        </w:rPr>
      </w:pPr>
      <w:r w:rsidRPr="00BE4FA9">
        <w:rPr>
          <w:rFonts w:ascii="Open Sans Light" w:eastAsia="Open Sans Light" w:hAnsi="Open Sans Light" w:cs="Open Sans Light"/>
          <w:noProof/>
          <w:color w:val="000000"/>
          <w:sz w:val="24"/>
          <w:szCs w:val="24"/>
          <w:lang w:val="en-GB" w:eastAsia="en-GB"/>
        </w:rPr>
        <w:lastRenderedPageBreak/>
        <w:drawing>
          <wp:inline distT="0" distB="0" distL="0" distR="0" wp14:anchorId="3220713C" wp14:editId="50140E42">
            <wp:extent cx="3992136" cy="2899520"/>
            <wp:effectExtent l="0" t="0" r="889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94940" cy="2901557"/>
                    </a:xfrm>
                    <a:prstGeom prst="rect">
                      <a:avLst/>
                    </a:prstGeom>
                    <a:noFill/>
                    <a:ln>
                      <a:noFill/>
                    </a:ln>
                  </pic:spPr>
                </pic:pic>
              </a:graphicData>
            </a:graphic>
          </wp:inline>
        </w:drawing>
      </w:r>
    </w:p>
    <w:p w14:paraId="0C753D22" w14:textId="77777777" w:rsidR="002E39FC" w:rsidRDefault="002E39FC" w:rsidP="002E39FC">
      <w:pPr>
        <w:rPr>
          <w:rFonts w:ascii="Open Sans Light" w:eastAsia="Open Sans Light" w:hAnsi="Open Sans Light" w:cs="Open Sans Light"/>
          <w:color w:val="000000"/>
          <w:sz w:val="24"/>
          <w:szCs w:val="24"/>
        </w:rPr>
      </w:pPr>
    </w:p>
    <w:p w14:paraId="08B6E938"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18. Niñas, niños y adolescentes participan en el ciclo de políticas públicas que les involucran o interesan</w:t>
      </w:r>
    </w:p>
    <w:p w14:paraId="6C1DAEBB"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49C52E46" w14:textId="77777777" w:rsidR="002E39FC" w:rsidRDefault="002E39FC" w:rsidP="002E39FC">
      <w:pPr>
        <w:spacing w:after="0" w:line="240" w:lineRule="auto"/>
        <w:jc w:val="both"/>
      </w:pPr>
      <w:r>
        <w:rPr>
          <w:rFonts w:ascii="Open Sans Light" w:eastAsia="Open Sans Light" w:hAnsi="Open Sans Light" w:cs="Open Sans Light"/>
          <w:color w:val="000000"/>
          <w:sz w:val="24"/>
          <w:szCs w:val="24"/>
        </w:rPr>
        <w:t>Este resultado se mide a través del porcentaje de gobiernos locales donde participan niñas, niños y adolescentes en el ciclo de políticas públicas en temas que les involucran o interesan, a través de los Consejos Consultivos de Niñas, Niños y Adolescentes (CCONNA).</w:t>
      </w:r>
      <w:r>
        <w:t xml:space="preserve"> </w:t>
      </w:r>
    </w:p>
    <w:p w14:paraId="2C8D1477" w14:textId="77777777" w:rsidR="002E39FC" w:rsidRDefault="002E39FC" w:rsidP="002E39FC">
      <w:pPr>
        <w:spacing w:after="0" w:line="240" w:lineRule="auto"/>
        <w:jc w:val="both"/>
      </w:pPr>
    </w:p>
    <w:p w14:paraId="1549E094" w14:textId="3B017D76" w:rsidR="00696828" w:rsidRPr="00A61DFC" w:rsidRDefault="00696828" w:rsidP="00696828">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establece como meta que, al 2021, la participación de NNA debería alcanzar el 75% de los gobiernos locales. No obstante, las proyecciones para 2021 indican que solo se estaría logrando que el 31.67% de gobiernos locales cuenten con CCONNAs conformados, cifra que representaría un avance de apenas el 42.2% del total de la meta esperada y una brecha de 43.3% de gobiernos con participación de NNAs por cerrar. </w:t>
      </w:r>
    </w:p>
    <w:p w14:paraId="0D429E8F" w14:textId="58A41F8D" w:rsidR="002E39FC" w:rsidRDefault="002B198C" w:rsidP="002E39FC">
      <w:pPr>
        <w:spacing w:after="0" w:line="240" w:lineRule="auto"/>
        <w:jc w:val="center"/>
        <w:rPr>
          <w:rFonts w:ascii="Open Sans Light" w:eastAsia="Open Sans Light" w:hAnsi="Open Sans Light" w:cs="Open Sans Light"/>
          <w:color w:val="000000"/>
          <w:sz w:val="24"/>
          <w:szCs w:val="24"/>
        </w:rPr>
      </w:pPr>
      <w:r w:rsidRPr="002B198C">
        <w:rPr>
          <w:rFonts w:ascii="Open Sans Light" w:eastAsia="Open Sans Light" w:hAnsi="Open Sans Light" w:cs="Open Sans Light"/>
          <w:noProof/>
          <w:color w:val="000000"/>
          <w:sz w:val="24"/>
          <w:szCs w:val="24"/>
          <w:lang w:val="en-GB" w:eastAsia="en-GB"/>
        </w:rPr>
        <w:lastRenderedPageBreak/>
        <w:drawing>
          <wp:inline distT="0" distB="0" distL="0" distR="0" wp14:anchorId="46CC3256" wp14:editId="1041A91F">
            <wp:extent cx="4319239" cy="3137097"/>
            <wp:effectExtent l="0" t="0" r="5715"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319239" cy="3137097"/>
                    </a:xfrm>
                    <a:prstGeom prst="rect">
                      <a:avLst/>
                    </a:prstGeom>
                    <a:noFill/>
                    <a:ln>
                      <a:noFill/>
                    </a:ln>
                  </pic:spPr>
                </pic:pic>
              </a:graphicData>
            </a:graphic>
          </wp:inline>
        </w:drawing>
      </w:r>
    </w:p>
    <w:p w14:paraId="2B5B3F30" w14:textId="77777777" w:rsidR="00880A30" w:rsidRDefault="00880A30" w:rsidP="002E39FC">
      <w:pPr>
        <w:spacing w:after="0" w:line="240" w:lineRule="auto"/>
        <w:jc w:val="center"/>
        <w:rPr>
          <w:rFonts w:ascii="Open Sans Light" w:eastAsia="Open Sans Light" w:hAnsi="Open Sans Light" w:cs="Open Sans Light"/>
          <w:color w:val="000000"/>
          <w:sz w:val="24"/>
          <w:szCs w:val="24"/>
        </w:rPr>
      </w:pPr>
    </w:p>
    <w:p w14:paraId="4FC9796A" w14:textId="77777777" w:rsidR="002E39FC" w:rsidRDefault="002E39FC" w:rsidP="002E39FC">
      <w:pPr>
        <w:spacing w:after="0" w:line="240" w:lineRule="auto"/>
        <w:rPr>
          <w:rFonts w:ascii="Open Sans Light" w:eastAsia="Open Sans Light" w:hAnsi="Open Sans Light" w:cs="Open Sans Light"/>
          <w:color w:val="000000"/>
          <w:sz w:val="24"/>
          <w:szCs w:val="24"/>
        </w:rPr>
      </w:pPr>
    </w:p>
    <w:p w14:paraId="17C8E2FE" w14:textId="2CE3A9F0" w:rsidR="00B73D09" w:rsidRPr="00A61DFC" w:rsidRDefault="002E39FC" w:rsidP="00A61DFC">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Por el contrario, la creación de CCONNA a nivel de gobiernos regionales ha sido sostenida entre el 2011 y 2020, de tal forma que, para el cierre del presente año, se espera universalizar los gobiernos </w:t>
      </w:r>
      <w:r w:rsidR="00696828" w:rsidRPr="00A61DFC">
        <w:rPr>
          <w:rFonts w:ascii="Open Sans Light" w:eastAsia="Open Sans Light" w:hAnsi="Open Sans Light" w:cs="Open Sans Light"/>
          <w:sz w:val="24"/>
          <w:szCs w:val="24"/>
        </w:rPr>
        <w:t xml:space="preserve">regionales </w:t>
      </w:r>
      <w:r w:rsidRPr="00A61DFC">
        <w:rPr>
          <w:rFonts w:ascii="Open Sans Light" w:eastAsia="Open Sans Light" w:hAnsi="Open Sans Light" w:cs="Open Sans Light"/>
          <w:sz w:val="24"/>
          <w:szCs w:val="24"/>
        </w:rPr>
        <w:t xml:space="preserve">que cuentan con CCONNA. Este indicador </w:t>
      </w:r>
      <w:r w:rsidR="00696828" w:rsidRPr="00A61DFC">
        <w:rPr>
          <w:rFonts w:ascii="Open Sans Light" w:eastAsia="Open Sans Light" w:hAnsi="Open Sans Light" w:cs="Open Sans Light"/>
          <w:sz w:val="24"/>
          <w:szCs w:val="24"/>
        </w:rPr>
        <w:t xml:space="preserve">– de acuerdo con las proyecciones – sí </w:t>
      </w:r>
      <w:r w:rsidRPr="00A61DFC">
        <w:rPr>
          <w:rFonts w:ascii="Open Sans Light" w:eastAsia="Open Sans Light" w:hAnsi="Open Sans Light" w:cs="Open Sans Light"/>
          <w:sz w:val="24"/>
          <w:szCs w:val="24"/>
        </w:rPr>
        <w:t xml:space="preserve">cumpliría la meta 2021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w:t>
      </w:r>
    </w:p>
    <w:p w14:paraId="61EF00E6" w14:textId="0D1A44F3" w:rsidR="002E39FC" w:rsidRDefault="00DD0BC1" w:rsidP="002E39FC">
      <w:pPr>
        <w:spacing w:after="0" w:line="240" w:lineRule="auto"/>
        <w:jc w:val="center"/>
        <w:rPr>
          <w:rFonts w:ascii="Open Sans Light" w:eastAsia="Open Sans Light" w:hAnsi="Open Sans Light" w:cs="Open Sans Light"/>
          <w:color w:val="000000"/>
          <w:sz w:val="24"/>
          <w:szCs w:val="24"/>
        </w:rPr>
      </w:pPr>
      <w:r>
        <w:rPr>
          <w:noProof/>
          <w:lang w:val="en-GB" w:eastAsia="en-GB"/>
        </w:rPr>
        <w:drawing>
          <wp:inline distT="0" distB="0" distL="0" distR="0" wp14:anchorId="7409F0A3" wp14:editId="3D0D3A97">
            <wp:extent cx="4217907" cy="3063240"/>
            <wp:effectExtent l="0" t="0" r="0" b="3810"/>
            <wp:docPr id="63" name="Imagen 63"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Gráfico, Gráfico de líneas&#10;&#10;Descripción generada automáticamen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19998" cy="3064759"/>
                    </a:xfrm>
                    <a:prstGeom prst="rect">
                      <a:avLst/>
                    </a:prstGeom>
                    <a:noFill/>
                    <a:ln>
                      <a:noFill/>
                    </a:ln>
                  </pic:spPr>
                </pic:pic>
              </a:graphicData>
            </a:graphic>
          </wp:inline>
        </w:drawing>
      </w:r>
    </w:p>
    <w:p w14:paraId="2A0FDF8C" w14:textId="77777777" w:rsidR="00DD0BC1" w:rsidRDefault="00DD0BC1" w:rsidP="002E39FC">
      <w:pPr>
        <w:spacing w:after="0" w:line="240" w:lineRule="auto"/>
        <w:jc w:val="both"/>
        <w:rPr>
          <w:rFonts w:ascii="Open Sans Light" w:eastAsia="Open Sans Light" w:hAnsi="Open Sans Light" w:cs="Open Sans Light"/>
          <w:i/>
          <w:color w:val="7030A0"/>
          <w:sz w:val="24"/>
          <w:szCs w:val="24"/>
        </w:rPr>
      </w:pPr>
    </w:p>
    <w:p w14:paraId="5E01276C" w14:textId="326A10B6"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19. Niñas, niños y adolescentes son menos vulnerables en situaciones de emergencias y desastres</w:t>
      </w:r>
    </w:p>
    <w:p w14:paraId="6D525530"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0A9B156A" w14:textId="2A232318"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Este resultado tenía como meta al 2021 universalizar las instituciones educativas calificadas como seguras por el MINEDU y se mide a través del porcentaje de locales (escolares) públicos en buen estado. No obstante, con base en la información disponible, se estima que al cierre del año actual solo 1 de cada 5 IIEE cumpl</w:t>
      </w:r>
      <w:r w:rsidR="00BC38A2">
        <w:rPr>
          <w:rFonts w:ascii="Open Sans Light" w:eastAsia="Open Sans Light" w:hAnsi="Open Sans Light" w:cs="Open Sans Light"/>
          <w:color w:val="000000"/>
          <w:sz w:val="24"/>
          <w:szCs w:val="24"/>
        </w:rPr>
        <w:t>irían</w:t>
      </w:r>
      <w:r>
        <w:rPr>
          <w:rFonts w:ascii="Open Sans Light" w:eastAsia="Open Sans Light" w:hAnsi="Open Sans Light" w:cs="Open Sans Light"/>
          <w:color w:val="000000"/>
          <w:sz w:val="24"/>
          <w:szCs w:val="24"/>
        </w:rPr>
        <w:t xml:space="preserve"> con este requisito. </w:t>
      </w:r>
      <w:r w:rsidR="00BC38A2" w:rsidRPr="00A61DFC">
        <w:rPr>
          <w:rFonts w:ascii="Open Sans Light" w:eastAsia="Open Sans Light" w:hAnsi="Open Sans Light" w:cs="Open Sans Light"/>
          <w:sz w:val="24"/>
          <w:szCs w:val="24"/>
        </w:rPr>
        <w:t xml:space="preserve">La tendencia observada, a pesar de ligeras variaciones hacia el alza o hacia la baja, es a la estabilidad en torno al 20%; lo que dejaría una brecha de superar por encima del 80%. </w:t>
      </w:r>
    </w:p>
    <w:p w14:paraId="7A914A76" w14:textId="7519E07D" w:rsidR="002E39FC" w:rsidRDefault="000A52DE" w:rsidP="002E39FC">
      <w:pPr>
        <w:tabs>
          <w:tab w:val="center" w:pos="4252"/>
          <w:tab w:val="right" w:pos="8504"/>
        </w:tabs>
        <w:spacing w:after="0" w:line="240" w:lineRule="auto"/>
        <w:jc w:val="center"/>
        <w:rPr>
          <w:rFonts w:ascii="Open Sans Light" w:eastAsia="Open Sans Light" w:hAnsi="Open Sans Light" w:cs="Open Sans Light"/>
          <w:color w:val="000000"/>
          <w:sz w:val="24"/>
          <w:szCs w:val="24"/>
        </w:rPr>
      </w:pPr>
      <w:r w:rsidRPr="000A52DE">
        <w:rPr>
          <w:rFonts w:ascii="Open Sans Light" w:eastAsia="Open Sans Light" w:hAnsi="Open Sans Light" w:cs="Open Sans Light"/>
          <w:noProof/>
          <w:color w:val="000000"/>
          <w:sz w:val="24"/>
          <w:szCs w:val="24"/>
          <w:lang w:val="en-GB" w:eastAsia="en-GB"/>
        </w:rPr>
        <w:drawing>
          <wp:inline distT="0" distB="0" distL="0" distR="0" wp14:anchorId="0450C615" wp14:editId="11535CD1">
            <wp:extent cx="4274634" cy="3104700"/>
            <wp:effectExtent l="0" t="0" r="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84505" cy="3111869"/>
                    </a:xfrm>
                    <a:prstGeom prst="rect">
                      <a:avLst/>
                    </a:prstGeom>
                    <a:noFill/>
                    <a:ln>
                      <a:noFill/>
                    </a:ln>
                  </pic:spPr>
                </pic:pic>
              </a:graphicData>
            </a:graphic>
          </wp:inline>
        </w:drawing>
      </w:r>
    </w:p>
    <w:p w14:paraId="53D2C368" w14:textId="67463A01" w:rsidR="00B05162" w:rsidRDefault="00B05162" w:rsidP="002E39FC">
      <w:pPr>
        <w:tabs>
          <w:tab w:val="center" w:pos="4252"/>
          <w:tab w:val="right" w:pos="8504"/>
        </w:tabs>
        <w:spacing w:after="0" w:line="240" w:lineRule="auto"/>
        <w:jc w:val="both"/>
        <w:rPr>
          <w:rFonts w:ascii="Open Sans Light" w:eastAsia="Open Sans Light" w:hAnsi="Open Sans Light" w:cs="Open Sans Light"/>
          <w:color w:val="000000"/>
          <w:sz w:val="24"/>
          <w:szCs w:val="24"/>
        </w:rPr>
      </w:pPr>
    </w:p>
    <w:p w14:paraId="6C1A2921" w14:textId="77777777" w:rsidR="00BC38A2" w:rsidRDefault="001439D0" w:rsidP="00BC38A2">
      <w:pPr>
        <w:tabs>
          <w:tab w:val="center" w:pos="4252"/>
          <w:tab w:val="right" w:pos="8504"/>
        </w:tabs>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En base a la información disponible</w:t>
      </w:r>
      <w:r w:rsidRPr="001439D0">
        <w:rPr>
          <w:rFonts w:ascii="Open Sans Light" w:eastAsia="Open Sans Light" w:hAnsi="Open Sans Light" w:cs="Open Sans Light"/>
          <w:color w:val="000000"/>
          <w:sz w:val="24"/>
          <w:szCs w:val="24"/>
        </w:rPr>
        <w:t xml:space="preserve"> </w:t>
      </w:r>
      <w:r>
        <w:rPr>
          <w:rFonts w:ascii="Open Sans Light" w:eastAsia="Open Sans Light" w:hAnsi="Open Sans Light" w:cs="Open Sans Light"/>
          <w:color w:val="000000"/>
          <w:sz w:val="24"/>
          <w:szCs w:val="24"/>
        </w:rPr>
        <w:t>a nivel departamental, l</w:t>
      </w:r>
      <w:r w:rsidR="00AC5E3E">
        <w:rPr>
          <w:rFonts w:ascii="Open Sans Light" w:eastAsia="Open Sans Light" w:hAnsi="Open Sans Light" w:cs="Open Sans Light"/>
          <w:color w:val="000000"/>
          <w:sz w:val="24"/>
          <w:szCs w:val="24"/>
        </w:rPr>
        <w:t>a revisión</w:t>
      </w:r>
      <w:r w:rsidR="008D30EC">
        <w:rPr>
          <w:rFonts w:ascii="Open Sans Light" w:eastAsia="Open Sans Light" w:hAnsi="Open Sans Light" w:cs="Open Sans Light"/>
          <w:color w:val="000000"/>
          <w:sz w:val="24"/>
          <w:szCs w:val="24"/>
        </w:rPr>
        <w:t xml:space="preserve"> de este indicador</w:t>
      </w:r>
      <w:r w:rsidR="00B75A56">
        <w:rPr>
          <w:rFonts w:ascii="Open Sans Light" w:eastAsia="Open Sans Light" w:hAnsi="Open Sans Light" w:cs="Open Sans Light"/>
          <w:color w:val="000000"/>
          <w:sz w:val="24"/>
          <w:szCs w:val="24"/>
        </w:rPr>
        <w:t xml:space="preserve"> </w:t>
      </w:r>
      <w:r w:rsidR="004E7FF7">
        <w:rPr>
          <w:rFonts w:ascii="Open Sans Light" w:eastAsia="Open Sans Light" w:hAnsi="Open Sans Light" w:cs="Open Sans Light"/>
          <w:color w:val="000000"/>
          <w:sz w:val="24"/>
          <w:szCs w:val="24"/>
        </w:rPr>
        <w:t>dejó</w:t>
      </w:r>
      <w:r w:rsidR="00B75A56">
        <w:rPr>
          <w:rFonts w:ascii="Open Sans Light" w:eastAsia="Open Sans Light" w:hAnsi="Open Sans Light" w:cs="Open Sans Light"/>
          <w:color w:val="000000"/>
          <w:sz w:val="24"/>
          <w:szCs w:val="24"/>
        </w:rPr>
        <w:t xml:space="preserve"> al descubierto </w:t>
      </w:r>
      <w:r w:rsidR="00BF37DB">
        <w:rPr>
          <w:rFonts w:ascii="Open Sans Light" w:eastAsia="Open Sans Light" w:hAnsi="Open Sans Light" w:cs="Open Sans Light"/>
          <w:color w:val="000000"/>
          <w:sz w:val="24"/>
          <w:szCs w:val="24"/>
        </w:rPr>
        <w:t xml:space="preserve">una </w:t>
      </w:r>
      <w:r w:rsidR="00EE78C7">
        <w:rPr>
          <w:rFonts w:ascii="Open Sans Light" w:eastAsia="Open Sans Light" w:hAnsi="Open Sans Light" w:cs="Open Sans Light"/>
          <w:color w:val="000000"/>
          <w:sz w:val="24"/>
          <w:szCs w:val="24"/>
        </w:rPr>
        <w:t>tendencia heterogénea</w:t>
      </w:r>
      <w:r w:rsidR="00BF37DB">
        <w:rPr>
          <w:rFonts w:ascii="Open Sans Light" w:eastAsia="Open Sans Light" w:hAnsi="Open Sans Light" w:cs="Open Sans Light"/>
          <w:color w:val="000000"/>
          <w:sz w:val="24"/>
          <w:szCs w:val="24"/>
        </w:rPr>
        <w:t xml:space="preserve"> entre departamentos de </w:t>
      </w:r>
      <w:r w:rsidR="00EE78C7">
        <w:rPr>
          <w:rFonts w:ascii="Open Sans Light" w:eastAsia="Open Sans Light" w:hAnsi="Open Sans Light" w:cs="Open Sans Light"/>
          <w:color w:val="000000"/>
          <w:sz w:val="24"/>
          <w:szCs w:val="24"/>
        </w:rPr>
        <w:t>las zonas</w:t>
      </w:r>
      <w:r w:rsidR="00BF37DB">
        <w:rPr>
          <w:rFonts w:ascii="Open Sans Light" w:eastAsia="Open Sans Light" w:hAnsi="Open Sans Light" w:cs="Open Sans Light"/>
          <w:color w:val="000000"/>
          <w:sz w:val="24"/>
          <w:szCs w:val="24"/>
        </w:rPr>
        <w:t xml:space="preserve"> de la región costa, sierra y selva</w:t>
      </w:r>
      <w:r w:rsidR="00862EAB">
        <w:rPr>
          <w:rFonts w:ascii="Open Sans Light" w:eastAsia="Open Sans Light" w:hAnsi="Open Sans Light" w:cs="Open Sans Light"/>
          <w:color w:val="000000"/>
          <w:sz w:val="24"/>
          <w:szCs w:val="24"/>
        </w:rPr>
        <w:t>.</w:t>
      </w:r>
      <w:r w:rsidR="00BC38A2">
        <w:rPr>
          <w:rFonts w:ascii="Open Sans Light" w:eastAsia="Open Sans Light" w:hAnsi="Open Sans Light" w:cs="Open Sans Light"/>
          <w:color w:val="000000"/>
          <w:sz w:val="24"/>
          <w:szCs w:val="24"/>
        </w:rPr>
        <w:t xml:space="preserve"> </w:t>
      </w:r>
      <w:r w:rsidR="001F1B09">
        <w:rPr>
          <w:rFonts w:ascii="Open Sans Light" w:eastAsia="Open Sans Light" w:hAnsi="Open Sans Light" w:cs="Open Sans Light"/>
          <w:color w:val="000000"/>
          <w:sz w:val="24"/>
          <w:szCs w:val="24"/>
        </w:rPr>
        <w:t xml:space="preserve">En primer </w:t>
      </w:r>
      <w:r>
        <w:rPr>
          <w:rFonts w:ascii="Open Sans Light" w:eastAsia="Open Sans Light" w:hAnsi="Open Sans Light" w:cs="Open Sans Light"/>
          <w:color w:val="000000"/>
          <w:sz w:val="24"/>
          <w:szCs w:val="24"/>
        </w:rPr>
        <w:t>lugar,</w:t>
      </w:r>
      <w:r w:rsidR="006E4B8B">
        <w:rPr>
          <w:rFonts w:ascii="Open Sans Light" w:eastAsia="Open Sans Light" w:hAnsi="Open Sans Light" w:cs="Open Sans Light"/>
          <w:color w:val="000000"/>
          <w:sz w:val="24"/>
          <w:szCs w:val="24"/>
        </w:rPr>
        <w:t xml:space="preserve"> </w:t>
      </w:r>
      <w:r w:rsidR="003F4E77">
        <w:rPr>
          <w:rFonts w:ascii="Open Sans Light" w:eastAsia="Open Sans Light" w:hAnsi="Open Sans Light" w:cs="Open Sans Light"/>
          <w:color w:val="000000"/>
          <w:sz w:val="24"/>
          <w:szCs w:val="24"/>
        </w:rPr>
        <w:t>los</w:t>
      </w:r>
      <w:r w:rsidR="00D1416B">
        <w:rPr>
          <w:rFonts w:ascii="Open Sans Light" w:eastAsia="Open Sans Light" w:hAnsi="Open Sans Light" w:cs="Open Sans Light"/>
          <w:color w:val="000000"/>
          <w:sz w:val="24"/>
          <w:szCs w:val="24"/>
        </w:rPr>
        <w:t xml:space="preserve"> cambio</w:t>
      </w:r>
      <w:r w:rsidR="003F4E77">
        <w:rPr>
          <w:rFonts w:ascii="Open Sans Light" w:eastAsia="Open Sans Light" w:hAnsi="Open Sans Light" w:cs="Open Sans Light"/>
          <w:color w:val="000000"/>
          <w:sz w:val="24"/>
          <w:szCs w:val="24"/>
        </w:rPr>
        <w:t>s</w:t>
      </w:r>
      <w:r w:rsidR="00D1416B">
        <w:rPr>
          <w:rFonts w:ascii="Open Sans Light" w:eastAsia="Open Sans Light" w:hAnsi="Open Sans Light" w:cs="Open Sans Light"/>
          <w:color w:val="000000"/>
          <w:sz w:val="24"/>
          <w:szCs w:val="24"/>
        </w:rPr>
        <w:t xml:space="preserve"> </w:t>
      </w:r>
      <w:r w:rsidR="00B75A56">
        <w:rPr>
          <w:rFonts w:ascii="Open Sans Light" w:eastAsia="Open Sans Light" w:hAnsi="Open Sans Light" w:cs="Open Sans Light"/>
          <w:color w:val="000000"/>
          <w:sz w:val="24"/>
          <w:szCs w:val="24"/>
        </w:rPr>
        <w:t>más relevante</w:t>
      </w:r>
      <w:r w:rsidR="003F4E77">
        <w:rPr>
          <w:rFonts w:ascii="Open Sans Light" w:eastAsia="Open Sans Light" w:hAnsi="Open Sans Light" w:cs="Open Sans Light"/>
          <w:color w:val="000000"/>
          <w:sz w:val="24"/>
          <w:szCs w:val="24"/>
        </w:rPr>
        <w:t>s</w:t>
      </w:r>
      <w:r w:rsidR="001004E4">
        <w:rPr>
          <w:rFonts w:ascii="Open Sans Light" w:eastAsia="Open Sans Light" w:hAnsi="Open Sans Light" w:cs="Open Sans Light"/>
          <w:color w:val="000000"/>
          <w:sz w:val="24"/>
          <w:szCs w:val="24"/>
        </w:rPr>
        <w:t xml:space="preserve"> y</w:t>
      </w:r>
      <w:r w:rsidR="001F1B09">
        <w:rPr>
          <w:rFonts w:ascii="Open Sans Light" w:eastAsia="Open Sans Light" w:hAnsi="Open Sans Light" w:cs="Open Sans Light"/>
          <w:color w:val="000000"/>
          <w:sz w:val="24"/>
          <w:szCs w:val="24"/>
        </w:rPr>
        <w:t xml:space="preserve"> al mismo tiempo</w:t>
      </w:r>
      <w:r w:rsidR="001004E4">
        <w:rPr>
          <w:rFonts w:ascii="Open Sans Light" w:eastAsia="Open Sans Light" w:hAnsi="Open Sans Light" w:cs="Open Sans Light"/>
          <w:color w:val="000000"/>
          <w:sz w:val="24"/>
          <w:szCs w:val="24"/>
        </w:rPr>
        <w:t xml:space="preserve"> meno</w:t>
      </w:r>
      <w:r w:rsidR="006E4B8B">
        <w:rPr>
          <w:rFonts w:ascii="Open Sans Light" w:eastAsia="Open Sans Light" w:hAnsi="Open Sans Light" w:cs="Open Sans Light"/>
          <w:color w:val="000000"/>
          <w:sz w:val="24"/>
          <w:szCs w:val="24"/>
        </w:rPr>
        <w:t>s</w:t>
      </w:r>
      <w:r w:rsidR="001004E4">
        <w:rPr>
          <w:rFonts w:ascii="Open Sans Light" w:eastAsia="Open Sans Light" w:hAnsi="Open Sans Light" w:cs="Open Sans Light"/>
          <w:color w:val="000000"/>
          <w:sz w:val="24"/>
          <w:szCs w:val="24"/>
        </w:rPr>
        <w:t xml:space="preserve"> alentador</w:t>
      </w:r>
      <w:r w:rsidR="003F4E77">
        <w:rPr>
          <w:rFonts w:ascii="Open Sans Light" w:eastAsia="Open Sans Light" w:hAnsi="Open Sans Light" w:cs="Open Sans Light"/>
          <w:color w:val="000000"/>
          <w:sz w:val="24"/>
          <w:szCs w:val="24"/>
        </w:rPr>
        <w:t>es</w:t>
      </w:r>
      <w:r w:rsidR="001F1B09">
        <w:rPr>
          <w:rFonts w:ascii="Open Sans Light" w:eastAsia="Open Sans Light" w:hAnsi="Open Sans Light" w:cs="Open Sans Light"/>
          <w:color w:val="000000"/>
          <w:sz w:val="24"/>
          <w:szCs w:val="24"/>
        </w:rPr>
        <w:t>,</w:t>
      </w:r>
      <w:r w:rsidR="00B75A56">
        <w:rPr>
          <w:rFonts w:ascii="Open Sans Light" w:eastAsia="Open Sans Light" w:hAnsi="Open Sans Light" w:cs="Open Sans Light"/>
          <w:color w:val="000000"/>
          <w:sz w:val="24"/>
          <w:szCs w:val="24"/>
        </w:rPr>
        <w:t xml:space="preserve"> se di</w:t>
      </w:r>
      <w:r w:rsidR="003F4E77">
        <w:rPr>
          <w:rFonts w:ascii="Open Sans Light" w:eastAsia="Open Sans Light" w:hAnsi="Open Sans Light" w:cs="Open Sans Light"/>
          <w:color w:val="000000"/>
          <w:sz w:val="24"/>
          <w:szCs w:val="24"/>
        </w:rPr>
        <w:t>eron</w:t>
      </w:r>
      <w:r w:rsidR="00B75A56">
        <w:rPr>
          <w:rFonts w:ascii="Open Sans Light" w:eastAsia="Open Sans Light" w:hAnsi="Open Sans Light" w:cs="Open Sans Light"/>
          <w:color w:val="000000"/>
          <w:sz w:val="24"/>
          <w:szCs w:val="24"/>
        </w:rPr>
        <w:t xml:space="preserve"> en</w:t>
      </w:r>
      <w:r w:rsidR="001F1B09">
        <w:rPr>
          <w:rFonts w:ascii="Open Sans Light" w:eastAsia="Open Sans Light" w:hAnsi="Open Sans Light" w:cs="Open Sans Light"/>
          <w:color w:val="000000"/>
          <w:sz w:val="24"/>
          <w:szCs w:val="24"/>
        </w:rPr>
        <w:t xml:space="preserve"> </w:t>
      </w:r>
      <w:r>
        <w:rPr>
          <w:rFonts w:ascii="Open Sans Light" w:eastAsia="Open Sans Light" w:hAnsi="Open Sans Light" w:cs="Open Sans Light"/>
          <w:color w:val="000000"/>
          <w:sz w:val="24"/>
          <w:szCs w:val="24"/>
        </w:rPr>
        <w:t>los departamentos</w:t>
      </w:r>
      <w:r w:rsidR="001F1B09">
        <w:rPr>
          <w:rFonts w:ascii="Open Sans Light" w:eastAsia="Open Sans Light" w:hAnsi="Open Sans Light" w:cs="Open Sans Light"/>
          <w:color w:val="000000"/>
          <w:sz w:val="24"/>
          <w:szCs w:val="24"/>
        </w:rPr>
        <w:t xml:space="preserve"> de Loreto</w:t>
      </w:r>
      <w:r w:rsidR="00396C8D">
        <w:rPr>
          <w:rFonts w:ascii="Open Sans Light" w:eastAsia="Open Sans Light" w:hAnsi="Open Sans Light" w:cs="Open Sans Light"/>
          <w:color w:val="000000"/>
          <w:sz w:val="24"/>
          <w:szCs w:val="24"/>
        </w:rPr>
        <w:t xml:space="preserve">, Ucayali, Cusco y </w:t>
      </w:r>
      <w:r w:rsidR="00FF17CD">
        <w:rPr>
          <w:rFonts w:ascii="Open Sans Light" w:eastAsia="Open Sans Light" w:hAnsi="Open Sans Light" w:cs="Open Sans Light"/>
          <w:color w:val="000000"/>
          <w:sz w:val="24"/>
          <w:szCs w:val="24"/>
        </w:rPr>
        <w:t>Pasco</w:t>
      </w:r>
      <w:r w:rsidR="00396C8D">
        <w:rPr>
          <w:rFonts w:ascii="Open Sans Light" w:eastAsia="Open Sans Light" w:hAnsi="Open Sans Light" w:cs="Open Sans Light"/>
          <w:color w:val="000000"/>
          <w:sz w:val="24"/>
          <w:szCs w:val="24"/>
        </w:rPr>
        <w:t xml:space="preserve">, </w:t>
      </w:r>
      <w:r w:rsidR="001F1B09">
        <w:rPr>
          <w:rFonts w:ascii="Open Sans Light" w:eastAsia="Open Sans Light" w:hAnsi="Open Sans Light" w:cs="Open Sans Light"/>
          <w:color w:val="000000"/>
          <w:sz w:val="24"/>
          <w:szCs w:val="24"/>
        </w:rPr>
        <w:t>pasando de</w:t>
      </w:r>
      <w:r w:rsidR="004E7FF7">
        <w:rPr>
          <w:rFonts w:ascii="Open Sans Light" w:eastAsia="Open Sans Light" w:hAnsi="Open Sans Light" w:cs="Open Sans Light"/>
          <w:color w:val="000000"/>
          <w:sz w:val="24"/>
          <w:szCs w:val="24"/>
        </w:rPr>
        <w:t xml:space="preserve"> un 31.2%</w:t>
      </w:r>
      <w:r w:rsidR="00396C8D">
        <w:rPr>
          <w:rFonts w:ascii="Open Sans Light" w:eastAsia="Open Sans Light" w:hAnsi="Open Sans Light" w:cs="Open Sans Light"/>
          <w:color w:val="000000"/>
          <w:sz w:val="24"/>
          <w:szCs w:val="24"/>
        </w:rPr>
        <w:t>, 30.2%, 25.9</w:t>
      </w:r>
      <w:r>
        <w:rPr>
          <w:rFonts w:ascii="Open Sans Light" w:eastAsia="Open Sans Light" w:hAnsi="Open Sans Light" w:cs="Open Sans Light"/>
          <w:color w:val="000000"/>
          <w:sz w:val="24"/>
          <w:szCs w:val="24"/>
        </w:rPr>
        <w:t>% y</w:t>
      </w:r>
      <w:r w:rsidR="003F4E77">
        <w:rPr>
          <w:rFonts w:ascii="Open Sans Light" w:eastAsia="Open Sans Light" w:hAnsi="Open Sans Light" w:cs="Open Sans Light"/>
          <w:color w:val="000000"/>
          <w:sz w:val="24"/>
          <w:szCs w:val="24"/>
        </w:rPr>
        <w:t xml:space="preserve"> </w:t>
      </w:r>
      <w:r w:rsidR="00FF17CD">
        <w:rPr>
          <w:rFonts w:ascii="Open Sans Light" w:eastAsia="Open Sans Light" w:hAnsi="Open Sans Light" w:cs="Open Sans Light"/>
          <w:color w:val="000000"/>
          <w:sz w:val="24"/>
          <w:szCs w:val="24"/>
        </w:rPr>
        <w:t>19.9</w:t>
      </w:r>
      <w:r w:rsidR="003F4E77">
        <w:rPr>
          <w:rFonts w:ascii="Open Sans Light" w:eastAsia="Open Sans Light" w:hAnsi="Open Sans Light" w:cs="Open Sans Light"/>
          <w:color w:val="000000"/>
          <w:sz w:val="24"/>
          <w:szCs w:val="24"/>
        </w:rPr>
        <w:t>%</w:t>
      </w:r>
      <w:r w:rsidR="006E4B8B">
        <w:rPr>
          <w:rFonts w:ascii="Open Sans Light" w:eastAsia="Open Sans Light" w:hAnsi="Open Sans Light" w:cs="Open Sans Light"/>
          <w:color w:val="000000"/>
          <w:sz w:val="24"/>
          <w:szCs w:val="24"/>
        </w:rPr>
        <w:t xml:space="preserve"> </w:t>
      </w:r>
      <w:r w:rsidR="003F4E77">
        <w:rPr>
          <w:rFonts w:ascii="Open Sans Light" w:eastAsia="Open Sans Light" w:hAnsi="Open Sans Light" w:cs="Open Sans Light"/>
          <w:color w:val="000000"/>
          <w:sz w:val="24"/>
          <w:szCs w:val="24"/>
        </w:rPr>
        <w:t xml:space="preserve">de locales escolares en buen estado en el </w:t>
      </w:r>
      <w:r w:rsidR="006E4B8B">
        <w:rPr>
          <w:rFonts w:ascii="Open Sans Light" w:eastAsia="Open Sans Light" w:hAnsi="Open Sans Light" w:cs="Open Sans Light"/>
          <w:color w:val="000000"/>
          <w:sz w:val="24"/>
          <w:szCs w:val="24"/>
        </w:rPr>
        <w:t>2011 a</w:t>
      </w:r>
      <w:r w:rsidR="003F4E77">
        <w:rPr>
          <w:rFonts w:ascii="Open Sans Light" w:eastAsia="Open Sans Light" w:hAnsi="Open Sans Light" w:cs="Open Sans Light"/>
          <w:color w:val="000000"/>
          <w:sz w:val="24"/>
          <w:szCs w:val="24"/>
        </w:rPr>
        <w:t xml:space="preserve"> </w:t>
      </w:r>
      <w:r>
        <w:rPr>
          <w:rFonts w:ascii="Open Sans Light" w:eastAsia="Open Sans Light" w:hAnsi="Open Sans Light" w:cs="Open Sans Light"/>
          <w:color w:val="000000"/>
          <w:sz w:val="24"/>
          <w:szCs w:val="24"/>
        </w:rPr>
        <w:t>un 1</w:t>
      </w:r>
      <w:r w:rsidR="00FF17CD">
        <w:rPr>
          <w:rFonts w:ascii="Open Sans Light" w:eastAsia="Open Sans Light" w:hAnsi="Open Sans Light" w:cs="Open Sans Light"/>
          <w:color w:val="000000"/>
          <w:sz w:val="24"/>
          <w:szCs w:val="24"/>
        </w:rPr>
        <w:t>7</w:t>
      </w:r>
      <w:r>
        <w:rPr>
          <w:rFonts w:ascii="Open Sans Light" w:eastAsia="Open Sans Light" w:hAnsi="Open Sans Light" w:cs="Open Sans Light"/>
          <w:color w:val="000000"/>
          <w:sz w:val="24"/>
          <w:szCs w:val="24"/>
        </w:rPr>
        <w:t>.</w:t>
      </w:r>
      <w:r w:rsidR="00FF17CD">
        <w:rPr>
          <w:rFonts w:ascii="Open Sans Light" w:eastAsia="Open Sans Light" w:hAnsi="Open Sans Light" w:cs="Open Sans Light"/>
          <w:color w:val="000000"/>
          <w:sz w:val="24"/>
          <w:szCs w:val="24"/>
        </w:rPr>
        <w:t>8</w:t>
      </w:r>
      <w:r w:rsidR="004E7FF7">
        <w:rPr>
          <w:rFonts w:ascii="Open Sans Light" w:eastAsia="Open Sans Light" w:hAnsi="Open Sans Light" w:cs="Open Sans Light"/>
          <w:color w:val="000000"/>
          <w:sz w:val="24"/>
          <w:szCs w:val="24"/>
        </w:rPr>
        <w:t>%</w:t>
      </w:r>
      <w:r w:rsidR="003F4E77">
        <w:rPr>
          <w:rFonts w:ascii="Open Sans Light" w:eastAsia="Open Sans Light" w:hAnsi="Open Sans Light" w:cs="Open Sans Light"/>
          <w:color w:val="000000"/>
          <w:sz w:val="24"/>
          <w:szCs w:val="24"/>
        </w:rPr>
        <w:t xml:space="preserve">, </w:t>
      </w:r>
      <w:r w:rsidR="00FF17CD">
        <w:rPr>
          <w:rFonts w:ascii="Open Sans Light" w:eastAsia="Open Sans Light" w:hAnsi="Open Sans Light" w:cs="Open Sans Light"/>
          <w:color w:val="000000"/>
          <w:sz w:val="24"/>
          <w:szCs w:val="24"/>
        </w:rPr>
        <w:t>17.2</w:t>
      </w:r>
      <w:r w:rsidR="003F4E77">
        <w:rPr>
          <w:rFonts w:ascii="Open Sans Light" w:eastAsia="Open Sans Light" w:hAnsi="Open Sans Light" w:cs="Open Sans Light"/>
          <w:color w:val="000000"/>
          <w:sz w:val="24"/>
          <w:szCs w:val="24"/>
        </w:rPr>
        <w:t xml:space="preserve">%, </w:t>
      </w:r>
      <w:r w:rsidR="00FF17CD">
        <w:rPr>
          <w:rFonts w:ascii="Open Sans Light" w:eastAsia="Open Sans Light" w:hAnsi="Open Sans Light" w:cs="Open Sans Light"/>
          <w:color w:val="000000"/>
          <w:sz w:val="24"/>
          <w:szCs w:val="24"/>
        </w:rPr>
        <w:t>14.2</w:t>
      </w:r>
      <w:r w:rsidR="003F4E77">
        <w:rPr>
          <w:rFonts w:ascii="Open Sans Light" w:eastAsia="Open Sans Light" w:hAnsi="Open Sans Light" w:cs="Open Sans Light"/>
          <w:color w:val="000000"/>
          <w:sz w:val="24"/>
          <w:szCs w:val="24"/>
        </w:rPr>
        <w:t xml:space="preserve">% y </w:t>
      </w:r>
      <w:r w:rsidR="00FF17CD">
        <w:rPr>
          <w:rFonts w:ascii="Open Sans Light" w:eastAsia="Open Sans Light" w:hAnsi="Open Sans Light" w:cs="Open Sans Light"/>
          <w:color w:val="000000"/>
          <w:sz w:val="24"/>
          <w:szCs w:val="24"/>
        </w:rPr>
        <w:t>9.1</w:t>
      </w:r>
      <w:r w:rsidR="003F4E77">
        <w:rPr>
          <w:rFonts w:ascii="Open Sans Light" w:eastAsia="Open Sans Light" w:hAnsi="Open Sans Light" w:cs="Open Sans Light"/>
          <w:color w:val="000000"/>
          <w:sz w:val="24"/>
          <w:szCs w:val="24"/>
        </w:rPr>
        <w:t xml:space="preserve">% al </w:t>
      </w:r>
      <w:r>
        <w:rPr>
          <w:rFonts w:ascii="Open Sans Light" w:eastAsia="Open Sans Light" w:hAnsi="Open Sans Light" w:cs="Open Sans Light"/>
          <w:color w:val="000000"/>
          <w:sz w:val="24"/>
          <w:szCs w:val="24"/>
        </w:rPr>
        <w:t>20</w:t>
      </w:r>
      <w:r w:rsidR="00FF17CD">
        <w:rPr>
          <w:rFonts w:ascii="Open Sans Light" w:eastAsia="Open Sans Light" w:hAnsi="Open Sans Light" w:cs="Open Sans Light"/>
          <w:color w:val="000000"/>
          <w:sz w:val="24"/>
          <w:szCs w:val="24"/>
        </w:rPr>
        <w:t>18</w:t>
      </w:r>
      <w:r>
        <w:rPr>
          <w:rFonts w:ascii="Open Sans Light" w:eastAsia="Open Sans Light" w:hAnsi="Open Sans Light" w:cs="Open Sans Light"/>
          <w:color w:val="000000"/>
          <w:sz w:val="24"/>
          <w:szCs w:val="24"/>
        </w:rPr>
        <w:t xml:space="preserve"> respectivamente, </w:t>
      </w:r>
      <w:r w:rsidR="006E4B8B">
        <w:rPr>
          <w:rFonts w:ascii="Open Sans Light" w:eastAsia="Open Sans Light" w:hAnsi="Open Sans Light" w:cs="Open Sans Light"/>
          <w:color w:val="000000"/>
          <w:sz w:val="24"/>
          <w:szCs w:val="24"/>
        </w:rPr>
        <w:t xml:space="preserve">esto significó un retroceso </w:t>
      </w:r>
      <w:r w:rsidR="00FF17CD">
        <w:rPr>
          <w:rFonts w:ascii="Open Sans Light" w:eastAsia="Open Sans Light" w:hAnsi="Open Sans Light" w:cs="Open Sans Light"/>
          <w:color w:val="000000"/>
          <w:sz w:val="24"/>
          <w:szCs w:val="24"/>
        </w:rPr>
        <w:t>en</w:t>
      </w:r>
      <w:r w:rsidR="006E4B8B">
        <w:rPr>
          <w:rFonts w:ascii="Open Sans Light" w:eastAsia="Open Sans Light" w:hAnsi="Open Sans Light" w:cs="Open Sans Light"/>
          <w:color w:val="000000"/>
          <w:sz w:val="24"/>
          <w:szCs w:val="24"/>
        </w:rPr>
        <w:t xml:space="preserve"> 1</w:t>
      </w:r>
      <w:r w:rsidR="00FF17CD">
        <w:rPr>
          <w:rFonts w:ascii="Open Sans Light" w:eastAsia="Open Sans Light" w:hAnsi="Open Sans Light" w:cs="Open Sans Light"/>
          <w:color w:val="000000"/>
          <w:sz w:val="24"/>
          <w:szCs w:val="24"/>
        </w:rPr>
        <w:t>2</w:t>
      </w:r>
      <w:r w:rsidR="006E4B8B">
        <w:rPr>
          <w:rFonts w:ascii="Open Sans Light" w:eastAsia="Open Sans Light" w:hAnsi="Open Sans Light" w:cs="Open Sans Light"/>
          <w:color w:val="000000"/>
          <w:sz w:val="24"/>
          <w:szCs w:val="24"/>
        </w:rPr>
        <w:t>.</w:t>
      </w:r>
      <w:r w:rsidR="00FF17CD">
        <w:rPr>
          <w:rFonts w:ascii="Open Sans Light" w:eastAsia="Open Sans Light" w:hAnsi="Open Sans Light" w:cs="Open Sans Light"/>
          <w:color w:val="000000"/>
          <w:sz w:val="24"/>
          <w:szCs w:val="24"/>
        </w:rPr>
        <w:t>2</w:t>
      </w:r>
      <w:r w:rsidR="006E4B8B">
        <w:rPr>
          <w:rFonts w:ascii="Open Sans Light" w:eastAsia="Open Sans Light" w:hAnsi="Open Sans Light" w:cs="Open Sans Light"/>
          <w:color w:val="000000"/>
          <w:sz w:val="24"/>
          <w:szCs w:val="24"/>
        </w:rPr>
        <w:t xml:space="preserve"> puntos porcentuales</w:t>
      </w:r>
      <w:r w:rsidR="005E5A27">
        <w:rPr>
          <w:rFonts w:ascii="Open Sans Light" w:eastAsia="Open Sans Light" w:hAnsi="Open Sans Light" w:cs="Open Sans Light"/>
          <w:color w:val="000000"/>
          <w:sz w:val="24"/>
          <w:szCs w:val="24"/>
        </w:rPr>
        <w:t xml:space="preserve"> en promedio</w:t>
      </w:r>
      <w:r w:rsidR="001F1B09">
        <w:rPr>
          <w:rFonts w:ascii="Open Sans Light" w:eastAsia="Open Sans Light" w:hAnsi="Open Sans Light" w:cs="Open Sans Light"/>
          <w:color w:val="000000"/>
          <w:sz w:val="24"/>
          <w:szCs w:val="24"/>
        </w:rPr>
        <w:t>.</w:t>
      </w:r>
      <w:r w:rsidR="00B75A56">
        <w:rPr>
          <w:rFonts w:ascii="Open Sans Light" w:eastAsia="Open Sans Light" w:hAnsi="Open Sans Light" w:cs="Open Sans Light"/>
          <w:color w:val="000000"/>
          <w:sz w:val="24"/>
          <w:szCs w:val="24"/>
        </w:rPr>
        <w:t xml:space="preserve"> </w:t>
      </w:r>
      <w:r w:rsidR="00851B00">
        <w:rPr>
          <w:rFonts w:ascii="Open Sans Light" w:eastAsia="Open Sans Light" w:hAnsi="Open Sans Light" w:cs="Open Sans Light"/>
          <w:color w:val="000000"/>
          <w:sz w:val="24"/>
          <w:szCs w:val="24"/>
        </w:rPr>
        <w:t>Así</w:t>
      </w:r>
      <w:r w:rsidR="005E5A27">
        <w:rPr>
          <w:rFonts w:ascii="Open Sans Light" w:eastAsia="Open Sans Light" w:hAnsi="Open Sans Light" w:cs="Open Sans Light"/>
          <w:color w:val="000000"/>
          <w:sz w:val="24"/>
          <w:szCs w:val="24"/>
        </w:rPr>
        <w:t xml:space="preserve"> mismo estos </w:t>
      </w:r>
      <w:r w:rsidR="00FF17CD">
        <w:rPr>
          <w:rFonts w:ascii="Open Sans Light" w:eastAsia="Open Sans Light" w:hAnsi="Open Sans Light" w:cs="Open Sans Light"/>
          <w:color w:val="000000"/>
          <w:sz w:val="24"/>
          <w:szCs w:val="24"/>
        </w:rPr>
        <w:t>departamentos pertenecen</w:t>
      </w:r>
      <w:r w:rsidR="005E5A27">
        <w:rPr>
          <w:rFonts w:ascii="Open Sans Light" w:eastAsia="Open Sans Light" w:hAnsi="Open Sans Light" w:cs="Open Sans Light"/>
          <w:color w:val="000000"/>
          <w:sz w:val="24"/>
          <w:szCs w:val="24"/>
        </w:rPr>
        <w:t xml:space="preserve"> a la </w:t>
      </w:r>
      <w:r w:rsidR="00851B00">
        <w:rPr>
          <w:rFonts w:ascii="Open Sans Light" w:eastAsia="Open Sans Light" w:hAnsi="Open Sans Light" w:cs="Open Sans Light"/>
          <w:color w:val="000000"/>
          <w:sz w:val="24"/>
          <w:szCs w:val="24"/>
        </w:rPr>
        <w:t>región</w:t>
      </w:r>
      <w:r w:rsidR="005E5A27">
        <w:rPr>
          <w:rFonts w:ascii="Open Sans Light" w:eastAsia="Open Sans Light" w:hAnsi="Open Sans Light" w:cs="Open Sans Light"/>
          <w:color w:val="000000"/>
          <w:sz w:val="24"/>
          <w:szCs w:val="24"/>
        </w:rPr>
        <w:t xml:space="preserve"> selva y sierra</w:t>
      </w:r>
    </w:p>
    <w:p w14:paraId="293362FC" w14:textId="4CC90A48" w:rsidR="002E39FC" w:rsidRDefault="004B145C" w:rsidP="003B4C78">
      <w:pPr>
        <w:tabs>
          <w:tab w:val="center" w:pos="4252"/>
          <w:tab w:val="right" w:pos="8504"/>
        </w:tabs>
        <w:spacing w:after="0" w:line="240" w:lineRule="auto"/>
        <w:jc w:val="center"/>
      </w:pPr>
      <w:r w:rsidRPr="004B145C">
        <w:rPr>
          <w:noProof/>
          <w:lang w:val="en-GB" w:eastAsia="en-GB"/>
        </w:rPr>
        <w:lastRenderedPageBreak/>
        <w:drawing>
          <wp:inline distT="0" distB="0" distL="0" distR="0" wp14:anchorId="639F8B9B" wp14:editId="09CA7CB9">
            <wp:extent cx="5202163" cy="377837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13436" cy="3786557"/>
                    </a:xfrm>
                    <a:prstGeom prst="rect">
                      <a:avLst/>
                    </a:prstGeom>
                    <a:noFill/>
                    <a:ln>
                      <a:noFill/>
                    </a:ln>
                  </pic:spPr>
                </pic:pic>
              </a:graphicData>
            </a:graphic>
          </wp:inline>
        </w:drawing>
      </w:r>
    </w:p>
    <w:p w14:paraId="54FDD001" w14:textId="4817C053" w:rsidR="003B1222" w:rsidRDefault="003B1222" w:rsidP="00BC38A2">
      <w:pPr>
        <w:tabs>
          <w:tab w:val="center" w:pos="4252"/>
          <w:tab w:val="right" w:pos="8504"/>
        </w:tabs>
        <w:spacing w:after="0" w:line="240" w:lineRule="auto"/>
        <w:jc w:val="both"/>
      </w:pPr>
    </w:p>
    <w:p w14:paraId="2A750EC3" w14:textId="39234D45" w:rsidR="003B1222" w:rsidRDefault="003B1222" w:rsidP="00BC38A2">
      <w:pPr>
        <w:tabs>
          <w:tab w:val="center" w:pos="4252"/>
          <w:tab w:val="right" w:pos="8504"/>
        </w:tabs>
        <w:spacing w:after="0" w:line="240" w:lineRule="auto"/>
        <w:jc w:val="both"/>
      </w:pPr>
    </w:p>
    <w:p w14:paraId="234D8616" w14:textId="30E6C866" w:rsidR="00AD7E91" w:rsidRPr="00A61DFC" w:rsidRDefault="003B1222" w:rsidP="000B4109">
      <w:pPr>
        <w:tabs>
          <w:tab w:val="center" w:pos="4252"/>
          <w:tab w:val="right" w:pos="8504"/>
        </w:tabs>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Desde un enfoque por departamentos la evolución ha sido muy heterogénea, con departamentos mejorando y empeorando con +/- 10 puntos porcentuales. Así, tenemos en el primer grupo a departamentos que mejoraron la proporción de sus locales escolares públicos en buen estado entre 2011 y 2018; tales como la provincia constitucional del Callao (+11.6%), Tacna (+7.1%), Madre de Dios (5.4%). Mientras que en el segundo grupo tenemos a departamentos que cuentan con una menor proporción de locales escolares públicos idóneos; tales como Loreto (-13.4%), Ucayali (-13%), Cusco (-11.7%), Pasco (-10.8%). </w:t>
      </w:r>
    </w:p>
    <w:p w14:paraId="40B0E271" w14:textId="77777777" w:rsidR="00AD7E91" w:rsidRPr="000B4109" w:rsidRDefault="00AD7E91" w:rsidP="000B4109">
      <w:pPr>
        <w:tabs>
          <w:tab w:val="center" w:pos="4252"/>
          <w:tab w:val="right" w:pos="8504"/>
        </w:tabs>
        <w:spacing w:after="0" w:line="240" w:lineRule="auto"/>
        <w:jc w:val="both"/>
        <w:rPr>
          <w:rFonts w:ascii="Open Sans Light" w:eastAsia="Open Sans Light" w:hAnsi="Open Sans Light" w:cs="Open Sans Light"/>
          <w:color w:val="00B050"/>
          <w:sz w:val="24"/>
          <w:szCs w:val="24"/>
        </w:rPr>
      </w:pPr>
    </w:p>
    <w:p w14:paraId="32141934" w14:textId="5636C9D5" w:rsidR="000B4109" w:rsidRPr="00A61DFC" w:rsidRDefault="000B4109" w:rsidP="000B4109">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Luego, los resultados permiten notar que también existe una fuerte correlación entre área geográfica y evolución 2011-2018 en torno al indicador. Así, tenemos que de los 20 departamentos con una tendencia negativa entre 2011 y 2018, 14 de ellos tienen a la mayor parte de su población en áreas de sierra y selva. Finalmente, los departamentos con </w:t>
      </w:r>
      <w:r w:rsidR="00EB4DA0" w:rsidRPr="00A61DFC">
        <w:rPr>
          <w:rFonts w:ascii="Open Sans Light" w:eastAsia="Open Sans Light" w:hAnsi="Open Sans Light" w:cs="Open Sans Light"/>
          <w:sz w:val="24"/>
          <w:szCs w:val="24"/>
        </w:rPr>
        <w:t>las brechas más grandes</w:t>
      </w:r>
      <w:r w:rsidRPr="00A61DFC">
        <w:rPr>
          <w:rFonts w:ascii="Open Sans Light" w:eastAsia="Open Sans Light" w:hAnsi="Open Sans Light" w:cs="Open Sans Light"/>
          <w:sz w:val="24"/>
          <w:szCs w:val="24"/>
        </w:rPr>
        <w:t xml:space="preserve"> por cerrar en cuanto a la idoneidad de sus locales escolares públicos son Apur</w:t>
      </w:r>
      <w:r w:rsidR="00582243" w:rsidRPr="00A61DFC">
        <w:rPr>
          <w:rFonts w:ascii="Open Sans Light" w:eastAsia="Open Sans Light" w:hAnsi="Open Sans Light" w:cs="Open Sans Light"/>
          <w:sz w:val="24"/>
          <w:szCs w:val="24"/>
        </w:rPr>
        <w:t xml:space="preserve">ímac, Puno y Pasco, con brechas de 89.2%, 90.5% y 90.9% respectivamente. </w:t>
      </w:r>
    </w:p>
    <w:p w14:paraId="3618CCC9" w14:textId="32A654E8" w:rsidR="004B145C" w:rsidRDefault="004B145C" w:rsidP="002E39FC">
      <w:pPr>
        <w:jc w:val="center"/>
      </w:pPr>
      <w:r w:rsidRPr="004B145C">
        <w:rPr>
          <w:noProof/>
          <w:lang w:val="en-GB" w:eastAsia="en-GB"/>
        </w:rPr>
        <w:lastRenderedPageBreak/>
        <w:drawing>
          <wp:inline distT="0" distB="0" distL="0" distR="0" wp14:anchorId="10791146" wp14:editId="25EB2059">
            <wp:extent cx="5297180" cy="3847382"/>
            <wp:effectExtent l="0" t="0" r="0" b="127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08495" cy="3855600"/>
                    </a:xfrm>
                    <a:prstGeom prst="rect">
                      <a:avLst/>
                    </a:prstGeom>
                    <a:noFill/>
                    <a:ln>
                      <a:noFill/>
                    </a:ln>
                  </pic:spPr>
                </pic:pic>
              </a:graphicData>
            </a:graphic>
          </wp:inline>
        </w:drawing>
      </w:r>
    </w:p>
    <w:p w14:paraId="63E98061"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20. Se reduce el número de niñas, niños y adolescentes que son víctimas de violencia familiar y escolar.</w:t>
      </w:r>
    </w:p>
    <w:p w14:paraId="0FEEFDC1"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p>
    <w:p w14:paraId="5E8999E5" w14:textId="21BC7A17"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Este resultado se mide a través de 2 indicadores: (i) Porcentaje de niñas, niños y adolescentes que son víctimas de violencia familiar, y (ii) Porcentaje de niñas, niños y adolescentes que son víctimas de violencia escolar. En ambos casos, la meta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al 2021 es reducir el número de NNA víctimas de violencia en las dos modalidades. </w:t>
      </w:r>
    </w:p>
    <w:p w14:paraId="5FE1DCA7"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76DAD32C" w14:textId="688F73EE"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Según la Encuesta Nacional de Relaciones Sociales (ENARES), en efecto, los porcentajes de violencia familiar y escolar hacia NNA se redujeron entre 2013 y 2019, </w:t>
      </w:r>
      <w:r w:rsidR="004D4668">
        <w:rPr>
          <w:rFonts w:ascii="Open Sans Light" w:eastAsia="Open Sans Light" w:hAnsi="Open Sans Light" w:cs="Open Sans Light"/>
          <w:color w:val="000000"/>
          <w:sz w:val="24"/>
          <w:szCs w:val="24"/>
        </w:rPr>
        <w:t>siendo esta reducción mayor en el caso de</w:t>
      </w:r>
      <w:r>
        <w:rPr>
          <w:rFonts w:ascii="Open Sans Light" w:eastAsia="Open Sans Light" w:hAnsi="Open Sans Light" w:cs="Open Sans Light"/>
          <w:color w:val="000000"/>
          <w:sz w:val="24"/>
          <w:szCs w:val="24"/>
        </w:rPr>
        <w:t xml:space="preserve"> la violencia escolar. No obstante, las tasas de violencia familiar y escolar hacia NNA aún son muy elevadas, afectando así a más del 65% de ellas/os. </w:t>
      </w:r>
    </w:p>
    <w:p w14:paraId="43E43D63"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2613E94A" w14:textId="57B210F5"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La violencia familiar afecta al 68.5% de niñas/os de 9 a 11 años y al 78% de adolescentes a nivel nacional (ENARES. 2019), siendo la psicológica y física (en conjunto) </w:t>
      </w:r>
      <w:r w:rsidR="004D4668">
        <w:rPr>
          <w:rFonts w:ascii="Open Sans Light" w:eastAsia="Open Sans Light" w:hAnsi="Open Sans Light" w:cs="Open Sans Light"/>
          <w:color w:val="000000"/>
          <w:sz w:val="24"/>
          <w:szCs w:val="24"/>
        </w:rPr>
        <w:t xml:space="preserve">la </w:t>
      </w:r>
      <w:r>
        <w:rPr>
          <w:rFonts w:ascii="Open Sans Light" w:eastAsia="Open Sans Light" w:hAnsi="Open Sans Light" w:cs="Open Sans Light"/>
          <w:color w:val="000000"/>
          <w:sz w:val="24"/>
          <w:szCs w:val="24"/>
        </w:rPr>
        <w:t>que afecta a la mayor proporción de NNA en ambas cohortes: 38.6% de niñas/os de 9 a 11; y 47.2% de adolescentes.</w:t>
      </w:r>
    </w:p>
    <w:p w14:paraId="64E98C0E"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6EAEDC8F" w14:textId="250535CB" w:rsidR="002E39FC" w:rsidRDefault="002E39FC" w:rsidP="002E39FC">
      <w:pPr>
        <w:spacing w:after="0" w:line="240" w:lineRule="auto"/>
        <w:jc w:val="center"/>
        <w:rPr>
          <w:rFonts w:ascii="Open Sans Light" w:eastAsia="Open Sans Light" w:hAnsi="Open Sans Light" w:cs="Open Sans Light"/>
          <w:color w:val="000000"/>
          <w:sz w:val="24"/>
          <w:szCs w:val="24"/>
        </w:rPr>
      </w:pPr>
      <w:r>
        <w:rPr>
          <w:rFonts w:ascii="Open Sans Light" w:eastAsia="Open Sans Light" w:hAnsi="Open Sans Light" w:cs="Open Sans Light"/>
          <w:noProof/>
          <w:color w:val="000000"/>
          <w:sz w:val="24"/>
          <w:szCs w:val="24"/>
          <w:lang w:val="en-GB" w:eastAsia="en-GB"/>
        </w:rPr>
        <w:lastRenderedPageBreak/>
        <w:drawing>
          <wp:inline distT="0" distB="0" distL="0" distR="0" wp14:anchorId="016158B3" wp14:editId="1C73E42C">
            <wp:extent cx="3943350" cy="2867025"/>
            <wp:effectExtent l="0" t="0" r="0" b="952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943350" cy="2867025"/>
                    </a:xfrm>
                    <a:prstGeom prst="rect">
                      <a:avLst/>
                    </a:prstGeom>
                    <a:noFill/>
                    <a:ln>
                      <a:noFill/>
                    </a:ln>
                  </pic:spPr>
                </pic:pic>
              </a:graphicData>
            </a:graphic>
          </wp:inline>
        </w:drawing>
      </w:r>
    </w:p>
    <w:p w14:paraId="4550543B"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35BC460F" w14:textId="23856A29" w:rsidR="002E39FC" w:rsidRPr="00A61DFC" w:rsidRDefault="002E39FC" w:rsidP="002E39FC">
      <w:pPr>
        <w:spacing w:after="0" w:line="240" w:lineRule="auto"/>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 xml:space="preserve">Además, no se encuentran diferencias por género de la violencia familiar en ningún grupo etario, </w:t>
      </w:r>
      <w:r w:rsidR="004D4668" w:rsidRPr="00A61DFC">
        <w:rPr>
          <w:rFonts w:ascii="Open Sans Light" w:eastAsia="Open Sans Light" w:hAnsi="Open Sans Light" w:cs="Open Sans Light"/>
          <w:sz w:val="24"/>
          <w:szCs w:val="24"/>
        </w:rPr>
        <w:t>así tenemos</w:t>
      </w:r>
      <w:r w:rsidRPr="00A61DFC">
        <w:rPr>
          <w:rFonts w:ascii="Open Sans Light" w:eastAsia="Open Sans Light" w:hAnsi="Open Sans Light" w:cs="Open Sans Light"/>
          <w:sz w:val="24"/>
          <w:szCs w:val="24"/>
        </w:rPr>
        <w:t xml:space="preserve"> que el 50.1% de mujeres y el 49.9% de varones fueron víctimas de violencia alguna vez en su vida. No obstante, de manera desagregada por tipo de violencia (psicológica o física), las mujeres conforman </w:t>
      </w:r>
      <w:r w:rsidR="004D4668" w:rsidRPr="00A61DFC">
        <w:rPr>
          <w:rFonts w:ascii="Open Sans Light" w:eastAsia="Open Sans Light" w:hAnsi="Open Sans Light" w:cs="Open Sans Light"/>
          <w:sz w:val="24"/>
          <w:szCs w:val="24"/>
        </w:rPr>
        <w:t>el</w:t>
      </w:r>
      <w:r w:rsidRPr="00A61DFC">
        <w:rPr>
          <w:rFonts w:ascii="Open Sans Light" w:eastAsia="Open Sans Light" w:hAnsi="Open Sans Light" w:cs="Open Sans Light"/>
          <w:sz w:val="24"/>
          <w:szCs w:val="24"/>
        </w:rPr>
        <w:t xml:space="preserve"> grupo </w:t>
      </w:r>
      <w:r w:rsidR="004D4668" w:rsidRPr="00A61DFC">
        <w:rPr>
          <w:rFonts w:ascii="Open Sans Light" w:eastAsia="Open Sans Light" w:hAnsi="Open Sans Light" w:cs="Open Sans Light"/>
          <w:sz w:val="24"/>
          <w:szCs w:val="24"/>
        </w:rPr>
        <w:t>mayor</w:t>
      </w:r>
      <w:r w:rsidR="004769CE" w:rsidRPr="00A61DFC">
        <w:rPr>
          <w:rFonts w:ascii="Open Sans Light" w:eastAsia="Open Sans Light" w:hAnsi="Open Sans Light" w:cs="Open Sans Light"/>
          <w:sz w:val="24"/>
          <w:szCs w:val="24"/>
        </w:rPr>
        <w:t>itariamente más</w:t>
      </w:r>
      <w:r w:rsidR="004D4668" w:rsidRPr="00A61DFC">
        <w:rPr>
          <w:rFonts w:ascii="Open Sans Light" w:eastAsia="Open Sans Light" w:hAnsi="Open Sans Light" w:cs="Open Sans Light"/>
          <w:sz w:val="24"/>
          <w:szCs w:val="24"/>
        </w:rPr>
        <w:t xml:space="preserve"> afectado.</w:t>
      </w:r>
    </w:p>
    <w:p w14:paraId="12D87323"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14C5B659"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Entre las situaciones de violencia psicológica más frecuentes están los insultos o lisuras, humillaciones y minimizaciones con frases como “todo lo que haces está mal”. La cohorte menor tenía en promedio 8 años cuando iniciaron los maltratos en su hogar, en tanto que la cohorte mayor, entre 10 y 12 años.</w:t>
      </w:r>
    </w:p>
    <w:p w14:paraId="7FF12362"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28C739EE" w14:textId="4FD75279"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Por su parte, la violencia escolar considera los tipos psicológico y/o físico entre compañeros de salón o de la misma institución educativa. </w:t>
      </w:r>
      <w:r w:rsidRPr="00A61DFC">
        <w:rPr>
          <w:rFonts w:ascii="Open Sans Light" w:eastAsia="Open Sans Light" w:hAnsi="Open Sans Light" w:cs="Open Sans Light"/>
          <w:sz w:val="24"/>
          <w:szCs w:val="24"/>
        </w:rPr>
        <w:t>En ambos grupos etarios de niñas/os de 9 a 11 años, y adolescentes de 12 a 17 años, la violencia entre pares se redujo en 15 puntos porcentuales durante el periodo analizado, pasando de 81.5% (9-11 años) y 83.7% (12-17 años) en 2013 al 66.2% y 68.5%, respectivamente</w:t>
      </w:r>
      <w:r w:rsidR="004769CE" w:rsidRPr="00A61DFC">
        <w:rPr>
          <w:rFonts w:ascii="Open Sans Light" w:eastAsia="Open Sans Light" w:hAnsi="Open Sans Light" w:cs="Open Sans Light"/>
          <w:sz w:val="24"/>
          <w:szCs w:val="24"/>
        </w:rPr>
        <w:t xml:space="preserve"> en 2019</w:t>
      </w:r>
      <w:r w:rsidRPr="00A61DFC">
        <w:rPr>
          <w:rFonts w:ascii="Open Sans Light" w:eastAsia="Open Sans Light" w:hAnsi="Open Sans Light" w:cs="Open Sans Light"/>
          <w:sz w:val="24"/>
          <w:szCs w:val="24"/>
        </w:rPr>
        <w:t xml:space="preserve">. Esto indica que hay una proporción ligeramente mayor de adolescentes </w:t>
      </w:r>
      <w:r w:rsidR="004769CE" w:rsidRPr="00A61DFC">
        <w:rPr>
          <w:rFonts w:ascii="Open Sans Light" w:eastAsia="Open Sans Light" w:hAnsi="Open Sans Light" w:cs="Open Sans Light"/>
          <w:sz w:val="24"/>
          <w:szCs w:val="24"/>
        </w:rPr>
        <w:t xml:space="preserve">que de niñas/os </w:t>
      </w:r>
      <w:r w:rsidRPr="00A61DFC">
        <w:rPr>
          <w:rFonts w:ascii="Open Sans Light" w:eastAsia="Open Sans Light" w:hAnsi="Open Sans Light" w:cs="Open Sans Light"/>
          <w:sz w:val="24"/>
          <w:szCs w:val="24"/>
        </w:rPr>
        <w:t xml:space="preserve">afectados por la violencia, según la última encuesta ejecutado en 2019. </w:t>
      </w:r>
    </w:p>
    <w:p w14:paraId="7E061E8C"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4BCEDED0" w14:textId="2F333510" w:rsidR="002E39FC" w:rsidRDefault="002E39FC" w:rsidP="002E39FC">
      <w:pPr>
        <w:spacing w:after="0" w:line="240" w:lineRule="auto"/>
        <w:jc w:val="center"/>
        <w:rPr>
          <w:rFonts w:ascii="Open Sans Light" w:eastAsia="Open Sans Light" w:hAnsi="Open Sans Light" w:cs="Open Sans Light"/>
          <w:color w:val="000000"/>
          <w:sz w:val="24"/>
          <w:szCs w:val="24"/>
        </w:rPr>
      </w:pPr>
      <w:r>
        <w:rPr>
          <w:rFonts w:ascii="Open Sans Light" w:eastAsia="Open Sans Light" w:hAnsi="Open Sans Light" w:cs="Open Sans Light"/>
          <w:noProof/>
          <w:color w:val="000000"/>
          <w:sz w:val="24"/>
          <w:szCs w:val="24"/>
          <w:lang w:val="en-GB" w:eastAsia="en-GB"/>
        </w:rPr>
        <w:lastRenderedPageBreak/>
        <w:drawing>
          <wp:inline distT="0" distB="0" distL="0" distR="0" wp14:anchorId="0E947D02" wp14:editId="2F74CEED">
            <wp:extent cx="4105275" cy="2981325"/>
            <wp:effectExtent l="0" t="0" r="9525" b="952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05275" cy="2981325"/>
                    </a:xfrm>
                    <a:prstGeom prst="rect">
                      <a:avLst/>
                    </a:prstGeom>
                    <a:noFill/>
                    <a:ln>
                      <a:noFill/>
                    </a:ln>
                  </pic:spPr>
                </pic:pic>
              </a:graphicData>
            </a:graphic>
          </wp:inline>
        </w:drawing>
      </w:r>
    </w:p>
    <w:p w14:paraId="5A46B870"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661E8996" w14:textId="58602B46" w:rsidR="002E39FC" w:rsidRDefault="002E39FC" w:rsidP="002E39FC">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La violencia psicológica es la más predominante entre las niñas/os (37.2%) y adolescentes (41%), aumentando en alrededor de 10 pp. en el primer caso y 5pp., en el segundo caso. </w:t>
      </w:r>
      <w:r w:rsidRPr="00A61DFC">
        <w:rPr>
          <w:rFonts w:ascii="Open Sans Light" w:eastAsia="Open Sans Light" w:hAnsi="Open Sans Light" w:cs="Open Sans Light"/>
          <w:sz w:val="24"/>
          <w:szCs w:val="24"/>
        </w:rPr>
        <w:t xml:space="preserve">Mientras </w:t>
      </w:r>
      <w:r w:rsidR="00E9341B" w:rsidRPr="00A61DFC">
        <w:rPr>
          <w:rFonts w:ascii="Open Sans Light" w:eastAsia="Open Sans Light" w:hAnsi="Open Sans Light" w:cs="Open Sans Light"/>
          <w:sz w:val="24"/>
          <w:szCs w:val="24"/>
        </w:rPr>
        <w:t>que,</w:t>
      </w:r>
      <w:r w:rsidR="004769CE" w:rsidRPr="00A61DFC">
        <w:rPr>
          <w:rFonts w:ascii="Open Sans Light" w:eastAsia="Open Sans Light" w:hAnsi="Open Sans Light" w:cs="Open Sans Light"/>
          <w:sz w:val="24"/>
          <w:szCs w:val="24"/>
        </w:rPr>
        <w:t xml:space="preserve"> por otra parte</w:t>
      </w:r>
      <w:r w:rsidRPr="00A61DFC">
        <w:rPr>
          <w:rFonts w:ascii="Open Sans Light" w:eastAsia="Open Sans Light" w:hAnsi="Open Sans Light" w:cs="Open Sans Light"/>
          <w:sz w:val="24"/>
          <w:szCs w:val="24"/>
        </w:rPr>
        <w:t>, la violencia física afecta a menos del 3% de niñas/os y adolescentes.</w:t>
      </w:r>
    </w:p>
    <w:p w14:paraId="3C9124B9" w14:textId="77777777" w:rsidR="002E39FC" w:rsidRDefault="002E39FC" w:rsidP="002E39FC">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La violencia escolar afecta por igual a las niñas y a los niños de 9 a 11 años, con una ligera diferencia que las desfavorece a ellas: el 50.5% mujeres y 49.5% de varones de ese grupo etario reportan sufrir violencia psicológica y/o física por parte de sus pares. Sin embargo, la brecha de género se amplifica entre adolescentes, donde existe una diferencia de casi 10 pp. entre la proporción de mujeres (54.3%) y hombres (45.7%) afectados por la violencia escolar.</w:t>
      </w:r>
    </w:p>
    <w:p w14:paraId="60AD79C4" w14:textId="0DD74373" w:rsidR="00FE458E" w:rsidRDefault="009E353B" w:rsidP="00156027">
      <w:pPr>
        <w:jc w:val="center"/>
        <w:rPr>
          <w:rFonts w:ascii="Open Sans Light" w:eastAsia="Open Sans Light" w:hAnsi="Open Sans Light" w:cs="Open Sans Light"/>
          <w:color w:val="000000"/>
          <w:sz w:val="24"/>
          <w:szCs w:val="24"/>
        </w:rPr>
      </w:pPr>
      <w:r w:rsidRPr="009E353B">
        <w:rPr>
          <w:rFonts w:ascii="Open Sans Light" w:eastAsia="Open Sans Light" w:hAnsi="Open Sans Light" w:cs="Open Sans Light"/>
          <w:noProof/>
          <w:color w:val="000000"/>
          <w:sz w:val="24"/>
          <w:szCs w:val="24"/>
          <w:lang w:val="en-GB" w:eastAsia="en-GB"/>
        </w:rPr>
        <w:lastRenderedPageBreak/>
        <w:drawing>
          <wp:inline distT="0" distB="0" distL="0" distR="0" wp14:anchorId="435655E8" wp14:editId="0170C770">
            <wp:extent cx="4063321" cy="295738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77452" cy="2967669"/>
                    </a:xfrm>
                    <a:prstGeom prst="rect">
                      <a:avLst/>
                    </a:prstGeom>
                    <a:noFill/>
                    <a:ln>
                      <a:noFill/>
                    </a:ln>
                  </pic:spPr>
                </pic:pic>
              </a:graphicData>
            </a:graphic>
          </wp:inline>
        </w:drawing>
      </w:r>
    </w:p>
    <w:p w14:paraId="273A8FE5" w14:textId="77777777" w:rsidR="002E39FC" w:rsidRDefault="002E39FC" w:rsidP="002E39FC">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Cabe señalar que ellos son más afectados por la violencia psicológica; y, ellas, por la violencia física (ENARES, 2019). Así, en la cohorte menor, poco más de la mitad (51.1%) de los varones reporta sufrir violencia psicológica, cifra ligeramente menor en las mujeres (48.9%). Por el contrario, casi el 57% de las niñas de 9 a 11 años son víctimas de violencia física, más de 13 pp. superior a la proporción de varones en la misma situación (43.1%). En la cohorte mayor, la diferencia de adolescentes afectados por violencia según sexo es de 11 pp., con una mayor prevalencia del tipo psicológica en hombres (55.4%) y del tipo física, en mujeres (55.5%).</w:t>
      </w:r>
    </w:p>
    <w:p w14:paraId="332BC115" w14:textId="0E1DE065" w:rsidR="002E39FC" w:rsidRDefault="002E39FC" w:rsidP="002E39FC">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Las formas más comunes de violencia psicológica son los apodos, insultos y chismes sobre él/ella; en tanto que los jalones de cabello, patadas y puñetes y golpes con objetos son los más reportados en cuanto a la violencia física. Tres de cuatro de niñas/os de la cohorte menor señalan al salón de clases como el lugar principal donde ocurren estos hechos, cifra que se eleva a más del 80% de los adolescentes con la misma respuesta. Además, cerca de la mitad de las/os niñas/os de la primera cohorte indican que estas situaciones de violencia (sea física o psicológica), ocurrieron por primera vez a la edad de 9 o 10 años. En tanto, los adolescentes lo reportan entre los 12 y 13 años.</w:t>
      </w:r>
    </w:p>
    <w:p w14:paraId="309B102E"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21. Se reduce el número de niñas, niños y adolescentes que son víctimas de violencia sexual</w:t>
      </w:r>
    </w:p>
    <w:p w14:paraId="47C88E7A"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740EA905" w14:textId="5C6C6063"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Este resultado se mide a través del porcentaje de adolescentes de 12 a 17 años que son víctimas de violencia sexual. Al 2021, la meta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era </w:t>
      </w:r>
      <w:r>
        <w:rPr>
          <w:rFonts w:ascii="Open Sans Light" w:eastAsia="Open Sans Light" w:hAnsi="Open Sans Light" w:cs="Open Sans Light"/>
          <w:color w:val="000000"/>
          <w:sz w:val="24"/>
          <w:szCs w:val="24"/>
        </w:rPr>
        <w:lastRenderedPageBreak/>
        <w:t>reducir el número de niñas, niños y adolescentes que son víctimas de este tipo de violencia, la cual presentó una reducción de 14 pp. entre 2013 y 2019, según la ENARES.</w:t>
      </w:r>
    </w:p>
    <w:p w14:paraId="717728B0"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35EA9385" w14:textId="5C35FB6E" w:rsidR="002E39FC" w:rsidRDefault="000B109A" w:rsidP="007E13B3">
      <w:pPr>
        <w:spacing w:after="0" w:line="240" w:lineRule="auto"/>
        <w:jc w:val="center"/>
        <w:rPr>
          <w:rFonts w:ascii="Open Sans Light" w:eastAsia="Open Sans Light" w:hAnsi="Open Sans Light" w:cs="Open Sans Light"/>
          <w:color w:val="000000"/>
          <w:sz w:val="24"/>
          <w:szCs w:val="24"/>
        </w:rPr>
      </w:pPr>
      <w:r w:rsidRPr="000B109A">
        <w:rPr>
          <w:rFonts w:ascii="Open Sans Light" w:eastAsia="Open Sans Light" w:hAnsi="Open Sans Light" w:cs="Open Sans Light"/>
          <w:noProof/>
          <w:color w:val="000000"/>
          <w:sz w:val="24"/>
          <w:szCs w:val="24"/>
          <w:lang w:val="en-GB" w:eastAsia="en-GB"/>
        </w:rPr>
        <w:drawing>
          <wp:inline distT="0" distB="0" distL="0" distR="0" wp14:anchorId="26E53809" wp14:editId="4E94062F">
            <wp:extent cx="3919437" cy="2846717"/>
            <wp:effectExtent l="0" t="0" r="508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37509" cy="2859843"/>
                    </a:xfrm>
                    <a:prstGeom prst="rect">
                      <a:avLst/>
                    </a:prstGeom>
                    <a:noFill/>
                    <a:ln>
                      <a:noFill/>
                    </a:ln>
                  </pic:spPr>
                </pic:pic>
              </a:graphicData>
            </a:graphic>
          </wp:inline>
        </w:drawing>
      </w:r>
    </w:p>
    <w:p w14:paraId="00AE2DC1" w14:textId="77777777" w:rsidR="002E39FC" w:rsidRDefault="002E39FC" w:rsidP="002E39FC">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La violencia sexual hacia las/os adolescentes se manifiesta con mayor frecuencia mediante comentarios o bromas sexual (54.1%), miradas incómodas hacia las partes íntimas (31.7%), y la obligación de ver pornografía en algún medio físico o virtual (13.3%). Estos hechos les ocurren por vez primera entre los 12 y 14 años.</w:t>
      </w:r>
    </w:p>
    <w:p w14:paraId="141AD68F" w14:textId="21144DE9" w:rsidR="007E13B3" w:rsidRDefault="00383AA3" w:rsidP="007E13B3">
      <w:pPr>
        <w:jc w:val="center"/>
      </w:pPr>
      <w:r w:rsidRPr="00383AA3">
        <w:rPr>
          <w:noProof/>
          <w:lang w:val="en-GB" w:eastAsia="en-GB"/>
        </w:rPr>
        <w:drawing>
          <wp:inline distT="0" distB="0" distL="0" distR="0" wp14:anchorId="49027CFC" wp14:editId="65AF5CB0">
            <wp:extent cx="4081346" cy="2964314"/>
            <wp:effectExtent l="0" t="0" r="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96332" cy="2975198"/>
                    </a:xfrm>
                    <a:prstGeom prst="rect">
                      <a:avLst/>
                    </a:prstGeom>
                    <a:noFill/>
                    <a:ln>
                      <a:noFill/>
                    </a:ln>
                  </pic:spPr>
                </pic:pic>
              </a:graphicData>
            </a:graphic>
          </wp:inline>
        </w:drawing>
      </w:r>
    </w:p>
    <w:p w14:paraId="3D91B101" w14:textId="720D6E13" w:rsidR="007E13B3" w:rsidRDefault="006910DC" w:rsidP="002E39FC">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lastRenderedPageBreak/>
        <w:t>Al</w:t>
      </w:r>
      <w:r w:rsidR="002E39FC">
        <w:rPr>
          <w:rFonts w:ascii="Open Sans Light" w:eastAsia="Open Sans Light" w:hAnsi="Open Sans Light" w:cs="Open Sans Light"/>
          <w:color w:val="000000"/>
          <w:sz w:val="24"/>
          <w:szCs w:val="24"/>
        </w:rPr>
        <w:t xml:space="preserve"> 2019 se ha incrementado el porcentaje de adolescentes que buscan ayuda en alguna persona, conformando un 41% del total de víctimas de violencia sexual de grupo etario. La mitad de ellos recurren a sus madres y el resto a su padre (21.3%), amigas/os (17.8%) u otra persona. En la mayoría de los casos (94%), las/os adolescentes reportan haber recibido la ayuda solicitada, a través de consejos hacia el/la adolescente o comunicándole el hecho a sus padres (60.1%). Por su parte, la tercera parte del 6% que no recibió ayuda considera que no le creyeron.</w:t>
      </w:r>
    </w:p>
    <w:p w14:paraId="7DEB180B" w14:textId="62E5EEF6" w:rsidR="004E1684" w:rsidRDefault="00FA6E37" w:rsidP="00FA6E37">
      <w:pPr>
        <w:jc w:val="center"/>
        <w:rPr>
          <w:rFonts w:ascii="Open Sans Light" w:eastAsia="Open Sans Light" w:hAnsi="Open Sans Light" w:cs="Open Sans Light"/>
          <w:color w:val="000000"/>
          <w:sz w:val="24"/>
          <w:szCs w:val="24"/>
        </w:rPr>
      </w:pPr>
      <w:r w:rsidRPr="00FA6E37">
        <w:rPr>
          <w:rFonts w:ascii="Open Sans Light" w:eastAsia="Open Sans Light" w:hAnsi="Open Sans Light" w:cs="Open Sans Light"/>
          <w:noProof/>
          <w:color w:val="000000"/>
          <w:sz w:val="24"/>
          <w:szCs w:val="24"/>
          <w:lang w:val="en-GB" w:eastAsia="en-GB"/>
        </w:rPr>
        <w:drawing>
          <wp:inline distT="0" distB="0" distL="0" distR="0" wp14:anchorId="28995534" wp14:editId="348C1943">
            <wp:extent cx="4045789" cy="2942392"/>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060222" cy="2952889"/>
                    </a:xfrm>
                    <a:prstGeom prst="rect">
                      <a:avLst/>
                    </a:prstGeom>
                    <a:noFill/>
                    <a:ln>
                      <a:noFill/>
                    </a:ln>
                  </pic:spPr>
                </pic:pic>
              </a:graphicData>
            </a:graphic>
          </wp:inline>
        </w:drawing>
      </w:r>
    </w:p>
    <w:p w14:paraId="3E844BC6" w14:textId="77777777" w:rsidR="006E72CC" w:rsidRDefault="00F2431D" w:rsidP="00F2431D">
      <w:pPr>
        <w:jc w:val="both"/>
        <w:rPr>
          <w:rFonts w:ascii="Open Sans Light" w:eastAsia="Open Sans Light" w:hAnsi="Open Sans Light" w:cs="Open Sans Light"/>
          <w:noProof/>
          <w:color w:val="000000"/>
          <w:sz w:val="24"/>
          <w:szCs w:val="24"/>
          <w:lang w:eastAsia="es-MX"/>
        </w:rPr>
      </w:pPr>
      <w:r>
        <w:rPr>
          <w:rFonts w:ascii="Open Sans Light" w:eastAsia="Open Sans Light" w:hAnsi="Open Sans Light" w:cs="Open Sans Light"/>
          <w:color w:val="000000"/>
          <w:sz w:val="24"/>
          <w:szCs w:val="24"/>
        </w:rPr>
        <w:t>Desde una perspectiva de género, los datos muestran una marcada diferencia de 15 pp. en la violencia sexual entre mujeres y hombres; afectando en mayor medida a las primeras. Así tenemos que en 2019 el 57.9% de víctimas de violencia sexual fueron mujeres y el 42.1% fueron hombres.</w:t>
      </w:r>
      <w:r w:rsidR="006E72CC" w:rsidRPr="006E72CC">
        <w:rPr>
          <w:rFonts w:ascii="Open Sans Light" w:eastAsia="Open Sans Light" w:hAnsi="Open Sans Light" w:cs="Open Sans Light"/>
          <w:noProof/>
          <w:color w:val="000000"/>
          <w:sz w:val="24"/>
          <w:szCs w:val="24"/>
          <w:lang w:eastAsia="es-MX"/>
        </w:rPr>
        <w:t xml:space="preserve"> </w:t>
      </w:r>
    </w:p>
    <w:p w14:paraId="7CBE6C15" w14:textId="078F27F1" w:rsidR="006E72CC" w:rsidRDefault="006E72CC" w:rsidP="006E72CC">
      <w:pPr>
        <w:jc w:val="center"/>
        <w:rPr>
          <w:rFonts w:ascii="Open Sans Light" w:eastAsia="Open Sans Light" w:hAnsi="Open Sans Light" w:cs="Open Sans Light"/>
          <w:color w:val="000000"/>
          <w:sz w:val="24"/>
          <w:szCs w:val="24"/>
        </w:rPr>
      </w:pPr>
      <w:r w:rsidRPr="007E13B3">
        <w:rPr>
          <w:rFonts w:ascii="Open Sans Light" w:eastAsia="Open Sans Light" w:hAnsi="Open Sans Light" w:cs="Open Sans Light"/>
          <w:noProof/>
          <w:color w:val="000000"/>
          <w:sz w:val="24"/>
          <w:szCs w:val="24"/>
          <w:lang w:val="en-GB" w:eastAsia="en-GB"/>
        </w:rPr>
        <w:lastRenderedPageBreak/>
        <w:drawing>
          <wp:inline distT="0" distB="0" distL="0" distR="0" wp14:anchorId="29E128DE" wp14:editId="5747EDDB">
            <wp:extent cx="3407434" cy="2474848"/>
            <wp:effectExtent l="0" t="0" r="2540" b="190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38091" cy="2497114"/>
                    </a:xfrm>
                    <a:prstGeom prst="rect">
                      <a:avLst/>
                    </a:prstGeom>
                    <a:noFill/>
                    <a:ln>
                      <a:noFill/>
                    </a:ln>
                  </pic:spPr>
                </pic:pic>
              </a:graphicData>
            </a:graphic>
          </wp:inline>
        </w:drawing>
      </w:r>
    </w:p>
    <w:p w14:paraId="5A59F4DB" w14:textId="30456C53" w:rsidR="00F2431D" w:rsidRDefault="00F2431D" w:rsidP="00F2431D">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Es preciso señalar que, mientras que los hombres vienen mostrando una tendencia a la baja; la violencia sexual se ha incrementado en las adolescentes mujeres en comparación con el año 2013 (52.8%).</w:t>
      </w:r>
    </w:p>
    <w:p w14:paraId="5BBC6BAB" w14:textId="2886C7C3" w:rsidR="002E39FC" w:rsidRDefault="006E72CC" w:rsidP="006E72CC">
      <w:pPr>
        <w:jc w:val="center"/>
        <w:rPr>
          <w:rFonts w:ascii="Open Sans Light" w:eastAsia="Open Sans Light" w:hAnsi="Open Sans Light" w:cs="Open Sans Light"/>
          <w:color w:val="000000"/>
          <w:sz w:val="24"/>
          <w:szCs w:val="24"/>
        </w:rPr>
      </w:pPr>
      <w:r w:rsidRPr="006E72CC">
        <w:rPr>
          <w:rFonts w:ascii="Open Sans Light" w:eastAsia="Open Sans Light" w:hAnsi="Open Sans Light" w:cs="Open Sans Light"/>
          <w:noProof/>
          <w:color w:val="000000"/>
          <w:sz w:val="24"/>
          <w:szCs w:val="24"/>
          <w:lang w:val="en-GB" w:eastAsia="en-GB"/>
        </w:rPr>
        <w:drawing>
          <wp:inline distT="0" distB="0" distL="0" distR="0" wp14:anchorId="1537CB27" wp14:editId="1C776876">
            <wp:extent cx="3949820" cy="2872596"/>
            <wp:effectExtent l="0" t="0" r="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75787" cy="2891481"/>
                    </a:xfrm>
                    <a:prstGeom prst="rect">
                      <a:avLst/>
                    </a:prstGeom>
                    <a:noFill/>
                    <a:ln>
                      <a:noFill/>
                    </a:ln>
                  </pic:spPr>
                </pic:pic>
              </a:graphicData>
            </a:graphic>
          </wp:inline>
        </w:drawing>
      </w:r>
    </w:p>
    <w:p w14:paraId="667B5CBE"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22. Niñas, niños y adolescentes sin cuidados parentales se integran a una familia</w:t>
      </w:r>
    </w:p>
    <w:p w14:paraId="25A1D079"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4BC77791" w14:textId="1115BE1A"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Este resultado se mide a través del porcentaje de niñas, niños y adolescentes sin cuidados parentales que se integran a una familia.</w:t>
      </w:r>
      <w:r>
        <w:rPr>
          <w:rFonts w:ascii="Open Sans Light" w:hAnsi="Open Sans Light" w:cs="Open Sans Light"/>
          <w:sz w:val="24"/>
          <w:szCs w:val="24"/>
        </w:rPr>
        <w:t xml:space="preserve"> El </w:t>
      </w:r>
      <w:r w:rsidR="00D979D4">
        <w:rPr>
          <w:rFonts w:ascii="Open Sans Light" w:hAnsi="Open Sans Light" w:cs="Open Sans Light"/>
          <w:sz w:val="24"/>
          <w:szCs w:val="24"/>
        </w:rPr>
        <w:t>PNAIA 2012 – 2021</w:t>
      </w:r>
      <w:r>
        <w:rPr>
          <w:rFonts w:ascii="Open Sans Light" w:hAnsi="Open Sans Light" w:cs="Open Sans Light"/>
          <w:sz w:val="24"/>
          <w:szCs w:val="24"/>
        </w:rPr>
        <w:t xml:space="preserve"> había programado que, para este año 2021, </w:t>
      </w:r>
      <w:r>
        <w:rPr>
          <w:rFonts w:ascii="Open Sans Light" w:hAnsi="Open Sans Light" w:cs="Open Sans Light"/>
          <w:i/>
          <w:iCs/>
          <w:sz w:val="24"/>
          <w:szCs w:val="24"/>
        </w:rPr>
        <w:t>u</w:t>
      </w:r>
      <w:r>
        <w:rPr>
          <w:rFonts w:ascii="Open Sans Light" w:eastAsia="Open Sans Light" w:hAnsi="Open Sans Light" w:cs="Open Sans Light"/>
          <w:i/>
          <w:iCs/>
          <w:color w:val="000000"/>
          <w:sz w:val="24"/>
          <w:szCs w:val="24"/>
        </w:rPr>
        <w:t>n tercio de las niñas, niños y adolescentes sin cuidados parentales, se reintegran a su seno familiar o se integran a un grupo familiar de manera definitiva</w:t>
      </w:r>
      <w:r>
        <w:rPr>
          <w:rFonts w:ascii="Open Sans Light" w:eastAsia="Open Sans Light" w:hAnsi="Open Sans Light" w:cs="Open Sans Light"/>
          <w:color w:val="000000"/>
          <w:sz w:val="24"/>
          <w:szCs w:val="24"/>
        </w:rPr>
        <w:t>. Sin embargo, al cierre del 2020, el indicador alcanzaba apenas el 7.24% de NNA integrados a una familia.</w:t>
      </w:r>
    </w:p>
    <w:p w14:paraId="3E42C5B3"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04F1BFD7"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23. Niñas, niños y adolescentes no participan en conflictos internos</w:t>
      </w:r>
    </w:p>
    <w:p w14:paraId="49595E9E"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048FA021" w14:textId="2305340B" w:rsidR="002E39FC" w:rsidRDefault="002E39FC" w:rsidP="002E39FC">
      <w:pPr>
        <w:spacing w:after="0" w:line="240" w:lineRule="auto"/>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Este resultado se mide a través del número de niñas, niños y adolescentes participando voluntariamente o por la fuerza en conflictos internos en el país. Este indicador se obtiene a partir de los registros administrativos de la Defensoría del Pueblo y el MININTER. No obstante, durante el periodo de análisis, solo se cuenta con información disponible del año 2015, donde el número de NNA que participaban en conflictos internos ascendía a 35. Previo a la implementación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en 2009, la cifra alcanzó los 105 NNA en la misma situación y se esperaba que al cierre del 2021 ningún NNA se encuentre participando en conflictos internos. </w:t>
      </w:r>
    </w:p>
    <w:p w14:paraId="0CEA37E8" w14:textId="551E710F" w:rsidR="002E39FC" w:rsidRDefault="002E39FC" w:rsidP="0063210E">
      <w:pPr>
        <w:spacing w:after="0" w:line="240" w:lineRule="auto"/>
        <w:rPr>
          <w:rFonts w:ascii="Open Sans Light" w:eastAsia="Open Sans Light" w:hAnsi="Open Sans Light" w:cs="Open Sans Light"/>
          <w:color w:val="000000"/>
          <w:sz w:val="24"/>
          <w:szCs w:val="24"/>
        </w:rPr>
      </w:pPr>
    </w:p>
    <w:p w14:paraId="106F7250"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24. Ninguna niña, niño o adolescente fallecerá de Tuberculosis en el Perú</w:t>
      </w:r>
    </w:p>
    <w:p w14:paraId="1E810EED"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582665D9" w14:textId="34978A86" w:rsidR="002E39FC" w:rsidRPr="00A61DFC" w:rsidRDefault="002E39FC" w:rsidP="002E39FC">
      <w:pPr>
        <w:spacing w:after="0" w:line="240" w:lineRule="auto"/>
        <w:jc w:val="both"/>
        <w:rPr>
          <w:rFonts w:ascii="Open Sans Light" w:eastAsia="Open Sans Light" w:hAnsi="Open Sans Light" w:cs="Open Sans Light"/>
          <w:sz w:val="24"/>
          <w:szCs w:val="24"/>
        </w:rPr>
      </w:pPr>
      <w:r>
        <w:rPr>
          <w:rFonts w:ascii="Open Sans Light" w:eastAsia="Open Sans Light" w:hAnsi="Open Sans Light" w:cs="Open Sans Light"/>
          <w:color w:val="000000"/>
          <w:sz w:val="24"/>
          <w:szCs w:val="24"/>
        </w:rPr>
        <w:t xml:space="preserve">Este resultado se mide a través de la prevalencia de la letalidad por tuberculosis. </w:t>
      </w:r>
      <w:r w:rsidRPr="00A61DFC">
        <w:rPr>
          <w:rFonts w:ascii="Open Sans Light" w:eastAsia="Open Sans Light" w:hAnsi="Open Sans Light" w:cs="Open Sans Light"/>
          <w:sz w:val="24"/>
          <w:szCs w:val="24"/>
        </w:rPr>
        <w:t xml:space="preserve">La meta al 2021 del </w:t>
      </w:r>
      <w:r w:rsidR="00D979D4">
        <w:rPr>
          <w:rFonts w:ascii="Open Sans Light" w:eastAsia="Open Sans Light" w:hAnsi="Open Sans Light" w:cs="Open Sans Light"/>
          <w:sz w:val="24"/>
          <w:szCs w:val="24"/>
        </w:rPr>
        <w:t>PNAIA 2012 – 2021</w:t>
      </w:r>
      <w:r w:rsidRPr="00A61DFC">
        <w:rPr>
          <w:rFonts w:ascii="Open Sans Light" w:eastAsia="Open Sans Light" w:hAnsi="Open Sans Light" w:cs="Open Sans Light"/>
          <w:sz w:val="24"/>
          <w:szCs w:val="24"/>
        </w:rPr>
        <w:t xml:space="preserve"> es que ninguna niña, niño o adolescente falle</w:t>
      </w:r>
      <w:r w:rsidR="006910DC" w:rsidRPr="00A61DFC">
        <w:rPr>
          <w:rFonts w:ascii="Open Sans Light" w:eastAsia="Open Sans Light" w:hAnsi="Open Sans Light" w:cs="Open Sans Light"/>
          <w:sz w:val="24"/>
          <w:szCs w:val="24"/>
        </w:rPr>
        <w:t>zca</w:t>
      </w:r>
      <w:r w:rsidRPr="00A61DFC">
        <w:rPr>
          <w:rFonts w:ascii="Open Sans Light" w:eastAsia="Open Sans Light" w:hAnsi="Open Sans Light" w:cs="Open Sans Light"/>
          <w:sz w:val="24"/>
          <w:szCs w:val="24"/>
        </w:rPr>
        <w:t xml:space="preserve"> de Tuberculosis en el Perú. </w:t>
      </w:r>
      <w:r w:rsidR="006910DC" w:rsidRPr="00A61DFC">
        <w:rPr>
          <w:rFonts w:ascii="Open Sans Light" w:eastAsia="Open Sans Light" w:hAnsi="Open Sans Light" w:cs="Open Sans Light"/>
          <w:sz w:val="24"/>
          <w:szCs w:val="24"/>
        </w:rPr>
        <w:t>Sin embargo, e</w:t>
      </w:r>
      <w:r w:rsidRPr="00A61DFC">
        <w:rPr>
          <w:rFonts w:ascii="Open Sans Light" w:eastAsia="Open Sans Light" w:hAnsi="Open Sans Light" w:cs="Open Sans Light"/>
          <w:sz w:val="24"/>
          <w:szCs w:val="24"/>
        </w:rPr>
        <w:t xml:space="preserve">sta meta no se cumpliría </w:t>
      </w:r>
      <w:r w:rsidR="006910DC" w:rsidRPr="00A61DFC">
        <w:rPr>
          <w:rFonts w:ascii="Open Sans Light" w:eastAsia="Open Sans Light" w:hAnsi="Open Sans Light" w:cs="Open Sans Light"/>
          <w:sz w:val="24"/>
          <w:szCs w:val="24"/>
        </w:rPr>
        <w:t>en vista de</w:t>
      </w:r>
      <w:r w:rsidRPr="00A61DFC">
        <w:rPr>
          <w:rFonts w:ascii="Open Sans Light" w:eastAsia="Open Sans Light" w:hAnsi="Open Sans Light" w:cs="Open Sans Light"/>
          <w:sz w:val="24"/>
          <w:szCs w:val="24"/>
        </w:rPr>
        <w:t xml:space="preserve"> la proyección estimada respecto a la data histórica disponible del MINSA.</w:t>
      </w:r>
      <w:r w:rsidR="006910DC" w:rsidRPr="00A61DFC">
        <w:rPr>
          <w:rFonts w:ascii="Open Sans Light" w:eastAsia="Open Sans Light" w:hAnsi="Open Sans Light" w:cs="Open Sans Light"/>
          <w:sz w:val="24"/>
          <w:szCs w:val="24"/>
        </w:rPr>
        <w:t xml:space="preserve"> </w:t>
      </w:r>
    </w:p>
    <w:p w14:paraId="541E282C"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28405C44" w14:textId="502ABEBF" w:rsidR="002E39FC" w:rsidRDefault="003F3D25" w:rsidP="00930723">
      <w:pPr>
        <w:spacing w:after="0" w:line="240" w:lineRule="auto"/>
        <w:jc w:val="center"/>
        <w:rPr>
          <w:rFonts w:ascii="Open Sans Light" w:eastAsia="Open Sans Light" w:hAnsi="Open Sans Light" w:cs="Open Sans Light"/>
          <w:i/>
          <w:color w:val="7030A0"/>
          <w:sz w:val="24"/>
          <w:szCs w:val="24"/>
        </w:rPr>
      </w:pPr>
      <w:r w:rsidRPr="003F3D25">
        <w:rPr>
          <w:rFonts w:ascii="Open Sans Light" w:eastAsia="Open Sans Light" w:hAnsi="Open Sans Light" w:cs="Open Sans Light"/>
          <w:i/>
          <w:color w:val="7030A0"/>
          <w:sz w:val="24"/>
          <w:szCs w:val="24"/>
        </w:rPr>
        <w:t xml:space="preserve"> </w:t>
      </w:r>
      <w:r w:rsidRPr="003F3D25">
        <w:rPr>
          <w:rFonts w:ascii="Open Sans Light" w:eastAsia="Open Sans Light" w:hAnsi="Open Sans Light" w:cs="Open Sans Light"/>
          <w:i/>
          <w:noProof/>
          <w:color w:val="7030A0"/>
          <w:sz w:val="24"/>
          <w:szCs w:val="24"/>
          <w:lang w:val="en-GB" w:eastAsia="en-GB"/>
        </w:rPr>
        <w:drawing>
          <wp:inline distT="0" distB="0" distL="0" distR="0" wp14:anchorId="10C3CC2C" wp14:editId="71CADB65">
            <wp:extent cx="4160108" cy="3027828"/>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85726" cy="3046474"/>
                    </a:xfrm>
                    <a:prstGeom prst="rect">
                      <a:avLst/>
                    </a:prstGeom>
                    <a:noFill/>
                    <a:ln>
                      <a:noFill/>
                    </a:ln>
                  </pic:spPr>
                </pic:pic>
              </a:graphicData>
            </a:graphic>
          </wp:inline>
        </w:drawing>
      </w:r>
    </w:p>
    <w:p w14:paraId="482067DB" w14:textId="77777777" w:rsidR="002E39FC" w:rsidRDefault="002E39FC" w:rsidP="002E39FC">
      <w:pPr>
        <w:spacing w:after="0" w:line="240" w:lineRule="auto"/>
        <w:jc w:val="both"/>
        <w:rPr>
          <w:rFonts w:ascii="Open Sans Light" w:eastAsia="Open Sans Light" w:hAnsi="Open Sans Light" w:cs="Open Sans Light"/>
          <w:i/>
          <w:color w:val="7030A0"/>
          <w:sz w:val="24"/>
          <w:szCs w:val="24"/>
        </w:rPr>
      </w:pPr>
      <w:r>
        <w:rPr>
          <w:rFonts w:ascii="Open Sans Light" w:eastAsia="Open Sans Light" w:hAnsi="Open Sans Light" w:cs="Open Sans Light"/>
          <w:i/>
          <w:color w:val="7030A0"/>
          <w:sz w:val="24"/>
          <w:szCs w:val="24"/>
        </w:rPr>
        <w:t>Resultado 25. Todas las niñas, niños y adolescentes cuentan con un seguro de salud</w:t>
      </w:r>
    </w:p>
    <w:p w14:paraId="1E3D1D85" w14:textId="77777777" w:rsidR="002E39FC" w:rsidRDefault="002E39FC" w:rsidP="002E39FC">
      <w:pPr>
        <w:spacing w:after="0" w:line="240" w:lineRule="auto"/>
        <w:jc w:val="both"/>
        <w:rPr>
          <w:rFonts w:ascii="Open Sans Light" w:eastAsia="Open Sans Light" w:hAnsi="Open Sans Light" w:cs="Open Sans Light"/>
          <w:color w:val="000000"/>
          <w:sz w:val="24"/>
          <w:szCs w:val="24"/>
        </w:rPr>
      </w:pPr>
    </w:p>
    <w:p w14:paraId="0E7AC836" w14:textId="77777777" w:rsidR="00930723" w:rsidRDefault="002E39FC" w:rsidP="00930723">
      <w:pPr>
        <w:jc w:val="both"/>
      </w:pPr>
      <w:r>
        <w:rPr>
          <w:rFonts w:ascii="Open Sans Light" w:eastAsia="Open Sans Light" w:hAnsi="Open Sans Light" w:cs="Open Sans Light"/>
          <w:color w:val="000000"/>
          <w:sz w:val="24"/>
          <w:szCs w:val="24"/>
        </w:rPr>
        <w:t xml:space="preserve">Este resultado se mide a través del porcentaje de niñas, niños y adolescentes con seguro de salud. Con base en la información histórica obtenida de la </w:t>
      </w:r>
      <w:r>
        <w:rPr>
          <w:rFonts w:ascii="Open Sans Light" w:eastAsia="Open Sans Light" w:hAnsi="Open Sans Light" w:cs="Open Sans Light"/>
          <w:color w:val="000000"/>
          <w:sz w:val="24"/>
          <w:szCs w:val="24"/>
        </w:rPr>
        <w:lastRenderedPageBreak/>
        <w:t>ENAHO, se estima que 9 de cada 10 NNA tendrán seguro de salud al cierre del año 2021. Es importante destacar que, durante el periodo de vigencia del plan, hubo un incremento en 16 puntos porcentuales de la proporción de NNA que accedía a un seguro de salud.</w:t>
      </w:r>
      <w:r>
        <w:t xml:space="preserve"> </w:t>
      </w:r>
    </w:p>
    <w:p w14:paraId="29A22C71" w14:textId="517DD46D" w:rsidR="002E39FC" w:rsidRDefault="00DD0BC1" w:rsidP="00930723">
      <w:pPr>
        <w:jc w:val="center"/>
      </w:pPr>
      <w:r>
        <w:rPr>
          <w:noProof/>
          <w:lang w:val="en-GB" w:eastAsia="en-GB"/>
        </w:rPr>
        <w:drawing>
          <wp:inline distT="0" distB="0" distL="0" distR="0" wp14:anchorId="605FCA4F" wp14:editId="28518FC3">
            <wp:extent cx="4160520" cy="3021563"/>
            <wp:effectExtent l="0" t="0" r="0" b="7620"/>
            <wp:docPr id="256" name="Imagen 256"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n 256" descr="Gráfico, Gráfico de líneas&#10;&#10;Descripción generada automáticament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65622" cy="3025268"/>
                    </a:xfrm>
                    <a:prstGeom prst="rect">
                      <a:avLst/>
                    </a:prstGeom>
                    <a:noFill/>
                    <a:ln>
                      <a:noFill/>
                    </a:ln>
                  </pic:spPr>
                </pic:pic>
              </a:graphicData>
            </a:graphic>
          </wp:inline>
        </w:drawing>
      </w:r>
    </w:p>
    <w:p w14:paraId="69A68E06" w14:textId="7AFDD359" w:rsidR="002E39FC" w:rsidRDefault="002E39FC" w:rsidP="00930723">
      <w:pPr>
        <w:jc w:val="both"/>
        <w:rPr>
          <w:rFonts w:ascii="Open Sans Light" w:eastAsia="Open Sans Light" w:hAnsi="Open Sans Light" w:cs="Open Sans Light"/>
          <w:color w:val="000000"/>
          <w:sz w:val="24"/>
          <w:szCs w:val="24"/>
        </w:rPr>
      </w:pPr>
      <w:r>
        <w:rPr>
          <w:rFonts w:ascii="Open Sans Light" w:eastAsia="Open Sans Light" w:hAnsi="Open Sans Light" w:cs="Open Sans Light"/>
          <w:color w:val="000000"/>
          <w:sz w:val="24"/>
          <w:szCs w:val="24"/>
        </w:rPr>
        <w:t xml:space="preserve">Considerando que la meta del </w:t>
      </w:r>
      <w:r w:rsidR="00D979D4">
        <w:rPr>
          <w:rFonts w:ascii="Open Sans Light" w:eastAsia="Open Sans Light" w:hAnsi="Open Sans Light" w:cs="Open Sans Light"/>
          <w:color w:val="000000"/>
          <w:sz w:val="24"/>
          <w:szCs w:val="24"/>
        </w:rPr>
        <w:t>PNAIA 2012 – 2021</w:t>
      </w:r>
      <w:r>
        <w:rPr>
          <w:rFonts w:ascii="Open Sans Light" w:eastAsia="Open Sans Light" w:hAnsi="Open Sans Light" w:cs="Open Sans Light"/>
          <w:color w:val="000000"/>
          <w:sz w:val="24"/>
          <w:szCs w:val="24"/>
        </w:rPr>
        <w:t xml:space="preserve"> al 2021 establecía que el 100% de niñas, niños y adolescentes usuarios de programas sociales (en situación de pobreza y pobreza extrema) t</w:t>
      </w:r>
      <w:r w:rsidR="008E0840">
        <w:rPr>
          <w:rFonts w:ascii="Open Sans Light" w:eastAsia="Open Sans Light" w:hAnsi="Open Sans Light" w:cs="Open Sans Light"/>
          <w:color w:val="000000"/>
          <w:sz w:val="24"/>
          <w:szCs w:val="24"/>
        </w:rPr>
        <w:t>uviesen</w:t>
      </w:r>
      <w:r>
        <w:rPr>
          <w:rFonts w:ascii="Open Sans Light" w:eastAsia="Open Sans Light" w:hAnsi="Open Sans Light" w:cs="Open Sans Light"/>
          <w:color w:val="000000"/>
          <w:sz w:val="24"/>
          <w:szCs w:val="24"/>
        </w:rPr>
        <w:t xml:space="preserve"> acceso a los paquetes de atención integral de salud aprobado y financiado, el indicador presentado no responde específicamente a la meta programada dado que incluye a todos los NNA a nivel nacional, por lo que no se podría realizar la comparación.</w:t>
      </w:r>
    </w:p>
    <w:p w14:paraId="35A36D8C" w14:textId="010DC3A7" w:rsidR="002E39FC" w:rsidRPr="00A61DFC" w:rsidRDefault="00930723" w:rsidP="002E39FC">
      <w:pPr>
        <w:jc w:val="both"/>
        <w:rPr>
          <w:rFonts w:ascii="Open Sans Light" w:eastAsia="Open Sans Light" w:hAnsi="Open Sans Light" w:cs="Open Sans Light"/>
          <w:sz w:val="24"/>
          <w:szCs w:val="24"/>
        </w:rPr>
      </w:pPr>
      <w:r w:rsidRPr="00A61DFC">
        <w:rPr>
          <w:rFonts w:ascii="Open Sans Light" w:eastAsia="Open Sans Light" w:hAnsi="Open Sans Light" w:cs="Open Sans Light"/>
          <w:sz w:val="24"/>
          <w:szCs w:val="24"/>
        </w:rPr>
        <w:t>Por otro lado, e</w:t>
      </w:r>
      <w:r w:rsidR="002E39FC" w:rsidRPr="00A61DFC">
        <w:rPr>
          <w:rFonts w:ascii="Open Sans Light" w:eastAsia="Open Sans Light" w:hAnsi="Open Sans Light" w:cs="Open Sans Light"/>
          <w:sz w:val="24"/>
          <w:szCs w:val="24"/>
        </w:rPr>
        <w:t>l acceso al seguro de salud ha sido paritario e</w:t>
      </w:r>
      <w:r w:rsidRPr="00A61DFC">
        <w:rPr>
          <w:rFonts w:ascii="Open Sans Light" w:eastAsia="Open Sans Light" w:hAnsi="Open Sans Light" w:cs="Open Sans Light"/>
          <w:sz w:val="24"/>
          <w:szCs w:val="24"/>
        </w:rPr>
        <w:t>ntre niñas, niños y adolescentes</w:t>
      </w:r>
      <w:r w:rsidR="002E39FC" w:rsidRPr="00A61DFC">
        <w:rPr>
          <w:rFonts w:ascii="Open Sans Light" w:eastAsia="Open Sans Light" w:hAnsi="Open Sans Light" w:cs="Open Sans Light"/>
          <w:sz w:val="24"/>
          <w:szCs w:val="24"/>
        </w:rPr>
        <w:t xml:space="preserve">. Así, </w:t>
      </w:r>
      <w:r w:rsidR="00C269D3" w:rsidRPr="00A61DFC">
        <w:rPr>
          <w:rFonts w:ascii="Open Sans Light" w:eastAsia="Open Sans Light" w:hAnsi="Open Sans Light" w:cs="Open Sans Light"/>
          <w:sz w:val="24"/>
          <w:szCs w:val="24"/>
        </w:rPr>
        <w:t xml:space="preserve">la diferencia en el acceso a seguros de salud en base al sexo ha sido apenas de 0.1% tanto en 2012 como en 2020. </w:t>
      </w:r>
      <w:r w:rsidR="002E39FC" w:rsidRPr="00A61DFC">
        <w:rPr>
          <w:rFonts w:ascii="Open Sans Light" w:eastAsia="Open Sans Light" w:hAnsi="Open Sans Light" w:cs="Open Sans Light"/>
          <w:sz w:val="24"/>
          <w:szCs w:val="24"/>
        </w:rPr>
        <w:t xml:space="preserve"> </w:t>
      </w:r>
    </w:p>
    <w:p w14:paraId="59AE66E1" w14:textId="7032015A" w:rsidR="002E39FC" w:rsidRDefault="00F4792B" w:rsidP="002E39FC">
      <w:pPr>
        <w:spacing w:after="0" w:line="240" w:lineRule="auto"/>
        <w:jc w:val="center"/>
        <w:rPr>
          <w:rFonts w:ascii="Open Sans Light" w:eastAsia="Open Sans Light" w:hAnsi="Open Sans Light" w:cs="Open Sans Light"/>
          <w:sz w:val="24"/>
          <w:szCs w:val="24"/>
        </w:rPr>
      </w:pPr>
      <w:r w:rsidRPr="00F4792B">
        <w:rPr>
          <w:rFonts w:ascii="Open Sans Light" w:eastAsia="Open Sans Light" w:hAnsi="Open Sans Light" w:cs="Open Sans Light"/>
          <w:noProof/>
          <w:sz w:val="24"/>
          <w:szCs w:val="24"/>
          <w:lang w:val="en-GB" w:eastAsia="en-GB"/>
        </w:rPr>
        <w:lastRenderedPageBreak/>
        <w:drawing>
          <wp:inline distT="0" distB="0" distL="0" distR="0" wp14:anchorId="7EA32DF4" wp14:editId="24501DBD">
            <wp:extent cx="3694771" cy="2683541"/>
            <wp:effectExtent l="0" t="0" r="1270"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02954" cy="2689484"/>
                    </a:xfrm>
                    <a:prstGeom prst="rect">
                      <a:avLst/>
                    </a:prstGeom>
                    <a:noFill/>
                    <a:ln>
                      <a:noFill/>
                    </a:ln>
                  </pic:spPr>
                </pic:pic>
              </a:graphicData>
            </a:graphic>
          </wp:inline>
        </w:drawing>
      </w:r>
    </w:p>
    <w:p w14:paraId="12ADA979" w14:textId="77777777" w:rsidR="002E39FC" w:rsidRDefault="002E39FC" w:rsidP="002E39FC">
      <w:pPr>
        <w:rPr>
          <w:color w:val="1F3864"/>
        </w:rPr>
      </w:pPr>
    </w:p>
    <w:p w14:paraId="2B4B315E" w14:textId="24706890" w:rsidR="002E39FC" w:rsidRDefault="00C269D3" w:rsidP="002E39FC">
      <w:pPr>
        <w:jc w:val="both"/>
        <w:rPr>
          <w:color w:val="1F3864"/>
        </w:rPr>
      </w:pPr>
      <w:r w:rsidRPr="00A61DFC">
        <w:rPr>
          <w:rFonts w:ascii="Open Sans Light" w:eastAsia="Open Sans Light" w:hAnsi="Open Sans Light" w:cs="Open Sans Light"/>
          <w:sz w:val="24"/>
          <w:szCs w:val="24"/>
        </w:rPr>
        <w:t>Finalmente, d</w:t>
      </w:r>
      <w:r w:rsidR="002E39FC" w:rsidRPr="00A61DFC">
        <w:rPr>
          <w:rFonts w:ascii="Open Sans Light" w:eastAsia="Open Sans Light" w:hAnsi="Open Sans Light" w:cs="Open Sans Light"/>
          <w:sz w:val="24"/>
          <w:szCs w:val="24"/>
        </w:rPr>
        <w:t xml:space="preserve">e los NNA que cuentan con seguro de salud, la mayoría (63%) tiene Seguro Integral de Salud (SIS); mientras que 1 de cada 5 cuenta con seguro de ESSALUD. </w:t>
      </w:r>
      <w:r w:rsidR="002E39FC">
        <w:rPr>
          <w:rFonts w:ascii="Open Sans Light" w:eastAsia="Open Sans Light" w:hAnsi="Open Sans Light" w:cs="Open Sans Light"/>
          <w:color w:val="000000"/>
          <w:sz w:val="24"/>
          <w:szCs w:val="24"/>
        </w:rPr>
        <w:t xml:space="preserve">El 2% restante tiene otros tipos, entre ellos, seguro privado, EPS, FFAA, seguro universitario, seguro escolar privado u otro. </w:t>
      </w:r>
    </w:p>
    <w:p w14:paraId="7EB1B5A4" w14:textId="77777777" w:rsidR="002E39FC" w:rsidRDefault="002E39FC" w:rsidP="002E39FC">
      <w:pPr>
        <w:spacing w:after="0" w:line="240" w:lineRule="auto"/>
        <w:jc w:val="center"/>
        <w:rPr>
          <w:rFonts w:ascii="Open Sans Light" w:eastAsia="Open Sans Light" w:hAnsi="Open Sans Light" w:cs="Open Sans Light"/>
          <w:b/>
          <w:sz w:val="20"/>
          <w:szCs w:val="20"/>
        </w:rPr>
      </w:pPr>
    </w:p>
    <w:p w14:paraId="42B72F3C" w14:textId="7C850FE4" w:rsidR="002E39FC" w:rsidRDefault="006B111E" w:rsidP="002E39FC">
      <w:pPr>
        <w:spacing w:after="0" w:line="240" w:lineRule="auto"/>
        <w:jc w:val="center"/>
        <w:rPr>
          <w:rFonts w:ascii="Open Sans Light" w:eastAsia="Open Sans Light" w:hAnsi="Open Sans Light" w:cs="Open Sans Light"/>
          <w:color w:val="000000"/>
          <w:sz w:val="24"/>
          <w:szCs w:val="24"/>
        </w:rPr>
      </w:pPr>
      <w:r w:rsidRPr="006B111E">
        <w:rPr>
          <w:rFonts w:ascii="Open Sans Light" w:eastAsia="Open Sans Light" w:hAnsi="Open Sans Light" w:cs="Open Sans Light"/>
          <w:noProof/>
          <w:color w:val="000000"/>
          <w:sz w:val="24"/>
          <w:szCs w:val="24"/>
          <w:lang w:val="en-GB" w:eastAsia="en-GB"/>
        </w:rPr>
        <w:drawing>
          <wp:inline distT="0" distB="0" distL="0" distR="0" wp14:anchorId="098EB3BB" wp14:editId="40B4AA82">
            <wp:extent cx="5278288" cy="3838755"/>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81488" cy="3841082"/>
                    </a:xfrm>
                    <a:prstGeom prst="rect">
                      <a:avLst/>
                    </a:prstGeom>
                    <a:noFill/>
                    <a:ln>
                      <a:noFill/>
                    </a:ln>
                  </pic:spPr>
                </pic:pic>
              </a:graphicData>
            </a:graphic>
          </wp:inline>
        </w:drawing>
      </w:r>
    </w:p>
    <w:p w14:paraId="089BE0AD" w14:textId="2F96CED4" w:rsidR="00A365FD" w:rsidRDefault="00A365FD">
      <w:pPr>
        <w:rPr>
          <w:color w:val="002060"/>
          <w:sz w:val="32"/>
          <w:szCs w:val="32"/>
        </w:rPr>
      </w:pPr>
      <w:r>
        <w:rPr>
          <w:color w:val="002060"/>
          <w:sz w:val="32"/>
          <w:szCs w:val="32"/>
        </w:rPr>
        <w:br w:type="page"/>
      </w:r>
    </w:p>
    <w:p w14:paraId="0000030F" w14:textId="19B5061D" w:rsidR="00971081" w:rsidRDefault="009104B2" w:rsidP="00C35F44">
      <w:pPr>
        <w:pStyle w:val="Heading1"/>
        <w:numPr>
          <w:ilvl w:val="0"/>
          <w:numId w:val="24"/>
        </w:numPr>
        <w:spacing w:after="240"/>
        <w:ind w:left="360"/>
        <w:rPr>
          <w:color w:val="1F3864"/>
          <w:sz w:val="60"/>
          <w:szCs w:val="60"/>
        </w:rPr>
      </w:pPr>
      <w:bookmarkStart w:id="15" w:name="_Toc91781809"/>
      <w:r>
        <w:rPr>
          <w:color w:val="1F3864"/>
          <w:sz w:val="60"/>
          <w:szCs w:val="60"/>
        </w:rPr>
        <w:lastRenderedPageBreak/>
        <w:t>Concl</w:t>
      </w:r>
      <w:sdt>
        <w:sdtPr>
          <w:tag w:val="goog_rdk_10"/>
          <w:id w:val="-1011832362"/>
        </w:sdtPr>
        <w:sdtEndPr/>
        <w:sdtContent/>
      </w:sdt>
      <w:r>
        <w:rPr>
          <w:color w:val="1F3864"/>
          <w:sz w:val="60"/>
          <w:szCs w:val="60"/>
        </w:rPr>
        <w:t>usiones</w:t>
      </w:r>
      <w:bookmarkEnd w:id="15"/>
    </w:p>
    <w:p w14:paraId="5D2F247A" w14:textId="6704536B" w:rsidR="00D82CA3" w:rsidRDefault="00D82CA3" w:rsidP="000E4478">
      <w:pPr>
        <w:jc w:val="both"/>
        <w:rPr>
          <w:rFonts w:ascii="Open Sans Light" w:hAnsi="Open Sans Light" w:cs="Open Sans Light"/>
          <w:sz w:val="24"/>
          <w:szCs w:val="24"/>
        </w:rPr>
      </w:pPr>
      <w:r w:rsidRPr="00D82CA3">
        <w:rPr>
          <w:rFonts w:ascii="Open Sans Light" w:hAnsi="Open Sans Light" w:cs="Open Sans Light"/>
          <w:sz w:val="24"/>
          <w:szCs w:val="24"/>
        </w:rPr>
        <w:t xml:space="preserve">Al cierre de la vigencia del PNAIA 2012-2021 se proyecta que solo 5 indicadores - de los 30 analizados - cumplirían la meta 2021. Luego, apenas otros 6 indicadores alcanzarían un nivel de avance mayor al 50%. Al respecto, y para fortalecer las conclusiones, se considera importante </w:t>
      </w:r>
      <w:r w:rsidR="00D37431">
        <w:rPr>
          <w:rFonts w:ascii="Open Sans Light" w:hAnsi="Open Sans Light" w:cs="Open Sans Light"/>
          <w:sz w:val="24"/>
          <w:szCs w:val="24"/>
        </w:rPr>
        <w:t xml:space="preserve">tomar en cuenta </w:t>
      </w:r>
      <w:r w:rsidRPr="00D82CA3">
        <w:rPr>
          <w:rFonts w:ascii="Open Sans Light" w:hAnsi="Open Sans Light" w:cs="Open Sans Light"/>
          <w:sz w:val="24"/>
          <w:szCs w:val="24"/>
        </w:rPr>
        <w:t xml:space="preserve">4 observaciones. La primera; la deficiente calidad en información que afecta al 30% de indicadores. La segunda; un diseño de metas que no considera la naturaleza del problema que pretende se enfrente, como que el problema esté siendo subestimado en el año base, o que tenga varios y significativos determinantes. La tercera; un escaso enfoque territorial que impide el cierre de brechas. La cuarta; la llegada de la pandemia por COVID-19. </w:t>
      </w:r>
    </w:p>
    <w:p w14:paraId="273880A0" w14:textId="7B0D01B2" w:rsidR="00E716B1" w:rsidRPr="000E4478" w:rsidRDefault="00E716B1" w:rsidP="00F04EDD">
      <w:pPr>
        <w:ind w:left="720" w:hanging="720"/>
        <w:jc w:val="both"/>
        <w:rPr>
          <w:rFonts w:ascii="Open Sans Light" w:hAnsi="Open Sans Light" w:cs="Open Sans Light"/>
          <w:sz w:val="24"/>
          <w:szCs w:val="24"/>
        </w:rPr>
      </w:pPr>
      <w:r w:rsidRPr="000E4478">
        <w:rPr>
          <w:rFonts w:ascii="Open Sans Light" w:hAnsi="Open Sans Light" w:cs="Open Sans Light"/>
          <w:sz w:val="24"/>
          <w:szCs w:val="24"/>
        </w:rPr>
        <w:t xml:space="preserve">En cuanto a las estrategias de implementación se puede concluir que el desempeño y los resultados fueron positivos. La mayoría de </w:t>
      </w:r>
      <w:r w:rsidRPr="00E716B1">
        <w:rPr>
          <w:rFonts w:ascii="Open Sans Light" w:hAnsi="Open Sans Light" w:cs="Open Sans Light"/>
          <w:sz w:val="24"/>
          <w:szCs w:val="24"/>
        </w:rPr>
        <w:t>las metas</w:t>
      </w:r>
      <w:r w:rsidRPr="000E4478">
        <w:rPr>
          <w:rFonts w:ascii="Open Sans Light" w:hAnsi="Open Sans Light" w:cs="Open Sans Light"/>
          <w:sz w:val="24"/>
          <w:szCs w:val="24"/>
        </w:rPr>
        <w:t xml:space="preserve"> emblemáticas analizadas han tenido variaciones positivas en sus niveles de ejecución presupuestaria. Asimismo, los indicadores utilizados para aproximar los resultados de cada meta emblemática también dieron muestras de que se están consiguiendo los resultados esperados. No obstante, para </w:t>
      </w:r>
      <w:r w:rsidR="007C4E4A">
        <w:rPr>
          <w:rFonts w:ascii="Open Sans Light" w:hAnsi="Open Sans Light" w:cs="Open Sans Light"/>
          <w:sz w:val="24"/>
          <w:szCs w:val="24"/>
        </w:rPr>
        <w:t>la Quinta Meta Emblemática</w:t>
      </w:r>
      <w:r w:rsidRPr="000E4478">
        <w:rPr>
          <w:rFonts w:ascii="Open Sans Light" w:hAnsi="Open Sans Light" w:cs="Open Sans Light"/>
          <w:sz w:val="24"/>
          <w:szCs w:val="24"/>
        </w:rPr>
        <w:t xml:space="preserve"> se encontró incoherencias (correlación negativa) entre presupuesto asignado y resultados alcanzados. Se evidenció además que no se ha interiorizado el enfoque </w:t>
      </w:r>
      <w:r w:rsidRPr="00E716B1">
        <w:rPr>
          <w:rFonts w:ascii="Open Sans Light" w:hAnsi="Open Sans Light" w:cs="Open Sans Light"/>
          <w:sz w:val="24"/>
          <w:szCs w:val="24"/>
        </w:rPr>
        <w:t>territorial; es</w:t>
      </w:r>
      <w:r w:rsidRPr="000E4478">
        <w:rPr>
          <w:rFonts w:ascii="Open Sans Light" w:hAnsi="Open Sans Light" w:cs="Open Sans Light"/>
          <w:sz w:val="24"/>
          <w:szCs w:val="24"/>
        </w:rPr>
        <w:t xml:space="preserve"> decir, algunos presupuestos - y algunos resultados - no han variado de manera positiva en aquellas regiones donde más brechas </w:t>
      </w:r>
      <w:r w:rsidRPr="00E716B1">
        <w:rPr>
          <w:rFonts w:ascii="Open Sans Light" w:hAnsi="Open Sans Light" w:cs="Open Sans Light"/>
          <w:sz w:val="24"/>
          <w:szCs w:val="24"/>
        </w:rPr>
        <w:t>había</w:t>
      </w:r>
      <w:r w:rsidRPr="000E4478">
        <w:rPr>
          <w:rFonts w:ascii="Open Sans Light" w:hAnsi="Open Sans Light" w:cs="Open Sans Light"/>
          <w:sz w:val="24"/>
          <w:szCs w:val="24"/>
        </w:rPr>
        <w:t xml:space="preserve"> por cerrar. </w:t>
      </w:r>
    </w:p>
    <w:p w14:paraId="35A5B941" w14:textId="2C01140D" w:rsidR="00156027" w:rsidRDefault="00E716B1" w:rsidP="000E4478">
      <w:pPr>
        <w:jc w:val="both"/>
        <w:rPr>
          <w:rFonts w:asciiTheme="majorHAnsi" w:eastAsiaTheme="majorEastAsia" w:hAnsiTheme="majorHAnsi" w:cstheme="majorBidi"/>
          <w:color w:val="1F3864"/>
          <w:sz w:val="60"/>
          <w:szCs w:val="60"/>
        </w:rPr>
      </w:pPr>
      <w:r w:rsidRPr="000E4478">
        <w:rPr>
          <w:rFonts w:ascii="Open Sans Light" w:hAnsi="Open Sans Light" w:cs="Open Sans Light"/>
          <w:sz w:val="24"/>
          <w:szCs w:val="24"/>
        </w:rPr>
        <w:t>Respecto a los mecanismos de implementación se tiene - a partir de su balance - que el desempeño fue positivo. La CMP, el grupo SIMONE y los PRAIA han logrado (i) una mayor exposición y posicionamiento de la temática de niñez y adolescencia en la agenda pública, (ii) la publicación de indicadores e informes, así como su mejora continua, y (iii) la construcción de una plataforma base para la articulación con todos los gobiernos regionales.</w:t>
      </w:r>
      <w:r w:rsidR="00946825">
        <w:rPr>
          <w:rFonts w:ascii="Open Sans Light" w:hAnsi="Open Sans Light" w:cs="Open Sans Light"/>
          <w:sz w:val="24"/>
          <w:szCs w:val="24"/>
        </w:rPr>
        <w:t xml:space="preserve"> Sin embargo, se encontró que gran parte de los actores clave, debido a su alta rotación</w:t>
      </w:r>
      <w:r w:rsidR="00D37431">
        <w:rPr>
          <w:rFonts w:ascii="Open Sans Light" w:hAnsi="Open Sans Light" w:cs="Open Sans Light"/>
          <w:sz w:val="24"/>
          <w:szCs w:val="24"/>
        </w:rPr>
        <w:t>,</w:t>
      </w:r>
      <w:r w:rsidR="00946825">
        <w:rPr>
          <w:rFonts w:ascii="Open Sans Light" w:hAnsi="Open Sans Light" w:cs="Open Sans Light"/>
          <w:sz w:val="24"/>
          <w:szCs w:val="24"/>
        </w:rPr>
        <w:t xml:space="preserve"> se encuentran con poco o nulo conocimiento sobre el PRAIA 2012-2021, lo que dificulta el uso de los recursos asignados.</w:t>
      </w:r>
      <w:r w:rsidR="00156027">
        <w:rPr>
          <w:color w:val="1F3864"/>
          <w:sz w:val="60"/>
          <w:szCs w:val="60"/>
        </w:rPr>
        <w:br w:type="page"/>
      </w:r>
    </w:p>
    <w:p w14:paraId="00000327" w14:textId="3F04C927" w:rsidR="00971081" w:rsidRDefault="00424B93" w:rsidP="00C35F44">
      <w:pPr>
        <w:pStyle w:val="Heading1"/>
        <w:numPr>
          <w:ilvl w:val="0"/>
          <w:numId w:val="24"/>
        </w:numPr>
        <w:spacing w:after="240"/>
        <w:ind w:left="360"/>
        <w:rPr>
          <w:color w:val="1F3864"/>
          <w:sz w:val="60"/>
          <w:szCs w:val="60"/>
        </w:rPr>
      </w:pPr>
      <w:bookmarkStart w:id="16" w:name="_Toc91781810"/>
      <w:r>
        <w:rPr>
          <w:color w:val="1F3864"/>
          <w:sz w:val="60"/>
          <w:szCs w:val="60"/>
        </w:rPr>
        <w:lastRenderedPageBreak/>
        <w:t>R</w:t>
      </w:r>
      <w:r w:rsidR="009104B2">
        <w:rPr>
          <w:color w:val="1F3864"/>
          <w:sz w:val="60"/>
          <w:szCs w:val="60"/>
        </w:rPr>
        <w:t>ecomendaciones</w:t>
      </w:r>
      <w:bookmarkEnd w:id="16"/>
    </w:p>
    <w:bookmarkEnd w:id="10"/>
    <w:p w14:paraId="0A97FD2D" w14:textId="271AEF4B" w:rsidR="00D56807" w:rsidRPr="00D56807" w:rsidRDefault="00D56807" w:rsidP="00D56807">
      <w:pPr>
        <w:jc w:val="both"/>
        <w:rPr>
          <w:rFonts w:ascii="Open Sans Light" w:eastAsia="Open Sans Light" w:hAnsi="Open Sans Light" w:cs="Open Sans Light"/>
          <w:sz w:val="24"/>
          <w:szCs w:val="24"/>
        </w:rPr>
      </w:pPr>
      <w:r w:rsidRPr="00D56807">
        <w:rPr>
          <w:rFonts w:ascii="Open Sans Light" w:eastAsia="Open Sans Light" w:hAnsi="Open Sans Light" w:cs="Open Sans Light"/>
          <w:sz w:val="24"/>
          <w:szCs w:val="24"/>
        </w:rPr>
        <w:t xml:space="preserve">Se recomienda asignar recursos de manera proporcional a la importancia y magnitud de las brechas </w:t>
      </w:r>
      <w:r w:rsidR="00FF042D">
        <w:rPr>
          <w:rFonts w:ascii="Open Sans Light" w:eastAsia="Open Sans Light" w:hAnsi="Open Sans Light" w:cs="Open Sans Light"/>
          <w:sz w:val="24"/>
          <w:szCs w:val="24"/>
        </w:rPr>
        <w:t xml:space="preserve">pendientes de ser cerradas. </w:t>
      </w:r>
    </w:p>
    <w:p w14:paraId="03D85283" w14:textId="77777777" w:rsidR="00D56807" w:rsidRPr="00D56807" w:rsidRDefault="00D56807" w:rsidP="00D56807">
      <w:pPr>
        <w:jc w:val="both"/>
        <w:rPr>
          <w:rFonts w:ascii="Open Sans Light" w:eastAsia="Open Sans Light" w:hAnsi="Open Sans Light" w:cs="Open Sans Light"/>
          <w:sz w:val="24"/>
          <w:szCs w:val="24"/>
        </w:rPr>
      </w:pPr>
      <w:r w:rsidRPr="00D56807">
        <w:rPr>
          <w:rFonts w:ascii="Open Sans Light" w:eastAsia="Open Sans Light" w:hAnsi="Open Sans Light" w:cs="Open Sans Light"/>
          <w:sz w:val="24"/>
          <w:szCs w:val="24"/>
        </w:rPr>
        <w:t>Los niveles de cobertura y calidad en servicios educativos de nivel inicial están en riesgo debido a un retroceso en los flujos de ejecución presupuestal. Son necesarias acciones destinadas a revertir esta tendencia negativa. Además, la llegada del COVID-19 ha acelerado la necesidad de desarrollar programas y estrategias que impacten de manera positiva la asistencia escolar mediante canales digitales.</w:t>
      </w:r>
    </w:p>
    <w:p w14:paraId="1CE210AF" w14:textId="4F5AE105" w:rsidR="00D56807" w:rsidRPr="00D56807" w:rsidRDefault="00D56807" w:rsidP="00D56807">
      <w:pPr>
        <w:jc w:val="both"/>
        <w:rPr>
          <w:rFonts w:ascii="Open Sans Light" w:eastAsia="Open Sans Light" w:hAnsi="Open Sans Light" w:cs="Open Sans Light"/>
          <w:sz w:val="24"/>
          <w:szCs w:val="24"/>
        </w:rPr>
      </w:pPr>
      <w:r w:rsidRPr="00D56807">
        <w:rPr>
          <w:rFonts w:ascii="Open Sans Light" w:eastAsia="Open Sans Light" w:hAnsi="Open Sans Light" w:cs="Open Sans Light"/>
          <w:sz w:val="24"/>
          <w:szCs w:val="24"/>
        </w:rPr>
        <w:t xml:space="preserve">En cuanto a las brechas en la disponibilidad de bases de datos actualizadas, se recomienda la asignación de recursos al recojo y monitoreo estadístico de indicadores vinculados a los Resultados Esperados. </w:t>
      </w:r>
    </w:p>
    <w:p w14:paraId="27A6B9AE" w14:textId="77777777" w:rsidR="00D56807" w:rsidRPr="00D56807" w:rsidRDefault="00D56807" w:rsidP="00D56807">
      <w:pPr>
        <w:jc w:val="both"/>
        <w:rPr>
          <w:rFonts w:ascii="Open Sans Light" w:eastAsia="Open Sans Light" w:hAnsi="Open Sans Light" w:cs="Open Sans Light"/>
          <w:sz w:val="24"/>
          <w:szCs w:val="24"/>
        </w:rPr>
      </w:pPr>
      <w:r w:rsidRPr="00D56807">
        <w:rPr>
          <w:rFonts w:ascii="Open Sans Light" w:eastAsia="Open Sans Light" w:hAnsi="Open Sans Light" w:cs="Open Sans Light"/>
          <w:sz w:val="24"/>
          <w:szCs w:val="24"/>
        </w:rPr>
        <w:t>Existe la necesidad de realizar trabajo coordinado, concertado e integral, así como el alineamiento de planes y políticas públicas entre todas las instituciones del Estado – a lo largo de los niveles de gobierno nacional, regional y local – y agentes del sector privado. En esta línea también se sugiere el otorgamiento de asistencia técnica a niveles de gobierno regionales y locales para la implementación de servicios y enfoques de políticas.</w:t>
      </w:r>
    </w:p>
    <w:p w14:paraId="422E1337" w14:textId="77777777" w:rsidR="00D56807" w:rsidRPr="00D56807" w:rsidRDefault="00D56807" w:rsidP="00D56807">
      <w:pPr>
        <w:jc w:val="both"/>
        <w:rPr>
          <w:rFonts w:ascii="Open Sans Light" w:eastAsia="Open Sans Light" w:hAnsi="Open Sans Light" w:cs="Open Sans Light"/>
          <w:sz w:val="24"/>
          <w:szCs w:val="24"/>
        </w:rPr>
      </w:pPr>
      <w:r w:rsidRPr="00D56807">
        <w:rPr>
          <w:rFonts w:ascii="Open Sans Light" w:eastAsia="Open Sans Light" w:hAnsi="Open Sans Light" w:cs="Open Sans Light"/>
          <w:sz w:val="24"/>
          <w:szCs w:val="24"/>
        </w:rPr>
        <w:t xml:space="preserve">Se recomienda estudiar la posible asociación entre brechas en determinados indicadores por un lado y variables de identidad por el otro. Los planes y políticas públicas deben considerar otorgar prioridad a grupos minoritarios como las personas con discapacidad, la comunidad LGTB, así como aquellos ciudadanos cuya lengua materna sea distinta al castellano. Los problemas y necesidades suelen ser específicas a cada grupo, y muchas veces sus caracterizaciones deben ser realizadas de manera separada. </w:t>
      </w:r>
    </w:p>
    <w:p w14:paraId="7CA3F7FF" w14:textId="77777777" w:rsidR="00D56807" w:rsidRPr="00D56807" w:rsidRDefault="00D56807" w:rsidP="00D56807">
      <w:pPr>
        <w:jc w:val="both"/>
        <w:rPr>
          <w:rFonts w:ascii="Open Sans Light" w:eastAsia="Open Sans Light" w:hAnsi="Open Sans Light" w:cs="Open Sans Light"/>
          <w:sz w:val="24"/>
          <w:szCs w:val="24"/>
        </w:rPr>
      </w:pPr>
      <w:r w:rsidRPr="00D56807">
        <w:rPr>
          <w:rFonts w:ascii="Open Sans Light" w:eastAsia="Open Sans Light" w:hAnsi="Open Sans Light" w:cs="Open Sans Light"/>
          <w:sz w:val="24"/>
          <w:szCs w:val="24"/>
        </w:rPr>
        <w:t>En lo que concierne a la CMP del PNAIA 2012-2021, la recomendación de mantenerla vigente, fortalecer su monitoreo e integrar su actividad de manera intersectorial está sujeta a la superación de algunos obstáculos encontrados. Entre ellos tenemos (i) el bajo nivel de interés e involucramiento de algunos actores directos con las metas del PNAIA 2012-2021, (ii) la alta rotación de representantes de la CMP y (iii) la escasa asistencia de titulares de entidades a las sesiones del CMP.</w:t>
      </w:r>
    </w:p>
    <w:p w14:paraId="1B408536" w14:textId="6C776650" w:rsidR="003C386D" w:rsidRDefault="00D56807" w:rsidP="00D56807">
      <w:pPr>
        <w:jc w:val="both"/>
        <w:rPr>
          <w:rFonts w:ascii="Open Sans Light" w:eastAsia="Open Sans Light" w:hAnsi="Open Sans Light" w:cs="Open Sans Light"/>
          <w:sz w:val="24"/>
          <w:szCs w:val="24"/>
        </w:rPr>
      </w:pPr>
      <w:r w:rsidRPr="003C386D">
        <w:rPr>
          <w:rFonts w:ascii="Open Sans Light" w:eastAsia="Open Sans Light" w:hAnsi="Open Sans Light" w:cs="Open Sans Light"/>
          <w:sz w:val="24"/>
          <w:szCs w:val="24"/>
        </w:rPr>
        <w:lastRenderedPageBreak/>
        <w:t xml:space="preserve">En torno al Grupo de Trabajo SIMONE se recomienda terminar de asignar metas cuantificables a todos sus indicadores, así como una estrecha coordinación con los departamentos estadísticos de los ministerios. Se recomienda además utilizar metas anuales intermedias para coadyuvar un Grupo de Trabajo SIMONE más activo en sus tareas de monitoreo y evaluación de las acciones orientadas a </w:t>
      </w:r>
      <w:r w:rsidR="00FF042D">
        <w:rPr>
          <w:rFonts w:ascii="Open Sans Light" w:eastAsia="Open Sans Light" w:hAnsi="Open Sans Light" w:cs="Open Sans Light"/>
          <w:sz w:val="24"/>
          <w:szCs w:val="24"/>
        </w:rPr>
        <w:t>conseguir Resultados Esperados.</w:t>
      </w:r>
      <w:r w:rsidRPr="003C386D">
        <w:rPr>
          <w:rFonts w:ascii="Open Sans Light" w:eastAsia="Open Sans Light" w:hAnsi="Open Sans Light" w:cs="Open Sans Light"/>
          <w:sz w:val="24"/>
          <w:szCs w:val="24"/>
        </w:rPr>
        <w:t xml:space="preserve"> </w:t>
      </w:r>
    </w:p>
    <w:p w14:paraId="396DFBBB" w14:textId="5B6A620D" w:rsidR="00D56807" w:rsidRPr="003C386D" w:rsidRDefault="00D56807" w:rsidP="00D56807">
      <w:pPr>
        <w:jc w:val="both"/>
        <w:rPr>
          <w:rFonts w:ascii="Open Sans Light" w:eastAsia="Open Sans Light" w:hAnsi="Open Sans Light" w:cs="Open Sans Light"/>
          <w:sz w:val="24"/>
          <w:szCs w:val="24"/>
        </w:rPr>
      </w:pPr>
      <w:r w:rsidRPr="003C386D">
        <w:rPr>
          <w:rFonts w:ascii="Open Sans Light" w:eastAsia="Open Sans Light" w:hAnsi="Open Sans Light" w:cs="Open Sans Light"/>
          <w:sz w:val="24"/>
          <w:szCs w:val="24"/>
        </w:rPr>
        <w:t xml:space="preserve">En lo que respecta al Grupo de Trabajo GPNNA es recomendable formalizar el grupo de trabajo y alinear sus objetivos con los de la PNMNNA. La no respuesta a estas observaciones haría cada vez más difícil para el Grupo de Trabajo GPNNA colaborar con el seguimiento al gasto público en niñas, niños y adolescentes. </w:t>
      </w:r>
    </w:p>
    <w:p w14:paraId="14426E7B" w14:textId="4B5F05C8" w:rsidR="00DB31B1" w:rsidRDefault="00D56807" w:rsidP="00D56807">
      <w:pPr>
        <w:jc w:val="both"/>
        <w:rPr>
          <w:rFonts w:asciiTheme="majorHAnsi" w:eastAsiaTheme="majorEastAsia" w:hAnsiTheme="majorHAnsi" w:cstheme="majorBidi"/>
          <w:color w:val="1F3864"/>
          <w:sz w:val="60"/>
          <w:szCs w:val="60"/>
        </w:rPr>
      </w:pPr>
      <w:r w:rsidRPr="003C386D">
        <w:rPr>
          <w:rFonts w:ascii="Open Sans Light" w:eastAsia="Open Sans Light" w:hAnsi="Open Sans Light" w:cs="Open Sans Light"/>
          <w:sz w:val="24"/>
          <w:szCs w:val="24"/>
        </w:rPr>
        <w:t>Finalmente, en cuanto a los PRAIA se recomienda que - para seguir fortaleciendo la participación directa de los NNA - se mejore el conocimiento de asignaciones presupuestales en torno a los objetivos del PNAIA 2012-2021. Mantener operativos los PRAIA sin involucrar autoridades locales y regionales no solo limitaría y detendría los logros alcanzados, sino también agravaría las brechas en los NNA.</w:t>
      </w:r>
      <w:r w:rsidRPr="002C776C">
        <w:rPr>
          <w:rFonts w:ascii="Open Sans Light" w:eastAsia="Open Sans Light" w:hAnsi="Open Sans Light" w:cs="Open Sans Light"/>
          <w:sz w:val="24"/>
          <w:szCs w:val="24"/>
        </w:rPr>
        <w:t xml:space="preserve"> </w:t>
      </w:r>
      <w:r w:rsidR="00DB31B1">
        <w:rPr>
          <w:color w:val="1F3864"/>
          <w:sz w:val="60"/>
          <w:szCs w:val="60"/>
        </w:rPr>
        <w:br w:type="page"/>
      </w:r>
    </w:p>
    <w:p w14:paraId="7323C676" w14:textId="371738FC" w:rsidR="00E1753D" w:rsidRPr="00D14279" w:rsidRDefault="009104B2" w:rsidP="004D0E60">
      <w:pPr>
        <w:pStyle w:val="Heading1"/>
        <w:numPr>
          <w:ilvl w:val="0"/>
          <w:numId w:val="24"/>
        </w:numPr>
        <w:ind w:left="360"/>
        <w:rPr>
          <w:color w:val="1F3864"/>
          <w:sz w:val="60"/>
          <w:szCs w:val="60"/>
        </w:rPr>
      </w:pPr>
      <w:bookmarkStart w:id="17" w:name="_Toc91781811"/>
      <w:r>
        <w:rPr>
          <w:color w:val="1F3864"/>
          <w:sz w:val="60"/>
          <w:szCs w:val="60"/>
        </w:rPr>
        <w:lastRenderedPageBreak/>
        <w:t>Anexos</w:t>
      </w:r>
      <w:bookmarkEnd w:id="17"/>
    </w:p>
    <w:p w14:paraId="528B9A18" w14:textId="62482D34" w:rsidR="00D14279" w:rsidRDefault="00D14279" w:rsidP="00D14279">
      <w:pPr>
        <w:pStyle w:val="ESTILOTABLA"/>
      </w:pPr>
      <w:r>
        <w:t xml:space="preserve">Tabla A. </w:t>
      </w:r>
      <w:fldSimple w:instr=" SEQ Tabla_A. \* ARABIC ">
        <w:r w:rsidR="00846FB2">
          <w:rPr>
            <w:noProof/>
          </w:rPr>
          <w:t>1</w:t>
        </w:r>
      </w:fldSimple>
    </w:p>
    <w:tbl>
      <w:tblPr>
        <w:tblW w:w="9245" w:type="dxa"/>
        <w:jc w:val="center"/>
        <w:tblCellMar>
          <w:left w:w="70" w:type="dxa"/>
          <w:right w:w="70" w:type="dxa"/>
        </w:tblCellMar>
        <w:tblLook w:val="04A0" w:firstRow="1" w:lastRow="0" w:firstColumn="1" w:lastColumn="0" w:noHBand="0" w:noVBand="1"/>
      </w:tblPr>
      <w:tblGrid>
        <w:gridCol w:w="1811"/>
        <w:gridCol w:w="1832"/>
        <w:gridCol w:w="2744"/>
        <w:gridCol w:w="1420"/>
        <w:gridCol w:w="1438"/>
      </w:tblGrid>
      <w:tr w:rsidR="004524D3" w:rsidRPr="00CF7790" w14:paraId="0660C9BB" w14:textId="77777777" w:rsidTr="00AF1DD0">
        <w:trPr>
          <w:trHeight w:val="198"/>
          <w:jc w:val="center"/>
        </w:trPr>
        <w:tc>
          <w:tcPr>
            <w:tcW w:w="1811"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11168A22" w14:textId="77777777" w:rsidR="004524D3" w:rsidRPr="00CF7790" w:rsidRDefault="004524D3" w:rsidP="00AF1DD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CATEGORÍA</w:t>
            </w:r>
          </w:p>
        </w:tc>
        <w:tc>
          <w:tcPr>
            <w:tcW w:w="1832" w:type="dxa"/>
            <w:tcBorders>
              <w:top w:val="single" w:sz="4" w:space="0" w:color="auto"/>
              <w:left w:val="nil"/>
              <w:bottom w:val="single" w:sz="4" w:space="0" w:color="auto"/>
              <w:right w:val="single" w:sz="4" w:space="0" w:color="auto"/>
            </w:tcBorders>
            <w:shd w:val="clear" w:color="auto" w:fill="000000" w:themeFill="text1"/>
            <w:vAlign w:val="center"/>
            <w:hideMark/>
          </w:tcPr>
          <w:p w14:paraId="28BDE8A9" w14:textId="77777777" w:rsidR="004524D3" w:rsidRPr="00CF7790" w:rsidRDefault="004524D3" w:rsidP="00AF1DD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CUMPLIMIENTO DEL EJE</w:t>
            </w:r>
          </w:p>
        </w:tc>
        <w:tc>
          <w:tcPr>
            <w:tcW w:w="2744"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1893589D" w14:textId="77777777" w:rsidR="004524D3" w:rsidRPr="00CF7790" w:rsidRDefault="004524D3" w:rsidP="00AF1DD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MEDIO DE VERIFICACIÓN</w:t>
            </w:r>
          </w:p>
        </w:tc>
        <w:tc>
          <w:tcPr>
            <w:tcW w:w="14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67BB41DE" w14:textId="77777777" w:rsidR="004524D3" w:rsidRPr="00CF7790" w:rsidRDefault="004524D3" w:rsidP="00AF1DD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PRESUPUESTO EJECUTADO 2020</w:t>
            </w:r>
          </w:p>
          <w:p w14:paraId="15DAE2C1" w14:textId="77777777" w:rsidR="004524D3" w:rsidRPr="00CF7790" w:rsidRDefault="004524D3" w:rsidP="00AF1DD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(SOLES)</w:t>
            </w:r>
          </w:p>
        </w:tc>
        <w:tc>
          <w:tcPr>
            <w:tcW w:w="1438"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0939B852" w14:textId="77777777" w:rsidR="004524D3" w:rsidRPr="00CF7790" w:rsidRDefault="004524D3" w:rsidP="00AF1DD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 VAR EJECUCIÓN PRESUPUESTAL 2012 - 2020</w:t>
            </w:r>
          </w:p>
        </w:tc>
      </w:tr>
      <w:tr w:rsidR="004524D3" w:rsidRPr="00CF7790" w14:paraId="46F45808" w14:textId="77777777" w:rsidTr="00AF1DD0">
        <w:trPr>
          <w:trHeight w:val="198"/>
          <w:jc w:val="center"/>
        </w:trPr>
        <w:tc>
          <w:tcPr>
            <w:tcW w:w="1811" w:type="dxa"/>
            <w:tcBorders>
              <w:top w:val="nil"/>
              <w:left w:val="single" w:sz="4" w:space="0" w:color="auto"/>
              <w:bottom w:val="single" w:sz="4" w:space="0" w:color="auto"/>
              <w:right w:val="single" w:sz="4" w:space="0" w:color="auto"/>
            </w:tcBorders>
            <w:shd w:val="clear" w:color="auto" w:fill="FFFFFF" w:themeFill="background1"/>
            <w:vAlign w:val="center"/>
            <w:hideMark/>
          </w:tcPr>
          <w:p w14:paraId="4A27B74A"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Open Sans Light" w:hAnsi="Open Sans Light" w:cs="Open Sans Light"/>
                <w:color w:val="000000"/>
                <w:sz w:val="16"/>
                <w:szCs w:val="16"/>
              </w:rPr>
              <w:t>Focalización territorial de intervenciones</w:t>
            </w:r>
          </w:p>
        </w:tc>
        <w:tc>
          <w:tcPr>
            <w:tcW w:w="1832"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AF801A"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S/D</w:t>
            </w:r>
          </w:p>
        </w:tc>
        <w:tc>
          <w:tcPr>
            <w:tcW w:w="27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7D246B4"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S/D</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EF3889"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S/D</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58D51C"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S/D</w:t>
            </w:r>
          </w:p>
        </w:tc>
      </w:tr>
      <w:tr w:rsidR="004524D3" w:rsidRPr="00CF7790" w14:paraId="1A20F24B" w14:textId="77777777" w:rsidTr="00AF1DD0">
        <w:trPr>
          <w:trHeight w:val="198"/>
          <w:jc w:val="center"/>
        </w:trPr>
        <w:tc>
          <w:tcPr>
            <w:tcW w:w="1811" w:type="dxa"/>
            <w:tcBorders>
              <w:top w:val="nil"/>
              <w:left w:val="single" w:sz="4" w:space="0" w:color="auto"/>
              <w:bottom w:val="single" w:sz="4" w:space="0" w:color="auto"/>
              <w:right w:val="single" w:sz="4" w:space="0" w:color="auto"/>
            </w:tcBorders>
            <w:shd w:val="clear" w:color="auto" w:fill="FFFFFF" w:themeFill="background1"/>
            <w:vAlign w:val="center"/>
            <w:hideMark/>
          </w:tcPr>
          <w:p w14:paraId="26E201FA" w14:textId="77777777" w:rsidR="004524D3" w:rsidRPr="00CF7790" w:rsidRDefault="004524D3" w:rsidP="00AF1DD0">
            <w:pPr>
              <w:spacing w:after="0" w:line="240" w:lineRule="auto"/>
              <w:jc w:val="center"/>
              <w:rPr>
                <w:rFonts w:ascii="Open Sans Light" w:eastAsia="Open Sans Light" w:hAnsi="Open Sans Light" w:cs="Open Sans Light"/>
                <w:sz w:val="16"/>
                <w:szCs w:val="16"/>
              </w:rPr>
            </w:pPr>
            <w:r w:rsidRPr="00CF7790">
              <w:rPr>
                <w:rFonts w:ascii="Open Sans Light" w:eastAsia="Open Sans Light" w:hAnsi="Open Sans Light" w:cs="Open Sans Light"/>
                <w:sz w:val="16"/>
                <w:szCs w:val="16"/>
              </w:rPr>
              <w:t>Implementación del PAN</w:t>
            </w:r>
          </w:p>
        </w:tc>
        <w:tc>
          <w:tcPr>
            <w:tcW w:w="1832"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7289D8"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Se cumplió la implementación del eje</w:t>
            </w:r>
          </w:p>
        </w:tc>
        <w:tc>
          <w:tcPr>
            <w:tcW w:w="27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1EFBE3"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Programa Presupuestal con Enfoque de Resultados - Articulado Nutricional</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B1F3D5" w14:textId="77777777" w:rsidR="004524D3" w:rsidRPr="00CF7790" w:rsidRDefault="004524D3" w:rsidP="00AF1DD0">
            <w:pPr>
              <w:spacing w:after="0" w:line="240" w:lineRule="auto"/>
              <w:jc w:val="center"/>
              <w:rPr>
                <w:rFonts w:ascii="Open Sans Light" w:eastAsia="Times New Roman" w:hAnsi="Open Sans Light" w:cs="Open Sans Light"/>
                <w:sz w:val="16"/>
                <w:szCs w:val="16"/>
              </w:rPr>
            </w:pPr>
            <w:r w:rsidRPr="00CF7790">
              <w:rPr>
                <w:rFonts w:ascii="Open Sans Light" w:eastAsia="Times New Roman" w:hAnsi="Open Sans Light" w:cs="Open Sans Light"/>
                <w:sz w:val="16"/>
                <w:szCs w:val="16"/>
              </w:rPr>
              <w:t>2,310,134,927</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E3E6FB" w14:textId="77777777" w:rsidR="004524D3" w:rsidRPr="00CF7790" w:rsidRDefault="004524D3" w:rsidP="00AF1DD0">
            <w:pPr>
              <w:spacing w:after="0" w:line="240" w:lineRule="auto"/>
              <w:jc w:val="center"/>
              <w:rPr>
                <w:rFonts w:ascii="Open Sans Light" w:eastAsia="Times New Roman" w:hAnsi="Open Sans Light" w:cs="Open Sans Light"/>
                <w:sz w:val="16"/>
                <w:szCs w:val="16"/>
              </w:rPr>
            </w:pPr>
            <w:r w:rsidRPr="00CF7790">
              <w:rPr>
                <w:rFonts w:ascii="Open Sans Light" w:eastAsia="Times New Roman" w:hAnsi="Open Sans Light" w:cs="Open Sans Light"/>
                <w:sz w:val="16"/>
                <w:szCs w:val="16"/>
              </w:rPr>
              <w:t>57%</w:t>
            </w:r>
          </w:p>
        </w:tc>
      </w:tr>
      <w:tr w:rsidR="004524D3" w:rsidRPr="00CF7790" w14:paraId="42480F7F" w14:textId="77777777" w:rsidTr="00AF1DD0">
        <w:trPr>
          <w:trHeight w:val="198"/>
          <w:jc w:val="center"/>
        </w:trPr>
        <w:tc>
          <w:tcPr>
            <w:tcW w:w="1811" w:type="dxa"/>
            <w:tcBorders>
              <w:top w:val="nil"/>
              <w:left w:val="single" w:sz="4" w:space="0" w:color="auto"/>
              <w:bottom w:val="single" w:sz="4" w:space="0" w:color="auto"/>
              <w:right w:val="single" w:sz="4" w:space="0" w:color="auto"/>
            </w:tcBorders>
            <w:shd w:val="clear" w:color="auto" w:fill="FFFFFF" w:themeFill="background1"/>
            <w:vAlign w:val="center"/>
            <w:hideMark/>
          </w:tcPr>
          <w:p w14:paraId="7CFBE92E" w14:textId="77777777" w:rsidR="004524D3" w:rsidRPr="00CF7790" w:rsidRDefault="004524D3" w:rsidP="00AF1DD0">
            <w:pPr>
              <w:spacing w:after="0" w:line="240" w:lineRule="auto"/>
              <w:jc w:val="center"/>
              <w:rPr>
                <w:rFonts w:ascii="Open Sans Light" w:eastAsia="Open Sans Light" w:hAnsi="Open Sans Light" w:cs="Open Sans Light"/>
                <w:sz w:val="16"/>
                <w:szCs w:val="16"/>
              </w:rPr>
            </w:pPr>
            <w:r w:rsidRPr="00CF7790">
              <w:rPr>
                <w:rFonts w:ascii="Open Sans Light" w:eastAsia="Open Sans Light" w:hAnsi="Open Sans Light" w:cs="Open Sans Light"/>
                <w:color w:val="000000"/>
                <w:sz w:val="16"/>
                <w:szCs w:val="16"/>
              </w:rPr>
              <w:t>Intervenciones en el periodo perinatal</w:t>
            </w:r>
          </w:p>
        </w:tc>
        <w:tc>
          <w:tcPr>
            <w:tcW w:w="1832"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2D83EB"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Se cumplió la implementación del eje</w:t>
            </w:r>
          </w:p>
        </w:tc>
        <w:tc>
          <w:tcPr>
            <w:tcW w:w="27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2AB219"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Programa Presupuestal de Salud Materno Neonatal</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FF6037"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505,851,848</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1B16D6"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32%</w:t>
            </w:r>
          </w:p>
        </w:tc>
      </w:tr>
      <w:tr w:rsidR="004524D3" w:rsidRPr="00CF7790" w14:paraId="3874F8DC" w14:textId="77777777" w:rsidTr="00AF1DD0">
        <w:trPr>
          <w:trHeight w:val="198"/>
          <w:jc w:val="center"/>
        </w:trPr>
        <w:tc>
          <w:tcPr>
            <w:tcW w:w="1811" w:type="dxa"/>
            <w:tcBorders>
              <w:top w:val="nil"/>
              <w:left w:val="single" w:sz="4" w:space="0" w:color="auto"/>
              <w:bottom w:val="single" w:sz="4" w:space="0" w:color="auto"/>
              <w:right w:val="single" w:sz="4" w:space="0" w:color="auto"/>
            </w:tcBorders>
            <w:shd w:val="clear" w:color="auto" w:fill="FFFFFF" w:themeFill="background1"/>
            <w:vAlign w:val="center"/>
            <w:hideMark/>
          </w:tcPr>
          <w:p w14:paraId="6187496F" w14:textId="77777777" w:rsidR="004524D3" w:rsidRPr="00CF7790" w:rsidRDefault="004524D3" w:rsidP="00AF1DD0">
            <w:pPr>
              <w:spacing w:after="0" w:line="240" w:lineRule="auto"/>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Intervenciones de sensibilización</w:t>
            </w:r>
          </w:p>
        </w:tc>
        <w:tc>
          <w:tcPr>
            <w:tcW w:w="1832"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192069"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No se cumplió la implementación del eje, pues se redujo la ejecución presupuestal</w:t>
            </w:r>
          </w:p>
        </w:tc>
        <w:tc>
          <w:tcPr>
            <w:tcW w:w="27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FD2400"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Producto: “Familias saludables con conocimientos para el cuidado infantil, lactancia materna exclusiva y la adecuada alimentación y protección del menor de 36 meses” del PAN</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5AF542"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13,138,64</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7FB5F9"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-42%</w:t>
            </w:r>
          </w:p>
        </w:tc>
      </w:tr>
      <w:tr w:rsidR="004524D3" w:rsidRPr="00CF7790" w14:paraId="7772A8EB" w14:textId="77777777" w:rsidTr="00AF1DD0">
        <w:trPr>
          <w:trHeight w:val="198"/>
          <w:jc w:val="center"/>
        </w:trPr>
        <w:tc>
          <w:tcPr>
            <w:tcW w:w="1811"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7BDCDF" w14:textId="77777777" w:rsidR="004524D3" w:rsidRPr="00CF7790" w:rsidRDefault="004524D3" w:rsidP="00AF1DD0">
            <w:pPr>
              <w:spacing w:after="0" w:line="240" w:lineRule="auto"/>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Intervenciones en el ámbito educativo</w:t>
            </w:r>
          </w:p>
        </w:tc>
        <w:tc>
          <w:tcPr>
            <w:tcW w:w="1832"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D545C1"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Se cumplió la implementación del eje</w:t>
            </w:r>
          </w:p>
        </w:tc>
        <w:tc>
          <w:tcPr>
            <w:tcW w:w="274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E1E8F0"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Programa de Alimentación Escolar</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1B2015A" w14:textId="77777777" w:rsidR="004524D3" w:rsidRPr="00CF7790" w:rsidRDefault="004524D3" w:rsidP="00AF1DD0">
            <w:pPr>
              <w:spacing w:after="0" w:line="240" w:lineRule="auto"/>
              <w:jc w:val="center"/>
              <w:rPr>
                <w:rFonts w:ascii="Open Sans Light" w:eastAsia="Times New Roman" w:hAnsi="Open Sans Light" w:cs="Open Sans Light"/>
                <w:color w:val="000000"/>
                <w:sz w:val="16"/>
                <w:szCs w:val="16"/>
              </w:rPr>
            </w:pPr>
            <w:r w:rsidRPr="00CF7790">
              <w:rPr>
                <w:rFonts w:ascii="Open Sans Light" w:hAnsi="Open Sans Light" w:cs="Open Sans Light"/>
                <w:sz w:val="16"/>
                <w:szCs w:val="16"/>
              </w:rPr>
              <w:t>1,202,416,554</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EA9C15" w14:textId="77777777" w:rsidR="004524D3" w:rsidRPr="00CF7790" w:rsidRDefault="004524D3" w:rsidP="00D14279">
            <w:pPr>
              <w:keepNext/>
              <w:spacing w:after="0" w:line="240" w:lineRule="auto"/>
              <w:jc w:val="center"/>
              <w:rPr>
                <w:rFonts w:ascii="Open Sans Light" w:eastAsia="Times New Roman" w:hAnsi="Open Sans Light" w:cs="Open Sans Light"/>
                <w:color w:val="000000"/>
                <w:sz w:val="16"/>
                <w:szCs w:val="16"/>
              </w:rPr>
            </w:pPr>
            <w:r w:rsidRPr="00CF7790">
              <w:rPr>
                <w:rFonts w:ascii="Open Sans Light" w:hAnsi="Open Sans Light" w:cs="Open Sans Light"/>
                <w:sz w:val="16"/>
                <w:szCs w:val="16"/>
              </w:rPr>
              <w:t>25%</w:t>
            </w:r>
          </w:p>
        </w:tc>
      </w:tr>
    </w:tbl>
    <w:p w14:paraId="4DF5D7A6" w14:textId="23BFA323" w:rsidR="00333DF8" w:rsidRPr="00365360" w:rsidRDefault="00333DF8" w:rsidP="00365360">
      <w:pPr>
        <w:pStyle w:val="ESTILOTABLA"/>
        <w:jc w:val="left"/>
        <w:rPr>
          <w:i w:val="0"/>
          <w:iCs/>
        </w:rPr>
      </w:pPr>
    </w:p>
    <w:p w14:paraId="5CE0AF5A" w14:textId="24D48368" w:rsidR="00365360" w:rsidRDefault="00365360" w:rsidP="00BA20F3">
      <w:pPr>
        <w:pStyle w:val="ESTILOTABLA"/>
      </w:pPr>
      <w:r>
        <w:t xml:space="preserve">Tabla A. </w:t>
      </w:r>
      <w:fldSimple w:instr=" SEQ Tabla_A. \* ARABIC ">
        <w:r w:rsidR="00846FB2">
          <w:rPr>
            <w:noProof/>
          </w:rPr>
          <w:t>2</w:t>
        </w:r>
      </w:fldSimple>
    </w:p>
    <w:tbl>
      <w:tblPr>
        <w:tblStyle w:val="6"/>
        <w:tblW w:w="895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9"/>
        <w:gridCol w:w="535"/>
        <w:gridCol w:w="6581"/>
      </w:tblGrid>
      <w:tr w:rsidR="0009331B" w:rsidRPr="00CF7790" w14:paraId="0B107C1A" w14:textId="77777777" w:rsidTr="00333DF8">
        <w:trPr>
          <w:trHeight w:val="285"/>
          <w:tblHeader/>
        </w:trPr>
        <w:tc>
          <w:tcPr>
            <w:tcW w:w="1839" w:type="dxa"/>
            <w:tcBorders>
              <w:top w:val="single" w:sz="4" w:space="0" w:color="000000"/>
              <w:left w:val="single" w:sz="4" w:space="0" w:color="000000"/>
              <w:bottom w:val="single" w:sz="4" w:space="0" w:color="000000"/>
              <w:right w:val="single" w:sz="4" w:space="0" w:color="000000"/>
            </w:tcBorders>
            <w:shd w:val="clear" w:color="auto" w:fill="000000" w:themeFill="text1"/>
            <w:vAlign w:val="center"/>
            <w:hideMark/>
          </w:tcPr>
          <w:p w14:paraId="68C7D6D5" w14:textId="77777777" w:rsidR="0009331B" w:rsidRPr="00CF7790" w:rsidRDefault="0009331B" w:rsidP="00DA42C9">
            <w:pPr>
              <w:jc w:val="center"/>
              <w:rPr>
                <w:rFonts w:ascii="Open Sans Light" w:eastAsia="Open Sans Light" w:hAnsi="Open Sans Light" w:cs="Open Sans Light"/>
                <w:b/>
                <w:bCs/>
                <w:color w:val="FFFFFF" w:themeColor="background1"/>
                <w:sz w:val="16"/>
                <w:szCs w:val="16"/>
              </w:rPr>
            </w:pPr>
            <w:r w:rsidRPr="00CF7790">
              <w:rPr>
                <w:rFonts w:ascii="Open Sans Light" w:eastAsia="Open Sans Light" w:hAnsi="Open Sans Light" w:cs="Open Sans Light"/>
                <w:b/>
                <w:bCs/>
                <w:color w:val="FFFFFF" w:themeColor="background1"/>
                <w:sz w:val="16"/>
                <w:szCs w:val="16"/>
              </w:rPr>
              <w:t>CATEGORIAS</w:t>
            </w:r>
          </w:p>
        </w:tc>
        <w:tc>
          <w:tcPr>
            <w:tcW w:w="53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55898E02" w14:textId="77777777" w:rsidR="0009331B" w:rsidRPr="00CF7790" w:rsidRDefault="0009331B" w:rsidP="00DA42C9">
            <w:pPr>
              <w:jc w:val="center"/>
              <w:rPr>
                <w:rFonts w:ascii="Open Sans Light" w:eastAsia="Open Sans Light" w:hAnsi="Open Sans Light" w:cs="Open Sans Light"/>
                <w:b/>
                <w:bCs/>
                <w:color w:val="FFFFFF" w:themeColor="background1"/>
                <w:sz w:val="16"/>
                <w:szCs w:val="16"/>
              </w:rPr>
            </w:pPr>
            <w:r w:rsidRPr="00CF7790">
              <w:rPr>
                <w:rFonts w:ascii="Open Sans Light" w:eastAsia="Open Sans Light" w:hAnsi="Open Sans Light" w:cs="Open Sans Light"/>
                <w:b/>
                <w:bCs/>
                <w:color w:val="FFFFFF" w:themeColor="background1"/>
                <w:sz w:val="16"/>
                <w:szCs w:val="16"/>
              </w:rPr>
              <w:t>Nro.</w:t>
            </w:r>
          </w:p>
        </w:tc>
        <w:tc>
          <w:tcPr>
            <w:tcW w:w="6581"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1919BA65" w14:textId="14D344D7" w:rsidR="0009331B" w:rsidRPr="00CF7790" w:rsidRDefault="0009331B" w:rsidP="00DA42C9">
            <w:pPr>
              <w:jc w:val="center"/>
              <w:rPr>
                <w:rFonts w:ascii="Open Sans Light" w:eastAsia="Open Sans Light" w:hAnsi="Open Sans Light" w:cs="Open Sans Light"/>
                <w:b/>
                <w:bCs/>
                <w:color w:val="FFFFFF" w:themeColor="background1"/>
                <w:sz w:val="16"/>
                <w:szCs w:val="16"/>
              </w:rPr>
            </w:pPr>
            <w:r w:rsidRPr="00CF7790">
              <w:rPr>
                <w:rFonts w:ascii="Open Sans Light" w:eastAsia="Open Sans Light" w:hAnsi="Open Sans Light" w:cs="Open Sans Light"/>
                <w:b/>
                <w:bCs/>
                <w:color w:val="FFFFFF" w:themeColor="background1"/>
                <w:sz w:val="16"/>
                <w:szCs w:val="16"/>
              </w:rPr>
              <w:t xml:space="preserve">ESTRATEGIAS DE IMPLEMENTACIÓN DEL </w:t>
            </w:r>
            <w:r w:rsidR="00D979D4" w:rsidRPr="00CF7790">
              <w:rPr>
                <w:rFonts w:ascii="Open Sans Light" w:eastAsia="Open Sans Light" w:hAnsi="Open Sans Light" w:cs="Open Sans Light"/>
                <w:b/>
                <w:bCs/>
                <w:color w:val="FFFFFF" w:themeColor="background1"/>
                <w:sz w:val="16"/>
                <w:szCs w:val="16"/>
              </w:rPr>
              <w:t>PNAIA 2012 – 2021</w:t>
            </w:r>
          </w:p>
        </w:tc>
      </w:tr>
      <w:tr w:rsidR="0009331B" w:rsidRPr="00CF7790" w14:paraId="48A26EF5" w14:textId="77777777" w:rsidTr="00333DF8">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hideMark/>
          </w:tcPr>
          <w:p w14:paraId="1275A8E5"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Focalización territorial de intervenciones</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6DD1C8D"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w:t>
            </w:r>
          </w:p>
        </w:tc>
        <w:tc>
          <w:tcPr>
            <w:tcW w:w="6581" w:type="dxa"/>
            <w:tcBorders>
              <w:top w:val="single" w:sz="4" w:space="0" w:color="000000"/>
              <w:left w:val="single" w:sz="4" w:space="0" w:color="000000"/>
              <w:bottom w:val="single" w:sz="4" w:space="0" w:color="000000"/>
              <w:right w:val="single" w:sz="4" w:space="0" w:color="000000"/>
            </w:tcBorders>
            <w:hideMark/>
          </w:tcPr>
          <w:p w14:paraId="2B9D3261"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Priorizar intervenciones en las zonas rurales y las comunidades indígenas y nativas</w:t>
            </w:r>
          </w:p>
        </w:tc>
      </w:tr>
      <w:tr w:rsidR="0009331B" w:rsidRPr="00CF7790" w14:paraId="77BA55B0" w14:textId="77777777" w:rsidTr="00333DF8">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1A877DEE"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5AF6CD87"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2.</w:t>
            </w:r>
          </w:p>
        </w:tc>
        <w:tc>
          <w:tcPr>
            <w:tcW w:w="6581" w:type="dxa"/>
            <w:tcBorders>
              <w:top w:val="single" w:sz="4" w:space="0" w:color="000000"/>
              <w:left w:val="single" w:sz="4" w:space="0" w:color="000000"/>
              <w:bottom w:val="single" w:sz="4" w:space="0" w:color="000000"/>
              <w:right w:val="single" w:sz="4" w:space="0" w:color="000000"/>
            </w:tcBorders>
            <w:hideMark/>
          </w:tcPr>
          <w:p w14:paraId="4937AB7A"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En zonas con altas tasas de desnutrición infantil, activar mecanismos para la entrega de complementos dietéticos, preferentemente elaborados con productos locales, capacitando a las familias en su preparación</w:t>
            </w:r>
          </w:p>
        </w:tc>
      </w:tr>
      <w:tr w:rsidR="0009331B" w:rsidRPr="00CF7790" w14:paraId="79618346" w14:textId="77777777" w:rsidTr="00333DF8">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42763022"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B21511B"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3.</w:t>
            </w:r>
          </w:p>
        </w:tc>
        <w:tc>
          <w:tcPr>
            <w:tcW w:w="6581" w:type="dxa"/>
            <w:tcBorders>
              <w:top w:val="single" w:sz="4" w:space="0" w:color="000000"/>
              <w:left w:val="single" w:sz="4" w:space="0" w:color="000000"/>
              <w:bottom w:val="single" w:sz="4" w:space="0" w:color="000000"/>
              <w:right w:val="single" w:sz="4" w:space="0" w:color="000000"/>
            </w:tcBorders>
            <w:hideMark/>
          </w:tcPr>
          <w:p w14:paraId="583160F5"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Incrementar la oferta de servicios de salud para comunidades indígenas amazónicas, con capacidad resolutiva y pertinencia cultural.</w:t>
            </w:r>
          </w:p>
        </w:tc>
      </w:tr>
      <w:tr w:rsidR="0009331B" w:rsidRPr="00CF7790" w14:paraId="12D74BF8" w14:textId="77777777" w:rsidTr="00333DF8">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hideMark/>
          </w:tcPr>
          <w:p w14:paraId="2CF60054" w14:textId="77777777" w:rsidR="0009331B" w:rsidRPr="00CF7790" w:rsidRDefault="0009331B" w:rsidP="00DA42C9">
            <w:pPr>
              <w:jc w:val="center"/>
              <w:rPr>
                <w:rFonts w:ascii="Open Sans Light" w:eastAsia="Open Sans Light" w:hAnsi="Open Sans Light" w:cs="Open Sans Light"/>
                <w:sz w:val="16"/>
                <w:szCs w:val="16"/>
              </w:rPr>
            </w:pPr>
            <w:r w:rsidRPr="00CF7790">
              <w:rPr>
                <w:rFonts w:ascii="Open Sans Light" w:eastAsia="Open Sans Light" w:hAnsi="Open Sans Light" w:cs="Open Sans Light"/>
                <w:sz w:val="16"/>
                <w:szCs w:val="16"/>
              </w:rPr>
              <w:t>Implementación del Programa Articulado Nutricional (PAN)</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74775F91"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4.</w:t>
            </w:r>
          </w:p>
        </w:tc>
        <w:tc>
          <w:tcPr>
            <w:tcW w:w="6581" w:type="dxa"/>
            <w:tcBorders>
              <w:top w:val="single" w:sz="4" w:space="0" w:color="000000"/>
              <w:left w:val="single" w:sz="4" w:space="0" w:color="000000"/>
              <w:bottom w:val="single" w:sz="4" w:space="0" w:color="000000"/>
              <w:right w:val="single" w:sz="4" w:space="0" w:color="000000"/>
            </w:tcBorders>
            <w:hideMark/>
          </w:tcPr>
          <w:p w14:paraId="229A41B4"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Continuar la implementación del Programa Presupuestal con Enfoque de Resultados - Articulado Nutricional</w:t>
            </w:r>
          </w:p>
        </w:tc>
      </w:tr>
      <w:tr w:rsidR="0009331B" w:rsidRPr="00CF7790" w14:paraId="55277D45" w14:textId="77777777" w:rsidTr="00333DF8">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688A17B2" w14:textId="77777777" w:rsidR="0009331B" w:rsidRPr="00CF7790" w:rsidRDefault="0009331B" w:rsidP="00DA42C9">
            <w:pPr>
              <w:rPr>
                <w:rFonts w:ascii="Open Sans Light" w:eastAsia="Open Sans Light" w:hAnsi="Open Sans Light" w:cs="Open Sans Light"/>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14BC071F"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5.</w:t>
            </w:r>
          </w:p>
        </w:tc>
        <w:tc>
          <w:tcPr>
            <w:tcW w:w="6581" w:type="dxa"/>
            <w:tcBorders>
              <w:top w:val="single" w:sz="4" w:space="0" w:color="000000"/>
              <w:left w:val="single" w:sz="4" w:space="0" w:color="000000"/>
              <w:bottom w:val="single" w:sz="4" w:space="0" w:color="000000"/>
              <w:right w:val="single" w:sz="4" w:space="0" w:color="000000"/>
            </w:tcBorders>
            <w:hideMark/>
          </w:tcPr>
          <w:p w14:paraId="0C69E29E"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Implementar o reforzar los programas vinculados al acceso a agua segura, viviendas saludables, promoción de la salud, cuidado y protección infantil.</w:t>
            </w:r>
          </w:p>
        </w:tc>
      </w:tr>
      <w:tr w:rsidR="0009331B" w:rsidRPr="00CF7790" w14:paraId="281AAB62" w14:textId="77777777" w:rsidTr="00333DF8">
        <w:trPr>
          <w:trHeight w:val="285"/>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66FDB0E8"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Intervenciones en el periodo perinatal</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2D78A340"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6.</w:t>
            </w:r>
          </w:p>
        </w:tc>
        <w:tc>
          <w:tcPr>
            <w:tcW w:w="6581" w:type="dxa"/>
            <w:tcBorders>
              <w:top w:val="single" w:sz="4" w:space="0" w:color="000000"/>
              <w:left w:val="single" w:sz="4" w:space="0" w:color="000000"/>
              <w:bottom w:val="single" w:sz="4" w:space="0" w:color="000000"/>
              <w:right w:val="single" w:sz="4" w:space="0" w:color="000000"/>
            </w:tcBorders>
            <w:hideMark/>
          </w:tcPr>
          <w:p w14:paraId="081BA878"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Aseguramiento del paquete de intervención en el período perinatal</w:t>
            </w:r>
          </w:p>
        </w:tc>
      </w:tr>
      <w:tr w:rsidR="0009331B" w:rsidRPr="00CF7790" w14:paraId="2F08C4D5" w14:textId="77777777" w:rsidTr="00333DF8">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hideMark/>
          </w:tcPr>
          <w:p w14:paraId="222D9363"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Intervenciones de sensibilización</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97C0D10"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7.</w:t>
            </w:r>
          </w:p>
        </w:tc>
        <w:tc>
          <w:tcPr>
            <w:tcW w:w="6581" w:type="dxa"/>
            <w:tcBorders>
              <w:top w:val="single" w:sz="4" w:space="0" w:color="000000"/>
              <w:left w:val="single" w:sz="4" w:space="0" w:color="000000"/>
              <w:bottom w:val="single" w:sz="4" w:space="0" w:color="000000"/>
              <w:right w:val="single" w:sz="4" w:space="0" w:color="000000"/>
            </w:tcBorders>
            <w:hideMark/>
          </w:tcPr>
          <w:p w14:paraId="370DFF52"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Informar, involucrar y comprometer a familias y comunidades en acciones promotoras de la buena nutrición de niñas</w:t>
            </w:r>
            <w:r w:rsidRPr="00CF7790">
              <w:rPr>
                <w:rFonts w:ascii="Open Sans Light" w:hAnsi="Open Sans Light" w:cs="Open Sans Light"/>
                <w:sz w:val="16"/>
                <w:szCs w:val="16"/>
              </w:rPr>
              <w:t xml:space="preserve"> </w:t>
            </w:r>
            <w:r w:rsidRPr="00CF7790">
              <w:rPr>
                <w:rFonts w:ascii="Open Sans Light" w:eastAsia="Open Sans Light" w:hAnsi="Open Sans Light" w:cs="Open Sans Light"/>
                <w:color w:val="000000"/>
                <w:sz w:val="16"/>
                <w:szCs w:val="16"/>
              </w:rPr>
              <w:t>niños, tales como campañas de orientación y capacitación para madres y padres, en espacios diversos como hogares, mercados y supermercados, terminales de transporte aéreo y terrestre, establecimientos públicos y privados, entre otros.</w:t>
            </w:r>
          </w:p>
        </w:tc>
      </w:tr>
      <w:tr w:rsidR="0009331B" w:rsidRPr="00CF7790" w14:paraId="2BF7EE28" w14:textId="77777777" w:rsidTr="00333DF8">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7E73E343"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3EE270E9"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8.</w:t>
            </w:r>
          </w:p>
        </w:tc>
        <w:tc>
          <w:tcPr>
            <w:tcW w:w="6581" w:type="dxa"/>
            <w:tcBorders>
              <w:top w:val="single" w:sz="4" w:space="0" w:color="000000"/>
              <w:left w:val="single" w:sz="4" w:space="0" w:color="000000"/>
              <w:bottom w:val="single" w:sz="4" w:space="0" w:color="000000"/>
              <w:right w:val="single" w:sz="4" w:space="0" w:color="000000"/>
            </w:tcBorders>
            <w:hideMark/>
          </w:tcPr>
          <w:p w14:paraId="10125FF5"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Alianzas estratégicas con medios de comunicación nacionales, regionales y locales, para fomentar la alimentación adecuada de niñas y niños</w:t>
            </w:r>
          </w:p>
        </w:tc>
      </w:tr>
      <w:tr w:rsidR="0009331B" w:rsidRPr="00CF7790" w14:paraId="76D13F6F" w14:textId="77777777" w:rsidTr="00333DF8">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hideMark/>
          </w:tcPr>
          <w:p w14:paraId="61783831"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Intervenciones en el ámbito educativo</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5C108A76"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9.</w:t>
            </w:r>
          </w:p>
        </w:tc>
        <w:tc>
          <w:tcPr>
            <w:tcW w:w="6581" w:type="dxa"/>
            <w:tcBorders>
              <w:top w:val="single" w:sz="4" w:space="0" w:color="000000"/>
              <w:left w:val="single" w:sz="4" w:space="0" w:color="000000"/>
              <w:bottom w:val="single" w:sz="4" w:space="0" w:color="000000"/>
              <w:right w:val="single" w:sz="4" w:space="0" w:color="000000"/>
            </w:tcBorders>
            <w:hideMark/>
          </w:tcPr>
          <w:p w14:paraId="019CC8D5"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Capacitar a docentes y promotores educativos comunitarios en temas de nutrición infantil enfatizando en el conocimiento de aquellos alimentos propios de cada región, para mejorar los conocimientos y prácticas de los padres de familia.</w:t>
            </w:r>
          </w:p>
        </w:tc>
      </w:tr>
      <w:tr w:rsidR="0009331B" w:rsidRPr="00CF7790" w14:paraId="5A001803" w14:textId="77777777" w:rsidTr="00333DF8">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547B7E09"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209EF643"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10.</w:t>
            </w:r>
          </w:p>
        </w:tc>
        <w:tc>
          <w:tcPr>
            <w:tcW w:w="6581" w:type="dxa"/>
            <w:tcBorders>
              <w:top w:val="single" w:sz="4" w:space="0" w:color="000000"/>
              <w:left w:val="single" w:sz="4" w:space="0" w:color="000000"/>
              <w:bottom w:val="single" w:sz="4" w:space="0" w:color="000000"/>
              <w:right w:val="single" w:sz="4" w:space="0" w:color="000000"/>
            </w:tcBorders>
            <w:hideMark/>
          </w:tcPr>
          <w:p w14:paraId="0D5A3DC3" w14:textId="77777777" w:rsidR="0009331B" w:rsidRPr="00CF7790" w:rsidRDefault="0009331B" w:rsidP="00DA42C9">
            <w:pPr>
              <w:jc w:val="both"/>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Introducir en los contenidos educativos de educación inicial, primaria y secundaria, el componente nutricional para promover el consumo de alimentos con los nutrientes requeridos para el desarrollo integral de niñas y niños, ayudando a revalorar nuestra mega diversidad y tradiciones culturales.</w:t>
            </w:r>
          </w:p>
        </w:tc>
      </w:tr>
    </w:tbl>
    <w:p w14:paraId="0E0DE392" w14:textId="77777777" w:rsidR="00BA20F3" w:rsidRPr="00CF7790" w:rsidRDefault="00BA20F3" w:rsidP="00BA20F3">
      <w:pPr>
        <w:pStyle w:val="ESTILOTABLA"/>
        <w:jc w:val="left"/>
      </w:pPr>
    </w:p>
    <w:p w14:paraId="7A797A14" w14:textId="3FFE29B8" w:rsidR="00BA20F3" w:rsidRDefault="00BA20F3" w:rsidP="00BA20F3">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3</w:t>
      </w:r>
      <w:r w:rsidR="00354646">
        <w:rPr>
          <w:noProof/>
        </w:rPr>
        <w:fldChar w:fldCharType="end"/>
      </w:r>
    </w:p>
    <w:tbl>
      <w:tblPr>
        <w:tblW w:w="6441" w:type="dxa"/>
        <w:jc w:val="center"/>
        <w:tblCellMar>
          <w:left w:w="70" w:type="dxa"/>
          <w:right w:w="70" w:type="dxa"/>
        </w:tblCellMar>
        <w:tblLook w:val="04A0" w:firstRow="1" w:lastRow="0" w:firstColumn="1" w:lastColumn="0" w:noHBand="0" w:noVBand="1"/>
      </w:tblPr>
      <w:tblGrid>
        <w:gridCol w:w="2577"/>
        <w:gridCol w:w="1288"/>
        <w:gridCol w:w="1288"/>
        <w:gridCol w:w="1288"/>
      </w:tblGrid>
      <w:tr w:rsidR="0009331B" w:rsidRPr="00CF7790" w14:paraId="56B34165" w14:textId="77777777" w:rsidTr="00D654C4">
        <w:trPr>
          <w:trHeight w:val="259"/>
          <w:tblHeader/>
          <w:jc w:val="center"/>
        </w:trPr>
        <w:tc>
          <w:tcPr>
            <w:tcW w:w="2577"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62136B57" w14:textId="77777777" w:rsidR="0009331B" w:rsidRPr="00CF7790" w:rsidRDefault="0009331B" w:rsidP="00D654C4">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lastRenderedPageBreak/>
              <w:t>CATEGORÍA</w:t>
            </w:r>
          </w:p>
        </w:tc>
        <w:tc>
          <w:tcPr>
            <w:tcW w:w="1288"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1E09E37E" w14:textId="77777777" w:rsidR="0009331B" w:rsidRPr="00CF7790" w:rsidRDefault="0009331B" w:rsidP="00D654C4">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2012</w:t>
            </w:r>
          </w:p>
        </w:tc>
        <w:tc>
          <w:tcPr>
            <w:tcW w:w="1288"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7C69080D" w14:textId="77777777" w:rsidR="0009331B" w:rsidRPr="00CF7790" w:rsidRDefault="0009331B" w:rsidP="00D654C4">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2020</w:t>
            </w:r>
          </w:p>
        </w:tc>
        <w:tc>
          <w:tcPr>
            <w:tcW w:w="1288"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6466CC2A" w14:textId="77777777" w:rsidR="0009331B" w:rsidRPr="00CF7790" w:rsidRDefault="0009331B" w:rsidP="00D654C4">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 VAR</w:t>
            </w:r>
          </w:p>
        </w:tc>
      </w:tr>
      <w:tr w:rsidR="0009331B" w:rsidRPr="00CF7790" w14:paraId="7EB4A0D9" w14:textId="77777777" w:rsidTr="00D654C4">
        <w:trPr>
          <w:trHeight w:val="259"/>
          <w:jc w:val="center"/>
        </w:trPr>
        <w:tc>
          <w:tcPr>
            <w:tcW w:w="25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E0AD3D" w14:textId="77777777" w:rsidR="0009331B" w:rsidRPr="00CF7790" w:rsidRDefault="0009331B" w:rsidP="00D654C4">
            <w:pPr>
              <w:spacing w:after="0" w:line="240" w:lineRule="auto"/>
              <w:jc w:val="center"/>
              <w:rPr>
                <w:rFonts w:ascii="Open Sans Light" w:eastAsia="Times New Roman" w:hAnsi="Open Sans Light" w:cs="Open Sans Light"/>
                <w:b/>
                <w:bCs/>
                <w:sz w:val="16"/>
                <w:szCs w:val="16"/>
              </w:rPr>
            </w:pPr>
            <w:r w:rsidRPr="00CF7790">
              <w:rPr>
                <w:rFonts w:ascii="Open Sans Light" w:eastAsia="Times New Roman" w:hAnsi="Open Sans Light" w:cs="Open Sans Light"/>
                <w:b/>
                <w:bCs/>
                <w:sz w:val="16"/>
                <w:szCs w:val="16"/>
              </w:rPr>
              <w:t>NACIONAL</w:t>
            </w:r>
          </w:p>
        </w:tc>
        <w:tc>
          <w:tcPr>
            <w:tcW w:w="128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62C612" w14:textId="77777777" w:rsidR="0009331B" w:rsidRPr="00CF7790" w:rsidRDefault="0009331B" w:rsidP="00D654C4">
            <w:pPr>
              <w:spacing w:after="0" w:line="240" w:lineRule="auto"/>
              <w:jc w:val="center"/>
              <w:rPr>
                <w:rFonts w:ascii="Open Sans Light" w:eastAsia="Times New Roman" w:hAnsi="Open Sans Light" w:cs="Open Sans Light"/>
                <w:b/>
                <w:bCs/>
                <w:sz w:val="16"/>
                <w:szCs w:val="16"/>
              </w:rPr>
            </w:pPr>
            <w:r w:rsidRPr="00CF7790">
              <w:rPr>
                <w:rFonts w:ascii="Open Sans Light" w:eastAsia="Times New Roman" w:hAnsi="Open Sans Light" w:cs="Open Sans Light"/>
                <w:b/>
                <w:bCs/>
                <w:sz w:val="16"/>
                <w:szCs w:val="16"/>
              </w:rPr>
              <w:t>1,466,845,374</w:t>
            </w:r>
          </w:p>
        </w:tc>
        <w:tc>
          <w:tcPr>
            <w:tcW w:w="128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5549E6" w14:textId="77777777" w:rsidR="0009331B" w:rsidRPr="00CF7790" w:rsidRDefault="0009331B" w:rsidP="00D654C4">
            <w:pPr>
              <w:spacing w:after="0" w:line="240" w:lineRule="auto"/>
              <w:jc w:val="center"/>
              <w:rPr>
                <w:rFonts w:ascii="Open Sans Light" w:eastAsia="Times New Roman" w:hAnsi="Open Sans Light" w:cs="Open Sans Light"/>
                <w:b/>
                <w:bCs/>
                <w:sz w:val="16"/>
                <w:szCs w:val="16"/>
              </w:rPr>
            </w:pPr>
            <w:r w:rsidRPr="00CF7790">
              <w:rPr>
                <w:rFonts w:ascii="Open Sans Light" w:eastAsia="Times New Roman" w:hAnsi="Open Sans Light" w:cs="Open Sans Light"/>
                <w:b/>
                <w:bCs/>
                <w:sz w:val="16"/>
                <w:szCs w:val="16"/>
              </w:rPr>
              <w:t>2,310,134,927</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A00E096" w14:textId="77777777" w:rsidR="0009331B" w:rsidRPr="00CF7790" w:rsidRDefault="0009331B" w:rsidP="00D654C4">
            <w:pPr>
              <w:spacing w:after="0" w:line="240" w:lineRule="auto"/>
              <w:jc w:val="center"/>
              <w:rPr>
                <w:rFonts w:ascii="Open Sans Light" w:eastAsia="Times New Roman" w:hAnsi="Open Sans Light" w:cs="Open Sans Light"/>
                <w:b/>
                <w:bCs/>
                <w:sz w:val="16"/>
                <w:szCs w:val="16"/>
              </w:rPr>
            </w:pPr>
            <w:r w:rsidRPr="00CF7790">
              <w:rPr>
                <w:rFonts w:ascii="Open Sans Light" w:eastAsia="Times New Roman" w:hAnsi="Open Sans Light" w:cs="Open Sans Light"/>
                <w:b/>
                <w:bCs/>
                <w:sz w:val="16"/>
                <w:szCs w:val="16"/>
              </w:rPr>
              <w:t>57%</w:t>
            </w:r>
          </w:p>
        </w:tc>
      </w:tr>
      <w:tr w:rsidR="0009331B" w:rsidRPr="00CF7790" w14:paraId="72E14A2F"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728B942C" w14:textId="24DEBACA"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AMAZONAS</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6FC05930"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35,820,634</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412A745C"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70,463,427</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BEB2E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97%</w:t>
            </w:r>
          </w:p>
        </w:tc>
      </w:tr>
      <w:tr w:rsidR="0009331B" w:rsidRPr="00CF7790" w14:paraId="5B6A13FA"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47E7F538" w14:textId="0FB0A3F6"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ANCASH</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28B740D5"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65,425,724</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193EFCE7"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88,768,028</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078F55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36%</w:t>
            </w:r>
          </w:p>
        </w:tc>
      </w:tr>
      <w:tr w:rsidR="0009331B" w:rsidRPr="00CF7790" w14:paraId="66EBE888"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0F8D4F31" w14:textId="068EE046"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APURIMAC</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3B23B775"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51,353,736</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6441E73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86,088,733</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50B99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68%</w:t>
            </w:r>
          </w:p>
        </w:tc>
      </w:tr>
      <w:tr w:rsidR="0009331B" w:rsidRPr="00CF7790" w14:paraId="622FFFA4"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0344A917" w14:textId="323E90FB"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AREQUIPA</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7C17783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37,487,268</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2B6CFF2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78,858,360</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84514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110%</w:t>
            </w:r>
          </w:p>
        </w:tc>
      </w:tr>
      <w:tr w:rsidR="0009331B" w:rsidRPr="00CF7790" w14:paraId="60025E17"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666F1C67" w14:textId="254CC5D3"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AYACUCHO</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4FA195DA"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75,639,534</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04FE9E65"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99,615,966</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0F462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32%</w:t>
            </w:r>
          </w:p>
        </w:tc>
      </w:tr>
      <w:tr w:rsidR="0009331B" w:rsidRPr="00CF7790" w14:paraId="6551ACFC"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55E08D18" w14:textId="0D4E04ED"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CAJAMARCA</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2291AB6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104,031,837</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49699EE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152,413,990</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00FF5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47%</w:t>
            </w:r>
          </w:p>
        </w:tc>
      </w:tr>
      <w:tr w:rsidR="0009331B" w:rsidRPr="00CF7790" w14:paraId="66A73480"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096638DC"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CALLAO</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31A0065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35,794,367</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631F4CA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43,201,773</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CDA7B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21%</w:t>
            </w:r>
          </w:p>
        </w:tc>
      </w:tr>
      <w:tr w:rsidR="0009331B" w:rsidRPr="00CF7790" w14:paraId="6527F9B0"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95EE5D" w14:textId="051FA05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CUSCO</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0DE633CA"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78,225,283</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535D833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98,831,276</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8046C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26%</w:t>
            </w:r>
          </w:p>
        </w:tc>
      </w:tr>
      <w:tr w:rsidR="0009331B" w:rsidRPr="00CF7790" w14:paraId="66D20AFE"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49A2B405" w14:textId="2956CB7A"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HUANCAVELICA</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01E110E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53,321,398</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3252A67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87,664,180</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7C90BA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64%</w:t>
            </w:r>
          </w:p>
        </w:tc>
      </w:tr>
      <w:tr w:rsidR="0009331B" w:rsidRPr="00CF7790" w14:paraId="41DCF966"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22FCAAFC" w14:textId="01C8BEB2"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HUANUCO</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523850E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57,050,047</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5585639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106,821,668</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4AB3B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87%</w:t>
            </w:r>
          </w:p>
        </w:tc>
      </w:tr>
      <w:tr w:rsidR="0009331B" w:rsidRPr="00CF7790" w14:paraId="02FCE214"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5558A561" w14:textId="0D486F0F"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ICA</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44CD669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37,688,971</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16E554F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55,991,194</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FA7F9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49%</w:t>
            </w:r>
          </w:p>
        </w:tc>
      </w:tr>
      <w:tr w:rsidR="0009331B" w:rsidRPr="00CF7790" w14:paraId="5FC510DE"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79CB3E" w14:textId="2ED9555D"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JUNIN</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6D76E94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62,701,729</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05E0653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92,186,612</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98DF8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47%</w:t>
            </w:r>
          </w:p>
        </w:tc>
      </w:tr>
      <w:tr w:rsidR="0009331B" w:rsidRPr="00CF7790" w14:paraId="6C756347"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2624FD07" w14:textId="62ACA31F"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LA LIBERTAD</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740BA9F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67,965,784</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7E8554C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107,885,660</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C13537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59%</w:t>
            </w:r>
          </w:p>
        </w:tc>
      </w:tr>
      <w:tr w:rsidR="0009331B" w:rsidRPr="00CF7790" w14:paraId="12CB014D"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6E8856" w14:textId="13FABEC2"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LAMBAYEQUE</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21713AAA"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38,331,311</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0FE4432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58,449,139</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F02BB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52%</w:t>
            </w:r>
          </w:p>
        </w:tc>
      </w:tr>
      <w:tr w:rsidR="0009331B" w:rsidRPr="00CF7790" w14:paraId="1061C113"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10FDA252" w14:textId="1574D638"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LIMA</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6D48D1D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280,939,927</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1DA826B0"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478,154,336</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E0FD4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70%</w:t>
            </w:r>
          </w:p>
        </w:tc>
      </w:tr>
      <w:tr w:rsidR="0009331B" w:rsidRPr="00CF7790" w14:paraId="4D286534"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1138AA6E" w14:textId="3E4AEF98"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LORETO</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45EEFE1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59,296,928</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7C96F180"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86,082,523</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BBB555"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45%</w:t>
            </w:r>
          </w:p>
        </w:tc>
      </w:tr>
      <w:tr w:rsidR="0009331B" w:rsidRPr="00CF7790" w14:paraId="2B175582"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21BF683D" w14:textId="5BD67E79"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MADRE DE DIOS</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470EB8A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10,168,813</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1ACF16B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15,555,869</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A66257"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53%</w:t>
            </w:r>
          </w:p>
        </w:tc>
      </w:tr>
      <w:tr w:rsidR="0009331B" w:rsidRPr="00CF7790" w14:paraId="7ACD8268"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39383504" w14:textId="4EBEC325"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MOQUEGUA</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3C56BDA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17,132,786</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66B6C2C0"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20,156,986</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5A2F1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18%</w:t>
            </w:r>
          </w:p>
        </w:tc>
      </w:tr>
      <w:tr w:rsidR="0009331B" w:rsidRPr="00CF7790" w14:paraId="3120A452"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3910D60E" w14:textId="07513E75"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PASCO</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55F09DB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21,941,980</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0AE066E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27,744,081</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D78BF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26%</w:t>
            </w:r>
          </w:p>
        </w:tc>
      </w:tr>
      <w:tr w:rsidR="0009331B" w:rsidRPr="00CF7790" w14:paraId="6831353B"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4C4CBCB9" w14:textId="52D5C414"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PIURA</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36F0E45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83,035,399</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5275B7D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165,493,470</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1AE78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99%</w:t>
            </w:r>
          </w:p>
        </w:tc>
      </w:tr>
      <w:tr w:rsidR="0009331B" w:rsidRPr="00CF7790" w14:paraId="78A8E69D"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42D3F6B2" w14:textId="6DD0083B"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PUNO</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58ABD17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79,323,282</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528FDB6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113,915,425</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3E022E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44%</w:t>
            </w:r>
          </w:p>
        </w:tc>
      </w:tr>
      <w:tr w:rsidR="0009331B" w:rsidRPr="00CF7790" w14:paraId="32A2A804"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A41371" w14:textId="60D8BEE3"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SAN MARTIN</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6B8A9A0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44,910,976</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3F43354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61,529,214</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5F49E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37%</w:t>
            </w:r>
          </w:p>
        </w:tc>
      </w:tr>
      <w:tr w:rsidR="0009331B" w:rsidRPr="00CF7790" w14:paraId="21F0D56D" w14:textId="77777777" w:rsidTr="00D654C4">
        <w:trPr>
          <w:trHeight w:val="259"/>
          <w:jc w:val="center"/>
        </w:trPr>
        <w:tc>
          <w:tcPr>
            <w:tcW w:w="2577" w:type="dxa"/>
            <w:tcBorders>
              <w:top w:val="nil"/>
              <w:left w:val="single" w:sz="4" w:space="0" w:color="auto"/>
              <w:bottom w:val="single" w:sz="4" w:space="0" w:color="auto"/>
              <w:right w:val="single" w:sz="4" w:space="0" w:color="auto"/>
            </w:tcBorders>
            <w:shd w:val="clear" w:color="auto" w:fill="FFFFFF" w:themeFill="background1"/>
            <w:vAlign w:val="center"/>
            <w:hideMark/>
          </w:tcPr>
          <w:p w14:paraId="2514626B" w14:textId="761FE340"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TACNA</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1A1068D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19,159,323</w:t>
            </w:r>
          </w:p>
        </w:tc>
        <w:tc>
          <w:tcPr>
            <w:tcW w:w="1288" w:type="dxa"/>
            <w:tcBorders>
              <w:top w:val="nil"/>
              <w:left w:val="nil"/>
              <w:bottom w:val="single" w:sz="4" w:space="0" w:color="auto"/>
              <w:right w:val="single" w:sz="4" w:space="0" w:color="auto"/>
            </w:tcBorders>
            <w:shd w:val="clear" w:color="auto" w:fill="FFFFFF" w:themeFill="background1"/>
            <w:noWrap/>
            <w:vAlign w:val="center"/>
            <w:hideMark/>
          </w:tcPr>
          <w:p w14:paraId="0293661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36,892,629</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BF38B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93%</w:t>
            </w:r>
          </w:p>
        </w:tc>
      </w:tr>
      <w:tr w:rsidR="0009331B" w:rsidRPr="00CF7790" w14:paraId="5BA128BE" w14:textId="77777777" w:rsidTr="00D654C4">
        <w:trPr>
          <w:trHeight w:val="259"/>
          <w:jc w:val="center"/>
        </w:trPr>
        <w:tc>
          <w:tcPr>
            <w:tcW w:w="25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387F81" w14:textId="405E17D2"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TUMBES</w:t>
            </w:r>
          </w:p>
        </w:tc>
        <w:tc>
          <w:tcPr>
            <w:tcW w:w="128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804797"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16,281,961</w:t>
            </w:r>
          </w:p>
        </w:tc>
        <w:tc>
          <w:tcPr>
            <w:tcW w:w="128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472985"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25,108,000</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10BFF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54%</w:t>
            </w:r>
          </w:p>
        </w:tc>
      </w:tr>
      <w:tr w:rsidR="0009331B" w:rsidRPr="00CF7790" w14:paraId="2344D7EC" w14:textId="77777777" w:rsidTr="00D654C4">
        <w:trPr>
          <w:trHeight w:val="259"/>
          <w:jc w:val="center"/>
        </w:trPr>
        <w:tc>
          <w:tcPr>
            <w:tcW w:w="25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A4DBD6" w14:textId="74C499A5"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UCAYALI</w:t>
            </w:r>
          </w:p>
        </w:tc>
        <w:tc>
          <w:tcPr>
            <w:tcW w:w="128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92804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33,816,378</w:t>
            </w:r>
          </w:p>
        </w:tc>
        <w:tc>
          <w:tcPr>
            <w:tcW w:w="128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4FEDFA"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52,262,388</w:t>
            </w:r>
          </w:p>
        </w:tc>
        <w:tc>
          <w:tcPr>
            <w:tcW w:w="12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F693C8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55%</w:t>
            </w:r>
          </w:p>
        </w:tc>
      </w:tr>
      <w:tr w:rsidR="0009331B" w:rsidRPr="00CF7790" w14:paraId="04F8CCC5" w14:textId="77777777" w:rsidTr="00D654C4">
        <w:trPr>
          <w:trHeight w:val="259"/>
          <w:jc w:val="center"/>
        </w:trPr>
        <w:tc>
          <w:tcPr>
            <w:tcW w:w="2577" w:type="dxa"/>
            <w:tcBorders>
              <w:top w:val="single" w:sz="4" w:space="0" w:color="auto"/>
              <w:left w:val="nil"/>
              <w:bottom w:val="nil"/>
              <w:right w:val="nil"/>
            </w:tcBorders>
            <w:shd w:val="clear" w:color="auto" w:fill="FFFFFF" w:themeFill="background1"/>
            <w:vAlign w:val="center"/>
            <w:hideMark/>
          </w:tcPr>
          <w:p w14:paraId="231C4563"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Fuente: SIAF</w:t>
            </w:r>
          </w:p>
        </w:tc>
        <w:tc>
          <w:tcPr>
            <w:tcW w:w="1288" w:type="dxa"/>
            <w:tcBorders>
              <w:top w:val="single" w:sz="4" w:space="0" w:color="auto"/>
              <w:left w:val="nil"/>
              <w:bottom w:val="nil"/>
              <w:right w:val="nil"/>
            </w:tcBorders>
            <w:shd w:val="clear" w:color="auto" w:fill="FFFFFF" w:themeFill="background1"/>
            <w:noWrap/>
            <w:vAlign w:val="center"/>
          </w:tcPr>
          <w:p w14:paraId="0E9EB9D7"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p>
        </w:tc>
        <w:tc>
          <w:tcPr>
            <w:tcW w:w="1288" w:type="dxa"/>
            <w:tcBorders>
              <w:top w:val="single" w:sz="4" w:space="0" w:color="auto"/>
              <w:left w:val="nil"/>
              <w:bottom w:val="nil"/>
              <w:right w:val="nil"/>
            </w:tcBorders>
            <w:shd w:val="clear" w:color="auto" w:fill="FFFFFF" w:themeFill="background1"/>
            <w:noWrap/>
            <w:vAlign w:val="center"/>
          </w:tcPr>
          <w:p w14:paraId="7A4C1C8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p>
        </w:tc>
        <w:tc>
          <w:tcPr>
            <w:tcW w:w="1288" w:type="dxa"/>
            <w:tcBorders>
              <w:top w:val="single" w:sz="4" w:space="0" w:color="auto"/>
              <w:left w:val="nil"/>
              <w:bottom w:val="nil"/>
              <w:right w:val="nil"/>
            </w:tcBorders>
            <w:shd w:val="clear" w:color="auto" w:fill="FFFFFF" w:themeFill="background1"/>
            <w:noWrap/>
            <w:vAlign w:val="center"/>
          </w:tcPr>
          <w:p w14:paraId="54EF8CC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p>
        </w:tc>
      </w:tr>
    </w:tbl>
    <w:p w14:paraId="44510A68" w14:textId="749E209E" w:rsidR="00961571" w:rsidRPr="00CF7790" w:rsidRDefault="00961571" w:rsidP="004D0E60">
      <w:pPr>
        <w:pStyle w:val="ESTILOTABLA"/>
        <w:jc w:val="left"/>
      </w:pPr>
    </w:p>
    <w:p w14:paraId="3AD43EB4" w14:textId="7A6A95D3" w:rsidR="00BA20F3" w:rsidRDefault="00BA20F3" w:rsidP="00BA20F3">
      <w:pPr>
        <w:pStyle w:val="ESTILOTABLA"/>
      </w:pPr>
      <w:r>
        <w:t xml:space="preserve">Tabla A. </w:t>
      </w:r>
      <w:fldSimple w:instr=" SEQ Tabla_A. \* ARABIC ">
        <w:r w:rsidR="00846FB2">
          <w:rPr>
            <w:noProof/>
          </w:rPr>
          <w:t>4</w:t>
        </w:r>
      </w:fldSimple>
    </w:p>
    <w:tbl>
      <w:tblPr>
        <w:tblW w:w="8494" w:type="dxa"/>
        <w:tblCellMar>
          <w:left w:w="70" w:type="dxa"/>
          <w:right w:w="70" w:type="dxa"/>
        </w:tblCellMar>
        <w:tblLook w:val="04A0" w:firstRow="1" w:lastRow="0" w:firstColumn="1" w:lastColumn="0" w:noHBand="0" w:noVBand="1"/>
      </w:tblPr>
      <w:tblGrid>
        <w:gridCol w:w="1165"/>
        <w:gridCol w:w="948"/>
        <w:gridCol w:w="948"/>
        <w:gridCol w:w="535"/>
        <w:gridCol w:w="893"/>
        <w:gridCol w:w="893"/>
        <w:gridCol w:w="596"/>
        <w:gridCol w:w="948"/>
        <w:gridCol w:w="948"/>
        <w:gridCol w:w="620"/>
      </w:tblGrid>
      <w:tr w:rsidR="0009331B" w:rsidRPr="00CF7790" w14:paraId="0B6C93C3" w14:textId="77777777" w:rsidTr="00CF7790">
        <w:trPr>
          <w:trHeight w:val="258"/>
          <w:tblHeader/>
        </w:trPr>
        <w:tc>
          <w:tcPr>
            <w:tcW w:w="1165" w:type="dxa"/>
            <w:vMerge w:val="restart"/>
            <w:tcBorders>
              <w:top w:val="single" w:sz="4" w:space="0" w:color="auto"/>
              <w:left w:val="single" w:sz="4" w:space="0" w:color="auto"/>
              <w:bottom w:val="single" w:sz="4" w:space="0" w:color="000000"/>
              <w:right w:val="single" w:sz="4" w:space="0" w:color="auto"/>
            </w:tcBorders>
            <w:shd w:val="clear" w:color="auto" w:fill="000000" w:themeFill="text1"/>
            <w:vAlign w:val="center"/>
            <w:hideMark/>
          </w:tcPr>
          <w:p w14:paraId="32776E00"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CATEGORIA</w:t>
            </w:r>
          </w:p>
        </w:tc>
        <w:tc>
          <w:tcPr>
            <w:tcW w:w="2431" w:type="dxa"/>
            <w:gridSpan w:val="3"/>
            <w:tcBorders>
              <w:top w:val="single" w:sz="4" w:space="0" w:color="auto"/>
              <w:left w:val="nil"/>
              <w:bottom w:val="single" w:sz="4" w:space="0" w:color="auto"/>
              <w:right w:val="single" w:sz="4" w:space="0" w:color="000000"/>
            </w:tcBorders>
            <w:shd w:val="clear" w:color="auto" w:fill="000000" w:themeFill="text1"/>
            <w:noWrap/>
            <w:vAlign w:val="center"/>
            <w:hideMark/>
          </w:tcPr>
          <w:p w14:paraId="2AC3BE75"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ATENCION DEL PARTO NORMAL</w:t>
            </w:r>
          </w:p>
        </w:tc>
        <w:tc>
          <w:tcPr>
            <w:tcW w:w="2382" w:type="dxa"/>
            <w:gridSpan w:val="3"/>
            <w:tcBorders>
              <w:top w:val="single" w:sz="4" w:space="0" w:color="auto"/>
              <w:left w:val="nil"/>
              <w:bottom w:val="single" w:sz="4" w:space="0" w:color="auto"/>
              <w:right w:val="single" w:sz="4" w:space="0" w:color="000000"/>
            </w:tcBorders>
            <w:shd w:val="clear" w:color="auto" w:fill="000000" w:themeFill="text1"/>
            <w:noWrap/>
            <w:vAlign w:val="center"/>
            <w:hideMark/>
          </w:tcPr>
          <w:p w14:paraId="326E5AC8"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ATENCION DEL PARTO COMPLICADO NO QUIRURGICO</w:t>
            </w:r>
          </w:p>
        </w:tc>
        <w:tc>
          <w:tcPr>
            <w:tcW w:w="2516" w:type="dxa"/>
            <w:gridSpan w:val="3"/>
            <w:tcBorders>
              <w:top w:val="single" w:sz="4" w:space="0" w:color="auto"/>
              <w:left w:val="nil"/>
              <w:bottom w:val="single" w:sz="4" w:space="0" w:color="auto"/>
              <w:right w:val="single" w:sz="4" w:space="0" w:color="000000"/>
            </w:tcBorders>
            <w:shd w:val="clear" w:color="auto" w:fill="000000" w:themeFill="text1"/>
            <w:noWrap/>
            <w:vAlign w:val="center"/>
            <w:hideMark/>
          </w:tcPr>
          <w:p w14:paraId="4E9D810C"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ATENCION DEL PARTO COMPLICADO QUIRURGICO</w:t>
            </w:r>
          </w:p>
        </w:tc>
      </w:tr>
      <w:tr w:rsidR="0009331B" w:rsidRPr="00CF7790" w14:paraId="7418232A" w14:textId="77777777" w:rsidTr="00CF7790">
        <w:trPr>
          <w:trHeight w:val="258"/>
          <w:tblHead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5F6D509E" w14:textId="77777777" w:rsidR="0009331B" w:rsidRPr="00CF7790" w:rsidRDefault="0009331B" w:rsidP="00CF7790">
            <w:pPr>
              <w:spacing w:after="0"/>
              <w:jc w:val="center"/>
              <w:rPr>
                <w:rFonts w:ascii="Open Sans Light" w:eastAsia="Times New Roman" w:hAnsi="Open Sans Light" w:cs="Open Sans Light"/>
                <w:color w:val="FFFFFF" w:themeColor="background1"/>
                <w:sz w:val="14"/>
                <w:szCs w:val="14"/>
              </w:rPr>
            </w:pPr>
          </w:p>
        </w:tc>
        <w:tc>
          <w:tcPr>
            <w:tcW w:w="948" w:type="dxa"/>
            <w:tcBorders>
              <w:top w:val="nil"/>
              <w:left w:val="nil"/>
              <w:bottom w:val="single" w:sz="4" w:space="0" w:color="auto"/>
              <w:right w:val="single" w:sz="4" w:space="0" w:color="auto"/>
            </w:tcBorders>
            <w:shd w:val="clear" w:color="auto" w:fill="000000" w:themeFill="text1"/>
            <w:noWrap/>
            <w:vAlign w:val="center"/>
            <w:hideMark/>
          </w:tcPr>
          <w:p w14:paraId="7FBAA0C0"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2012</w:t>
            </w:r>
          </w:p>
        </w:tc>
        <w:tc>
          <w:tcPr>
            <w:tcW w:w="948" w:type="dxa"/>
            <w:tcBorders>
              <w:top w:val="nil"/>
              <w:left w:val="nil"/>
              <w:bottom w:val="single" w:sz="4" w:space="0" w:color="auto"/>
              <w:right w:val="single" w:sz="4" w:space="0" w:color="auto"/>
            </w:tcBorders>
            <w:shd w:val="clear" w:color="auto" w:fill="000000" w:themeFill="text1"/>
            <w:noWrap/>
            <w:vAlign w:val="center"/>
            <w:hideMark/>
          </w:tcPr>
          <w:p w14:paraId="35B5E069"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2020</w:t>
            </w:r>
          </w:p>
        </w:tc>
        <w:tc>
          <w:tcPr>
            <w:tcW w:w="535" w:type="dxa"/>
            <w:tcBorders>
              <w:top w:val="nil"/>
              <w:left w:val="nil"/>
              <w:bottom w:val="single" w:sz="4" w:space="0" w:color="auto"/>
              <w:right w:val="single" w:sz="4" w:space="0" w:color="auto"/>
            </w:tcBorders>
            <w:shd w:val="clear" w:color="auto" w:fill="000000" w:themeFill="text1"/>
            <w:noWrap/>
            <w:vAlign w:val="center"/>
            <w:hideMark/>
          </w:tcPr>
          <w:p w14:paraId="1D6EDCF6"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 VAR</w:t>
            </w:r>
          </w:p>
        </w:tc>
        <w:tc>
          <w:tcPr>
            <w:tcW w:w="893" w:type="dxa"/>
            <w:tcBorders>
              <w:top w:val="nil"/>
              <w:left w:val="nil"/>
              <w:bottom w:val="single" w:sz="4" w:space="0" w:color="auto"/>
              <w:right w:val="single" w:sz="4" w:space="0" w:color="auto"/>
            </w:tcBorders>
            <w:shd w:val="clear" w:color="auto" w:fill="000000" w:themeFill="text1"/>
            <w:noWrap/>
            <w:vAlign w:val="center"/>
            <w:hideMark/>
          </w:tcPr>
          <w:p w14:paraId="411F816A"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2012</w:t>
            </w:r>
          </w:p>
        </w:tc>
        <w:tc>
          <w:tcPr>
            <w:tcW w:w="893" w:type="dxa"/>
            <w:tcBorders>
              <w:top w:val="nil"/>
              <w:left w:val="nil"/>
              <w:bottom w:val="single" w:sz="4" w:space="0" w:color="auto"/>
              <w:right w:val="single" w:sz="4" w:space="0" w:color="auto"/>
            </w:tcBorders>
            <w:shd w:val="clear" w:color="auto" w:fill="000000" w:themeFill="text1"/>
            <w:noWrap/>
            <w:vAlign w:val="center"/>
            <w:hideMark/>
          </w:tcPr>
          <w:p w14:paraId="70B49440"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2020</w:t>
            </w:r>
          </w:p>
        </w:tc>
        <w:tc>
          <w:tcPr>
            <w:tcW w:w="596" w:type="dxa"/>
            <w:tcBorders>
              <w:top w:val="nil"/>
              <w:left w:val="nil"/>
              <w:bottom w:val="single" w:sz="4" w:space="0" w:color="auto"/>
              <w:right w:val="single" w:sz="4" w:space="0" w:color="auto"/>
            </w:tcBorders>
            <w:shd w:val="clear" w:color="auto" w:fill="000000" w:themeFill="text1"/>
            <w:noWrap/>
            <w:vAlign w:val="center"/>
            <w:hideMark/>
          </w:tcPr>
          <w:p w14:paraId="5AA845CC"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 VAR</w:t>
            </w:r>
          </w:p>
        </w:tc>
        <w:tc>
          <w:tcPr>
            <w:tcW w:w="948" w:type="dxa"/>
            <w:tcBorders>
              <w:top w:val="nil"/>
              <w:left w:val="nil"/>
              <w:bottom w:val="single" w:sz="4" w:space="0" w:color="auto"/>
              <w:right w:val="single" w:sz="4" w:space="0" w:color="auto"/>
            </w:tcBorders>
            <w:shd w:val="clear" w:color="auto" w:fill="000000" w:themeFill="text1"/>
            <w:noWrap/>
            <w:vAlign w:val="center"/>
            <w:hideMark/>
          </w:tcPr>
          <w:p w14:paraId="048A8857"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2012</w:t>
            </w:r>
          </w:p>
        </w:tc>
        <w:tc>
          <w:tcPr>
            <w:tcW w:w="948" w:type="dxa"/>
            <w:tcBorders>
              <w:top w:val="nil"/>
              <w:left w:val="nil"/>
              <w:bottom w:val="single" w:sz="4" w:space="0" w:color="auto"/>
              <w:right w:val="single" w:sz="4" w:space="0" w:color="auto"/>
            </w:tcBorders>
            <w:shd w:val="clear" w:color="auto" w:fill="000000" w:themeFill="text1"/>
            <w:noWrap/>
            <w:vAlign w:val="center"/>
            <w:hideMark/>
          </w:tcPr>
          <w:p w14:paraId="519D344A"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2020</w:t>
            </w:r>
          </w:p>
        </w:tc>
        <w:tc>
          <w:tcPr>
            <w:tcW w:w="620" w:type="dxa"/>
            <w:tcBorders>
              <w:top w:val="nil"/>
              <w:left w:val="nil"/>
              <w:bottom w:val="single" w:sz="4" w:space="0" w:color="auto"/>
              <w:right w:val="single" w:sz="4" w:space="0" w:color="auto"/>
            </w:tcBorders>
            <w:shd w:val="clear" w:color="auto" w:fill="000000" w:themeFill="text1"/>
            <w:noWrap/>
            <w:vAlign w:val="center"/>
            <w:hideMark/>
          </w:tcPr>
          <w:p w14:paraId="16EBEE0D" w14:textId="77777777" w:rsidR="0009331B" w:rsidRPr="00CF7790" w:rsidRDefault="0009331B" w:rsidP="00CF7790">
            <w:pPr>
              <w:spacing w:after="0" w:line="240" w:lineRule="auto"/>
              <w:jc w:val="center"/>
              <w:rPr>
                <w:rFonts w:ascii="Open Sans Light" w:eastAsia="Times New Roman" w:hAnsi="Open Sans Light" w:cs="Open Sans Light"/>
                <w:color w:val="FFFFFF" w:themeColor="background1"/>
                <w:sz w:val="14"/>
                <w:szCs w:val="14"/>
              </w:rPr>
            </w:pPr>
            <w:r w:rsidRPr="00CF7790">
              <w:rPr>
                <w:rFonts w:ascii="Open Sans Light" w:eastAsia="Times New Roman" w:hAnsi="Open Sans Light" w:cs="Open Sans Light"/>
                <w:color w:val="FFFFFF" w:themeColor="background1"/>
                <w:sz w:val="14"/>
                <w:szCs w:val="14"/>
              </w:rPr>
              <w:t>% VAR</w:t>
            </w:r>
          </w:p>
        </w:tc>
      </w:tr>
      <w:tr w:rsidR="0009331B" w:rsidRPr="00CF7790" w14:paraId="63BBEE12"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09F62C"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NACIONAL</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235CFD2"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201,822,328</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572A353"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263,654,051</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9F0808A"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31%</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7A8022B8"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44,550,194</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0C0DEF6"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78,935,928</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2364F6C"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77%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891A3B9"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136,266,591</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642C09B"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163,261,869</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E3D053"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4"/>
                <w:szCs w:val="14"/>
              </w:rPr>
            </w:pPr>
            <w:r w:rsidRPr="00CF7790">
              <w:rPr>
                <w:rFonts w:ascii="Open Sans Light" w:eastAsia="Times New Roman" w:hAnsi="Open Sans Light" w:cs="Open Sans Light"/>
                <w:b/>
                <w:bCs/>
                <w:color w:val="000000"/>
                <w:sz w:val="14"/>
                <w:szCs w:val="14"/>
              </w:rPr>
              <w:t>20%</w:t>
            </w:r>
          </w:p>
        </w:tc>
      </w:tr>
      <w:tr w:rsidR="0009331B" w:rsidRPr="00CF7790" w14:paraId="1BBF7018"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BA91449" w14:textId="399D3AF5"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AMAZONAS</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07C160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4,688,834</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364E3E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7,205,009</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087EFF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54%</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1A0D581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574,456</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0CF8DB7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162,921</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0778A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3ABBEFC"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1,289,446</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ECAA51C"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1,659,680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F2CFBA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29%</w:t>
            </w:r>
          </w:p>
        </w:tc>
      </w:tr>
      <w:tr w:rsidR="0009331B" w:rsidRPr="00CF7790" w14:paraId="2D5C62D8"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A3BF933" w14:textId="5FEB9BF3"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ANCASH</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9D3E10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9,028,961</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06BEE8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8,944,878</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7A9B077"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73E3AAC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1,057,400</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001AB30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3,241,258</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53431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207%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442065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3,693,753</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3F98A2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2,756,471</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734BDA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-25%</w:t>
            </w:r>
          </w:p>
        </w:tc>
      </w:tr>
      <w:tr w:rsidR="0009331B" w:rsidRPr="00CF7790" w14:paraId="5D48113E"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C48D4A1" w14:textId="6CCA9609"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APURIMAC</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1120E5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5,229,859</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CBDD28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8,394,427</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41C56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61%</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5B3FDEA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2,159,051</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3C4CC63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3,177,700</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85E06BF"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A35BF8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1,849,170</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B0083D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4,806,305</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CEB02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160%</w:t>
            </w:r>
          </w:p>
        </w:tc>
      </w:tr>
      <w:tr w:rsidR="0009331B" w:rsidRPr="00CF7790" w14:paraId="7EEC187D"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CA7242" w14:textId="32EAD28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AREQUIPA</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18E15A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9,561,001</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2E2ADE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10,176,626</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36036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4C2E799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767,244</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DFC502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4,238,526</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9CCDE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452%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192EA0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6,643,973</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C2A199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4,323,679</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239A87"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-35%</w:t>
            </w:r>
          </w:p>
        </w:tc>
      </w:tr>
      <w:tr w:rsidR="0009331B" w:rsidRPr="00CF7790" w14:paraId="192EA6BD"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2745F62" w14:textId="759B573D"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AYACUCHO</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57C02B4"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7,772,807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1806D8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9,654,751</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6F6F8D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24%</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3BB4077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2,699,926</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048E9B7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2,569,547</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EE47F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94CC47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6,478,113</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11A30B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8,835,294</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CAF53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36%</w:t>
            </w:r>
          </w:p>
        </w:tc>
      </w:tr>
      <w:tr w:rsidR="0009331B" w:rsidRPr="00CF7790" w14:paraId="31525EC2"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DBF4D05" w14:textId="636EA2F6"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CAJAMARCA</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EFA80A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8,635,147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B2727BF"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15,479,512</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2C750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5C922837"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1,723,385</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6E1DB94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4,938,237</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55A60F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187%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747B5B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8,383,952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513AF6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9,683,062</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F3C248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15%</w:t>
            </w:r>
          </w:p>
        </w:tc>
      </w:tr>
      <w:tr w:rsidR="0009331B" w:rsidRPr="00CF7790" w14:paraId="62448521"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009FAC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CALLAO</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9E6E7B4"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4,469,272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A53D9CF"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6,217,447</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D77F8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5F43AFF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3,375,620</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42C2555F"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2,587,990</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451F1A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-23%</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6B0933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7,788,681</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F0BC4D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8,798,248</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8B90F4"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13%</w:t>
            </w:r>
          </w:p>
        </w:tc>
      </w:tr>
      <w:tr w:rsidR="0009331B" w:rsidRPr="00CF7790" w14:paraId="03FA0E92"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9B42E6F" w14:textId="266EB579"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CUSCO</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0664FC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9,807,888</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00EB3FF"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12,314,595</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1C146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26%</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43479A4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2,606,585</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CF7182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3,138,321</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E6628AC"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20%</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033112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6,538,930</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22691C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6,065,865</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B3ACD4"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w:t>
            </w:r>
          </w:p>
        </w:tc>
      </w:tr>
      <w:tr w:rsidR="0009331B" w:rsidRPr="00CF7790" w14:paraId="71462DF8" w14:textId="77777777" w:rsidTr="00CF7790">
        <w:trPr>
          <w:trHeight w:val="230"/>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B0DAA71" w14:textId="0034B156"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HUANCAVELICA</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6507BC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4,700,712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8A878A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6,027,182</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285FF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28%</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31F6C91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177,366</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638D7E4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436,268</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6332EF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146%</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49E395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1,061,117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5097BA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1,764,646</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D92AA7"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66%</w:t>
            </w:r>
          </w:p>
        </w:tc>
      </w:tr>
      <w:tr w:rsidR="0009331B" w:rsidRPr="00CF7790" w14:paraId="280B0FAD"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C5E731D" w14:textId="0083E393"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HUANUCO</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E72E84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4,082,542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946470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13,501,372</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1FEA2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231%</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7B67AC3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747,623</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5347B5F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947,318</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1BBC4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0131F47"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2,107,559</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8A3A9B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4,822,362</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9B24B9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129%</w:t>
            </w:r>
          </w:p>
        </w:tc>
      </w:tr>
      <w:tr w:rsidR="0009331B" w:rsidRPr="00CF7790" w14:paraId="1053EC8E"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B652EF9" w14:textId="5EBE1BC6"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ICA</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3C7D91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4,205,194</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4E0A1B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6,471,894</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A80F0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54%</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4255E99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895,977</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74F03D5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638,017</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6D545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-29%</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049A0F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4,358,710</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3B1EEC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6,245,683</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C219B6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43%</w:t>
            </w:r>
          </w:p>
        </w:tc>
      </w:tr>
      <w:tr w:rsidR="0009331B" w:rsidRPr="00CF7790" w14:paraId="4AA60069"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A6BC27" w14:textId="3E3C6AEF"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JUNIN</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D8D29B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8,121,703</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B85392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11,686,453</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EE5C7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44%</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35D3BA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2,278,992</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4AC594DC"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4,212,523</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ECA20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85%</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911964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3,750,267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2BFF00C"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4,454,810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68E1A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19%</w:t>
            </w:r>
          </w:p>
        </w:tc>
      </w:tr>
      <w:tr w:rsidR="0009331B" w:rsidRPr="00CF7790" w14:paraId="53FEAE37"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6AAB30" w14:textId="2EDF367B"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LA LIBERTAD</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036319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18,332,502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A1A6AC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12,952,475</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7FB2E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77FF3AD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1,831,514</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1581D5D4"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1,579,524</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F4F09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-14%</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FBDE09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7,094,133</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25EBD2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7,190,845</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8A6984"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w:t>
            </w:r>
          </w:p>
        </w:tc>
      </w:tr>
      <w:tr w:rsidR="0009331B" w:rsidRPr="00CF7790" w14:paraId="1FA8E855"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C6E55D6" w14:textId="4439D67D"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LAMBAYEQUE</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FDFD51F"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4,648,522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8FFF32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6,650,797</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E1F3644"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43%</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0E71C38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377,190</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3D667FB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2,599,120</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03D498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589%</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A3A513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3,836,427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A4A023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6,622,660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443FF6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73%</w:t>
            </w:r>
          </w:p>
        </w:tc>
      </w:tr>
      <w:tr w:rsidR="0009331B" w:rsidRPr="00CF7790" w14:paraId="18D56912"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DE5D248" w14:textId="79E65006"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lastRenderedPageBreak/>
              <w:t>LIMA</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4C0DFF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40,949,778</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65D997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50,727,802</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FD6538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24%</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3C4F83A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16,633,439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517AE2E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28,831,390</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5EAE9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73%</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55C1944"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45,100,002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94213D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48,180,506</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7007D57"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w:t>
            </w:r>
          </w:p>
        </w:tc>
      </w:tr>
      <w:tr w:rsidR="0009331B" w:rsidRPr="00CF7790" w14:paraId="42B7E465"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4E2C91AF" w14:textId="1398F57C"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LORETO</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EDDBE9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7,222,215</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BE6774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9,156,362</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7AF4B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27%</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6F0B48C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943,647</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1EF4DA6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947,908</w:t>
            </w:r>
          </w:p>
        </w:tc>
        <w:tc>
          <w:tcPr>
            <w:tcW w:w="596" w:type="dxa"/>
            <w:tcBorders>
              <w:top w:val="single" w:sz="4" w:space="0" w:color="auto"/>
              <w:left w:val="single" w:sz="4" w:space="0" w:color="auto"/>
              <w:bottom w:val="single" w:sz="4" w:space="0" w:color="auto"/>
              <w:right w:val="single" w:sz="4" w:space="0" w:color="auto"/>
            </w:tcBorders>
            <w:noWrap/>
            <w:vAlign w:val="center"/>
            <w:hideMark/>
          </w:tcPr>
          <w:p w14:paraId="326AA97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0.5%</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0F3CEC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4,971,416</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44FDFD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4,525,254</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74AFC24"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w:t>
            </w:r>
          </w:p>
        </w:tc>
      </w:tr>
      <w:tr w:rsidR="0009331B" w:rsidRPr="00CF7790" w14:paraId="5B16E82F" w14:textId="77777777" w:rsidTr="00CF7790">
        <w:trPr>
          <w:trHeight w:val="42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23C1BF13" w14:textId="6E0E60E6"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MADRE DE DIOS</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ACC013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1,066,407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F574F2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1,575,896</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838F0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48%</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591240C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135,610</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C4AFDB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132,923</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3F4018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52EBDD7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943,634</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D9C831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438,451</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5CCC5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-54%</w:t>
            </w:r>
          </w:p>
        </w:tc>
      </w:tr>
      <w:tr w:rsidR="0009331B" w:rsidRPr="00CF7790" w14:paraId="36D48E2F"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8D64C16" w14:textId="38A84301"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MOQUEGUA</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031A8E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2,133,714</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C28A51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2,532,327</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E53409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5AE1F91C"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1,197,279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A1E849C"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126,204</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FD21B8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-89%</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A77E9F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849,094</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558227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1,807,561</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12F18B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113%</w:t>
            </w:r>
          </w:p>
        </w:tc>
      </w:tr>
      <w:tr w:rsidR="0009331B" w:rsidRPr="00CF7790" w14:paraId="04502FCE"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5F693C" w14:textId="2A1F4320"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PASCO</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E54D33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1,464,451</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737326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3,897,275</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95825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166%</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01B542A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204,109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1CAE9B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722,411</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7504A7"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254%</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244025C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622,665</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BF5219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1,177,964</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16D0A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89%</w:t>
            </w:r>
          </w:p>
        </w:tc>
      </w:tr>
      <w:tr w:rsidR="0009331B" w:rsidRPr="00CF7790" w14:paraId="314CAEFF"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4692BC" w14:textId="0C5EDA3A"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PIURA</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577DFCF"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9,787,622</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2D1D3C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31,194,564</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6B743E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219%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FB3D18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882,619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078EF4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3,506,611</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A8006C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297%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C8FE80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8,919,834</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7C59DE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11,328,490</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4676E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27%</w:t>
            </w:r>
          </w:p>
        </w:tc>
      </w:tr>
      <w:tr w:rsidR="0009331B" w:rsidRPr="00CF7790" w14:paraId="7C3A6F20"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E24B1F" w14:textId="2DE68E01"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PUNO</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568BFF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9,431,240</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E9999E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13,171,363</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5B1588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40%</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6F9F172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2,047,977</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4549002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3,672,040</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9793B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79%</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E0B7CA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2,493,648</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9B9AE9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5,556,718</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6CB3C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123%</w:t>
            </w:r>
          </w:p>
        </w:tc>
      </w:tr>
      <w:tr w:rsidR="0009331B" w:rsidRPr="00CF7790" w14:paraId="05F422D8"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8C60C8B" w14:textId="00E2994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SAN MARTIN</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0DC1C5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7,919,645</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73737E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2,870,132</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676E2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-64%</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36F9CFF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123,101</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8AB417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1,965,323</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FB682B"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1497%</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3D80FB6"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2,173,725</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2DFAE0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3,654,329</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A2343FE"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68%</w:t>
            </w:r>
          </w:p>
        </w:tc>
      </w:tr>
      <w:tr w:rsidR="0009331B" w:rsidRPr="00CF7790" w14:paraId="3C319572"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01E97B75" w14:textId="101EF543"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TACNA</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531F9D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10,430,380</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1949974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3,291,253</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3C586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-68%</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21174AD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632,129</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159E1C0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734,073</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A5114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16%</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7095A6F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1,778,151</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3834270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775,277</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CA1FC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-56%</w:t>
            </w:r>
          </w:p>
        </w:tc>
      </w:tr>
      <w:tr w:rsidR="0009331B" w:rsidRPr="00CF7790" w14:paraId="2D32FD6B" w14:textId="77777777" w:rsidTr="00CF7790">
        <w:trPr>
          <w:trHeight w:val="258"/>
        </w:trPr>
        <w:tc>
          <w:tcPr>
            <w:tcW w:w="116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53EF7D3" w14:textId="0EB3D539"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TUMBES</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6BB6497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3,787,708</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B2C748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2,423,509</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8032D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-36%</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682B5857"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397,212</w:t>
            </w:r>
          </w:p>
        </w:tc>
        <w:tc>
          <w:tcPr>
            <w:tcW w:w="893" w:type="dxa"/>
            <w:tcBorders>
              <w:top w:val="nil"/>
              <w:left w:val="nil"/>
              <w:bottom w:val="single" w:sz="4" w:space="0" w:color="auto"/>
              <w:right w:val="single" w:sz="4" w:space="0" w:color="auto"/>
            </w:tcBorders>
            <w:shd w:val="clear" w:color="auto" w:fill="FFFFFF" w:themeFill="background1"/>
            <w:noWrap/>
            <w:vAlign w:val="center"/>
            <w:hideMark/>
          </w:tcPr>
          <w:p w14:paraId="61E8F392"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1,698,090</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0D50C71"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328%</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484B342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1,820,020</w:t>
            </w:r>
          </w:p>
        </w:tc>
        <w:tc>
          <w:tcPr>
            <w:tcW w:w="948" w:type="dxa"/>
            <w:tcBorders>
              <w:top w:val="nil"/>
              <w:left w:val="nil"/>
              <w:bottom w:val="single" w:sz="4" w:space="0" w:color="auto"/>
              <w:right w:val="single" w:sz="4" w:space="0" w:color="auto"/>
            </w:tcBorders>
            <w:shd w:val="clear" w:color="auto" w:fill="FFFFFF" w:themeFill="background1"/>
            <w:noWrap/>
            <w:vAlign w:val="center"/>
            <w:hideMark/>
          </w:tcPr>
          <w:p w14:paraId="081D761F"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3,033,399</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49399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67%</w:t>
            </w:r>
          </w:p>
        </w:tc>
      </w:tr>
      <w:tr w:rsidR="0009331B" w:rsidRPr="00CF7790" w14:paraId="4E73EA31" w14:textId="77777777" w:rsidTr="00CF7790">
        <w:trPr>
          <w:trHeight w:val="258"/>
        </w:trPr>
        <w:tc>
          <w:tcPr>
            <w:tcW w:w="1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30C81E" w14:textId="2407AE6F"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UCAYALI</w:t>
            </w:r>
          </w:p>
        </w:tc>
        <w:tc>
          <w:tcPr>
            <w:tcW w:w="94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79DD00"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4,344,222</w:t>
            </w:r>
          </w:p>
        </w:tc>
        <w:tc>
          <w:tcPr>
            <w:tcW w:w="94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200205"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7,136,148</w:t>
            </w:r>
          </w:p>
        </w:tc>
        <w:tc>
          <w:tcPr>
            <w:tcW w:w="5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FA5C6C"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64%</w:t>
            </w:r>
          </w:p>
        </w:tc>
        <w:tc>
          <w:tcPr>
            <w:tcW w:w="89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B87693"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80,745</w:t>
            </w:r>
          </w:p>
        </w:tc>
        <w:tc>
          <w:tcPr>
            <w:tcW w:w="89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A9A8F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2,131,685</w:t>
            </w:r>
          </w:p>
        </w:tc>
        <w:tc>
          <w:tcPr>
            <w:tcW w:w="5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C4C59A"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2540%</w:t>
            </w:r>
          </w:p>
        </w:tc>
        <w:tc>
          <w:tcPr>
            <w:tcW w:w="94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DDA107"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1,720,170</w:t>
            </w:r>
          </w:p>
        </w:tc>
        <w:tc>
          <w:tcPr>
            <w:tcW w:w="94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775B98"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4,754,308</w:t>
            </w: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0185B9"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176%</w:t>
            </w:r>
          </w:p>
        </w:tc>
      </w:tr>
      <w:tr w:rsidR="0009331B" w:rsidRPr="00CF7790" w14:paraId="31B16155" w14:textId="77777777" w:rsidTr="00CF7790">
        <w:trPr>
          <w:trHeight w:val="258"/>
        </w:trPr>
        <w:tc>
          <w:tcPr>
            <w:tcW w:w="8494" w:type="dxa"/>
            <w:gridSpan w:val="10"/>
            <w:tcBorders>
              <w:top w:val="single" w:sz="4" w:space="0" w:color="auto"/>
              <w:left w:val="nil"/>
              <w:bottom w:val="nil"/>
              <w:right w:val="nil"/>
            </w:tcBorders>
            <w:shd w:val="clear" w:color="auto" w:fill="FFFFFF" w:themeFill="background1"/>
            <w:vAlign w:val="center"/>
            <w:hideMark/>
          </w:tcPr>
          <w:p w14:paraId="4FEC276D" w14:textId="77777777" w:rsidR="0009331B" w:rsidRPr="00CF7790" w:rsidRDefault="0009331B" w:rsidP="00CF7790">
            <w:pPr>
              <w:spacing w:after="0" w:line="240" w:lineRule="auto"/>
              <w:jc w:val="center"/>
              <w:rPr>
                <w:rFonts w:ascii="Open Sans Light" w:eastAsia="Times New Roman" w:hAnsi="Open Sans Light" w:cs="Open Sans Light"/>
                <w:color w:val="000000"/>
                <w:sz w:val="14"/>
                <w:szCs w:val="14"/>
              </w:rPr>
            </w:pPr>
            <w:r w:rsidRPr="00CF7790">
              <w:rPr>
                <w:rFonts w:ascii="Open Sans Light" w:eastAsia="Times New Roman" w:hAnsi="Open Sans Light" w:cs="Open Sans Light"/>
                <w:color w:val="000000"/>
                <w:sz w:val="14"/>
                <w:szCs w:val="14"/>
              </w:rPr>
              <w:t>Fuente: SIAF</w:t>
            </w:r>
          </w:p>
        </w:tc>
      </w:tr>
    </w:tbl>
    <w:p w14:paraId="5EBA8C21" w14:textId="34A562D5" w:rsidR="00961571" w:rsidRPr="00CF7790" w:rsidRDefault="00961571" w:rsidP="004D0E60">
      <w:pPr>
        <w:pStyle w:val="ESTILOTABLA"/>
        <w:jc w:val="left"/>
      </w:pPr>
    </w:p>
    <w:p w14:paraId="50070632" w14:textId="784C2570" w:rsidR="00BA20F3" w:rsidRDefault="00BA20F3"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5</w:t>
      </w:r>
      <w:r w:rsidR="00354646">
        <w:rPr>
          <w:noProof/>
        </w:rPr>
        <w:fldChar w:fldCharType="end"/>
      </w:r>
    </w:p>
    <w:tbl>
      <w:tblPr>
        <w:tblW w:w="6100" w:type="dxa"/>
        <w:jc w:val="center"/>
        <w:tblCellMar>
          <w:left w:w="70" w:type="dxa"/>
          <w:right w:w="70" w:type="dxa"/>
        </w:tblCellMar>
        <w:tblLook w:val="04A0" w:firstRow="1" w:lastRow="0" w:firstColumn="1" w:lastColumn="0" w:noHBand="0" w:noVBand="1"/>
      </w:tblPr>
      <w:tblGrid>
        <w:gridCol w:w="2440"/>
        <w:gridCol w:w="1220"/>
        <w:gridCol w:w="1220"/>
        <w:gridCol w:w="1220"/>
      </w:tblGrid>
      <w:tr w:rsidR="0009331B" w:rsidRPr="00CF7790" w14:paraId="4BE546EE" w14:textId="77777777" w:rsidTr="00DA42C9">
        <w:trPr>
          <w:trHeight w:val="240"/>
          <w:jc w:val="center"/>
        </w:trPr>
        <w:tc>
          <w:tcPr>
            <w:tcW w:w="2440" w:type="dxa"/>
            <w:tcBorders>
              <w:top w:val="single" w:sz="4" w:space="0" w:color="auto"/>
              <w:left w:val="single" w:sz="4" w:space="0" w:color="auto"/>
              <w:bottom w:val="single" w:sz="4" w:space="0" w:color="auto"/>
              <w:right w:val="single" w:sz="4" w:space="0" w:color="auto"/>
            </w:tcBorders>
            <w:shd w:val="clear" w:color="auto" w:fill="000000" w:themeFill="text1"/>
            <w:vAlign w:val="bottom"/>
            <w:hideMark/>
          </w:tcPr>
          <w:p w14:paraId="755279F3"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8"/>
                <w:szCs w:val="18"/>
              </w:rPr>
            </w:pPr>
            <w:r w:rsidRPr="00CF7790">
              <w:rPr>
                <w:rFonts w:ascii="Open Sans Light" w:eastAsia="Times New Roman" w:hAnsi="Open Sans Light" w:cs="Open Sans Light"/>
                <w:b/>
                <w:bCs/>
                <w:color w:val="FFFFFF" w:themeColor="background1"/>
                <w:sz w:val="18"/>
                <w:szCs w:val="18"/>
              </w:rPr>
              <w:t>CATEGORÍA</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781D63F9"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8"/>
                <w:szCs w:val="18"/>
              </w:rPr>
            </w:pPr>
            <w:r w:rsidRPr="00CF7790">
              <w:rPr>
                <w:rFonts w:ascii="Open Sans Light" w:eastAsia="Times New Roman" w:hAnsi="Open Sans Light" w:cs="Open Sans Light"/>
                <w:b/>
                <w:bCs/>
                <w:color w:val="FFFFFF" w:themeColor="background1"/>
                <w:sz w:val="18"/>
                <w:szCs w:val="18"/>
              </w:rPr>
              <w:t>2012</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1A913BAC"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8"/>
                <w:szCs w:val="18"/>
              </w:rPr>
            </w:pPr>
            <w:r w:rsidRPr="00CF7790">
              <w:rPr>
                <w:rFonts w:ascii="Open Sans Light" w:eastAsia="Times New Roman" w:hAnsi="Open Sans Light" w:cs="Open Sans Light"/>
                <w:b/>
                <w:bCs/>
                <w:color w:val="FFFFFF" w:themeColor="background1"/>
                <w:sz w:val="18"/>
                <w:szCs w:val="18"/>
              </w:rPr>
              <w:t>2020</w:t>
            </w:r>
          </w:p>
        </w:tc>
        <w:tc>
          <w:tcPr>
            <w:tcW w:w="12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50AB04D5"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8"/>
                <w:szCs w:val="18"/>
              </w:rPr>
            </w:pPr>
            <w:r w:rsidRPr="00CF7790">
              <w:rPr>
                <w:rFonts w:ascii="Open Sans Light" w:eastAsia="Times New Roman" w:hAnsi="Open Sans Light" w:cs="Open Sans Light"/>
                <w:b/>
                <w:bCs/>
                <w:color w:val="FFFFFF" w:themeColor="background1"/>
                <w:sz w:val="18"/>
                <w:szCs w:val="18"/>
              </w:rPr>
              <w:t>% VAR</w:t>
            </w:r>
          </w:p>
        </w:tc>
      </w:tr>
      <w:tr w:rsidR="0009331B" w:rsidRPr="00CF7790" w14:paraId="53C0E1BA" w14:textId="77777777" w:rsidTr="00DA42C9">
        <w:trPr>
          <w:trHeight w:val="24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5DEF35A" w14:textId="77777777" w:rsidR="0009331B" w:rsidRPr="00CF7790" w:rsidRDefault="0009331B" w:rsidP="00DA42C9">
            <w:pPr>
              <w:spacing w:after="0" w:line="240" w:lineRule="auto"/>
              <w:rPr>
                <w:rFonts w:ascii="Open Sans Light" w:eastAsia="Times New Roman" w:hAnsi="Open Sans Light" w:cs="Open Sans Light"/>
                <w:b/>
                <w:bCs/>
                <w:sz w:val="18"/>
                <w:szCs w:val="18"/>
              </w:rPr>
            </w:pPr>
            <w:r w:rsidRPr="00CF7790">
              <w:rPr>
                <w:rFonts w:ascii="Open Sans Light" w:eastAsia="Times New Roman" w:hAnsi="Open Sans Light" w:cs="Open Sans Light"/>
                <w:b/>
                <w:bCs/>
                <w:sz w:val="18"/>
                <w:szCs w:val="18"/>
              </w:rPr>
              <w:t>NACIONAL</w:t>
            </w:r>
          </w:p>
        </w:tc>
        <w:tc>
          <w:tcPr>
            <w:tcW w:w="122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52A83D5" w14:textId="77777777" w:rsidR="0009331B" w:rsidRPr="00CF7790" w:rsidRDefault="0009331B" w:rsidP="00DA42C9">
            <w:pPr>
              <w:spacing w:after="0" w:line="240" w:lineRule="auto"/>
              <w:jc w:val="right"/>
              <w:rPr>
                <w:rFonts w:ascii="Open Sans Light" w:eastAsia="Times New Roman" w:hAnsi="Open Sans Light" w:cs="Open Sans Light"/>
                <w:b/>
                <w:bCs/>
                <w:sz w:val="18"/>
                <w:szCs w:val="18"/>
              </w:rPr>
            </w:pPr>
            <w:r w:rsidRPr="00CF7790">
              <w:rPr>
                <w:rFonts w:ascii="Open Sans Light" w:eastAsia="Times New Roman" w:hAnsi="Open Sans Light" w:cs="Open Sans Light"/>
                <w:b/>
                <w:bCs/>
                <w:sz w:val="18"/>
                <w:szCs w:val="18"/>
              </w:rPr>
              <w:t>22,763,766</w:t>
            </w:r>
          </w:p>
        </w:tc>
        <w:tc>
          <w:tcPr>
            <w:tcW w:w="122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B106ECE" w14:textId="77777777" w:rsidR="0009331B" w:rsidRPr="00CF7790" w:rsidRDefault="0009331B" w:rsidP="00DA42C9">
            <w:pPr>
              <w:spacing w:after="0" w:line="240" w:lineRule="auto"/>
              <w:jc w:val="right"/>
              <w:rPr>
                <w:rFonts w:ascii="Open Sans Light" w:eastAsia="Times New Roman" w:hAnsi="Open Sans Light" w:cs="Open Sans Light"/>
                <w:b/>
                <w:bCs/>
                <w:sz w:val="18"/>
                <w:szCs w:val="18"/>
              </w:rPr>
            </w:pPr>
            <w:r w:rsidRPr="00CF7790">
              <w:rPr>
                <w:rFonts w:ascii="Open Sans Light" w:eastAsia="Times New Roman" w:hAnsi="Open Sans Light" w:cs="Open Sans Light"/>
                <w:b/>
                <w:bCs/>
                <w:sz w:val="18"/>
                <w:szCs w:val="18"/>
              </w:rPr>
              <w:t>13,138,648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07781F2" w14:textId="77777777" w:rsidR="0009331B" w:rsidRPr="00CF7790" w:rsidRDefault="0009331B" w:rsidP="00DA42C9">
            <w:pPr>
              <w:spacing w:after="0" w:line="240" w:lineRule="auto"/>
              <w:jc w:val="right"/>
              <w:rPr>
                <w:rFonts w:ascii="Open Sans Light" w:eastAsia="Times New Roman" w:hAnsi="Open Sans Light" w:cs="Open Sans Light"/>
                <w:b/>
                <w:bCs/>
                <w:sz w:val="18"/>
                <w:szCs w:val="18"/>
              </w:rPr>
            </w:pPr>
            <w:r w:rsidRPr="00CF7790">
              <w:rPr>
                <w:rFonts w:ascii="Open Sans Light" w:eastAsia="Times New Roman" w:hAnsi="Open Sans Light" w:cs="Open Sans Light"/>
                <w:b/>
                <w:bCs/>
                <w:sz w:val="18"/>
                <w:szCs w:val="18"/>
              </w:rPr>
              <w:t>-42%</w:t>
            </w:r>
          </w:p>
        </w:tc>
      </w:tr>
      <w:tr w:rsidR="0009331B" w:rsidRPr="00CF7790" w14:paraId="19EC8AEF"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9A07AF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AMAZONAS</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C9AC3E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335,610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85B45A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55,928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08BB00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-83%</w:t>
            </w:r>
          </w:p>
        </w:tc>
      </w:tr>
      <w:tr w:rsidR="0009331B" w:rsidRPr="00CF7790" w14:paraId="196936F3"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29AA18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ANCASH</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132B1E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551,568</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0E07F5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124,274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F81962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-77%</w:t>
            </w:r>
          </w:p>
        </w:tc>
      </w:tr>
      <w:tr w:rsidR="0009331B" w:rsidRPr="00CF7790" w14:paraId="61C18BBC"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746DBC4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APURIMAC</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0DCCBE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809,910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18659B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14,602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A2CBFA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-98%</w:t>
            </w:r>
          </w:p>
        </w:tc>
      </w:tr>
      <w:tr w:rsidR="0009331B" w:rsidRPr="00CF7790" w14:paraId="504ADE2A"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91AA73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AREQUIPA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E8E468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798,283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335209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86,487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830B98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-89%</w:t>
            </w:r>
          </w:p>
        </w:tc>
      </w:tr>
      <w:tr w:rsidR="0009331B" w:rsidRPr="00CF7790" w14:paraId="08878B3B"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6339D4D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AYACUCHO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CA6FEF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1,226,108</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D8F3E4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112,547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B55757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-91%</w:t>
            </w:r>
          </w:p>
        </w:tc>
      </w:tr>
      <w:tr w:rsidR="0009331B" w:rsidRPr="00CF7790" w14:paraId="562AB380"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2F510B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CAJAMARCA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E8F958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2,826,473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568FDD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594,008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7DFF79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-79%</w:t>
            </w:r>
          </w:p>
        </w:tc>
      </w:tr>
      <w:tr w:rsidR="0009331B" w:rsidRPr="00CF7790" w14:paraId="298E1294"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F35063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CALLAO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703B9E0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233,845</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A2B5C8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30,475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C8947A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-87%</w:t>
            </w:r>
          </w:p>
        </w:tc>
      </w:tr>
      <w:tr w:rsidR="0009331B" w:rsidRPr="00CF7790" w14:paraId="7974C84F"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A6B93D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CUSCO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C13F51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1,271,903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4AEB74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394,899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DBA91B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-69%</w:t>
            </w:r>
          </w:p>
        </w:tc>
      </w:tr>
      <w:tr w:rsidR="0009331B" w:rsidRPr="00CF7790" w14:paraId="19B09333"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10356CC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HUANCAVELICA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C9A94F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1,158,711</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151819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198,599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EE4C6E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-83%</w:t>
            </w:r>
          </w:p>
        </w:tc>
      </w:tr>
      <w:tr w:rsidR="0009331B" w:rsidRPr="00CF7790" w14:paraId="17CA3153"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60BB860"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HUANUCO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AACF67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317,135</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878A65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88,000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79204A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-72%</w:t>
            </w:r>
          </w:p>
        </w:tc>
      </w:tr>
      <w:tr w:rsidR="0009331B" w:rsidRPr="00CF7790" w14:paraId="205EDEA4"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2D2F3C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ICA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1DEDCB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64,046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DC6B7B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91,106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B81DF4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42%</w:t>
            </w:r>
          </w:p>
        </w:tc>
      </w:tr>
      <w:tr w:rsidR="0009331B" w:rsidRPr="00CF7790" w14:paraId="06FE6127"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728FF020"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JUNIN</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6FBDE7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652,877</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791F87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275,871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5F5851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-58%</w:t>
            </w:r>
          </w:p>
        </w:tc>
      </w:tr>
      <w:tr w:rsidR="0009331B" w:rsidRPr="00CF7790" w14:paraId="3482D0ED"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67E1BA5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 LIBERTAD</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9B62C5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1,970,322</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CCEE64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5,429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866381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-100%</w:t>
            </w:r>
          </w:p>
        </w:tc>
      </w:tr>
      <w:tr w:rsidR="0009331B" w:rsidRPr="00CF7790" w14:paraId="0D58B671"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1995F6A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LAMBAYEQUE</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92352D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376,396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B2E89A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1,065,405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362B8C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183%</w:t>
            </w:r>
          </w:p>
        </w:tc>
      </w:tr>
      <w:tr w:rsidR="0009331B" w:rsidRPr="00CF7790" w14:paraId="0E82AA04"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1F5BCD57"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LIMA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FE1569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1,622,646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2C41D2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8,159,904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8A008E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403%</w:t>
            </w:r>
          </w:p>
        </w:tc>
      </w:tr>
      <w:tr w:rsidR="0009331B" w:rsidRPr="00CF7790" w14:paraId="261A13E4"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5C106F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LORETO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935DFD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717,149</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2D9235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152,400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F2D40C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-79%</w:t>
            </w:r>
          </w:p>
        </w:tc>
      </w:tr>
      <w:tr w:rsidR="0009331B" w:rsidRPr="00CF7790" w14:paraId="59F7447E"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179DB4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MADRE DE DIOS</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ADD4D1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195,720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6E43F1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67,292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D54D18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-66%</w:t>
            </w:r>
          </w:p>
        </w:tc>
      </w:tr>
      <w:tr w:rsidR="0009331B" w:rsidRPr="00CF7790" w14:paraId="7DB1D6D6"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7E0B79C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MOQUEGUA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94C9A1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21,729</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AC1596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98,234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6906CF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352%</w:t>
            </w:r>
          </w:p>
        </w:tc>
      </w:tr>
      <w:tr w:rsidR="0009331B" w:rsidRPr="00CF7790" w14:paraId="1D5C06D7"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A8BC109"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PASCO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E79425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195,260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CF22BA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95,235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18102F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-51%</w:t>
            </w:r>
          </w:p>
        </w:tc>
      </w:tr>
      <w:tr w:rsidR="0009331B" w:rsidRPr="00CF7790" w14:paraId="3B716F04"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6E7F2DA9"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PIURA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007982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249,062</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E647EB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205,922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05DD99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w:t>
            </w:r>
          </w:p>
        </w:tc>
      </w:tr>
      <w:tr w:rsidR="0009331B" w:rsidRPr="00CF7790" w14:paraId="2FBEB3C3"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09BCBB4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PUNO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8696FE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1,679,501</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FF7CED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659,871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0C6A54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-61%</w:t>
            </w:r>
          </w:p>
        </w:tc>
      </w:tr>
      <w:tr w:rsidR="0009331B" w:rsidRPr="00CF7790" w14:paraId="26B08865"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2031110"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SAN MARTIN</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AB268C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5,368,215</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79699B1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247,037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36EA4A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-95%</w:t>
            </w:r>
          </w:p>
        </w:tc>
      </w:tr>
      <w:tr w:rsidR="0009331B" w:rsidRPr="00CF7790" w14:paraId="088496E0"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D6D54B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TACNA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658025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11,128</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95F9CB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218,724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40C577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1866%</w:t>
            </w:r>
          </w:p>
        </w:tc>
      </w:tr>
      <w:tr w:rsidR="0009331B" w:rsidRPr="00CF7790" w14:paraId="31E7A2C6"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619CC1A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TUMBES</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5BDF8E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5,000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7403DDC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360569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-100%</w:t>
            </w:r>
          </w:p>
        </w:tc>
      </w:tr>
      <w:tr w:rsidR="0009331B" w:rsidRPr="00CF7790" w14:paraId="3A7C2184" w14:textId="77777777" w:rsidTr="00DA42C9">
        <w:trPr>
          <w:trHeight w:val="240"/>
          <w:jc w:val="center"/>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1E5C425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UCAYALI</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4692D1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105,170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1F2A08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96,400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404E2C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w:t>
            </w:r>
          </w:p>
        </w:tc>
      </w:tr>
    </w:tbl>
    <w:p w14:paraId="74C085EB" w14:textId="536A2918" w:rsidR="001624BE" w:rsidRPr="00CF7790" w:rsidRDefault="001624BE" w:rsidP="004D0E60">
      <w:pPr>
        <w:pStyle w:val="ESTILOTABLA"/>
        <w:jc w:val="left"/>
      </w:pPr>
    </w:p>
    <w:p w14:paraId="6549799C" w14:textId="3A50D3AC" w:rsidR="008515FE" w:rsidRDefault="008515FE"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6</w:t>
      </w:r>
      <w:r w:rsidR="00354646">
        <w:rPr>
          <w:noProof/>
        </w:rPr>
        <w:fldChar w:fldCharType="end"/>
      </w:r>
    </w:p>
    <w:tbl>
      <w:tblPr>
        <w:tblW w:w="6100" w:type="dxa"/>
        <w:jc w:val="center"/>
        <w:tblCellMar>
          <w:left w:w="70" w:type="dxa"/>
          <w:right w:w="70" w:type="dxa"/>
        </w:tblCellMar>
        <w:tblLook w:val="04A0" w:firstRow="1" w:lastRow="0" w:firstColumn="1" w:lastColumn="0" w:noHBand="0" w:noVBand="1"/>
      </w:tblPr>
      <w:tblGrid>
        <w:gridCol w:w="2375"/>
        <w:gridCol w:w="1220"/>
        <w:gridCol w:w="1285"/>
        <w:gridCol w:w="1220"/>
      </w:tblGrid>
      <w:tr w:rsidR="0009331B" w:rsidRPr="00CF7790" w14:paraId="00163458" w14:textId="77777777" w:rsidTr="004D0E60">
        <w:trPr>
          <w:trHeight w:val="240"/>
          <w:jc w:val="center"/>
        </w:trPr>
        <w:tc>
          <w:tcPr>
            <w:tcW w:w="2375" w:type="dxa"/>
            <w:tcBorders>
              <w:top w:val="single" w:sz="4" w:space="0" w:color="auto"/>
              <w:left w:val="single" w:sz="4" w:space="0" w:color="auto"/>
              <w:bottom w:val="single" w:sz="4" w:space="0" w:color="auto"/>
              <w:right w:val="single" w:sz="4" w:space="0" w:color="auto"/>
            </w:tcBorders>
            <w:shd w:val="clear" w:color="auto" w:fill="000000" w:themeFill="text1"/>
            <w:vAlign w:val="bottom"/>
            <w:hideMark/>
          </w:tcPr>
          <w:p w14:paraId="0D815CCA"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8"/>
                <w:szCs w:val="18"/>
              </w:rPr>
            </w:pPr>
            <w:r w:rsidRPr="00CF7790">
              <w:rPr>
                <w:rFonts w:ascii="Open Sans Light" w:eastAsia="Times New Roman" w:hAnsi="Open Sans Light" w:cs="Open Sans Light"/>
                <w:b/>
                <w:bCs/>
                <w:color w:val="FFFFFF" w:themeColor="background1"/>
                <w:sz w:val="18"/>
                <w:szCs w:val="18"/>
              </w:rPr>
              <w:t>CATEGORÍA</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36D170D9" w14:textId="77777777" w:rsidR="0009331B" w:rsidRPr="00CF7790" w:rsidRDefault="0009331B" w:rsidP="00DA42C9">
            <w:pPr>
              <w:spacing w:after="0" w:line="240" w:lineRule="auto"/>
              <w:jc w:val="center"/>
              <w:rPr>
                <w:rFonts w:ascii="Open Sans Light" w:eastAsia="Times New Roman" w:hAnsi="Open Sans Light" w:cs="Open Sans Light"/>
                <w:color w:val="FFFFFF" w:themeColor="background1"/>
                <w:sz w:val="18"/>
                <w:szCs w:val="18"/>
              </w:rPr>
            </w:pPr>
            <w:r w:rsidRPr="00CF7790">
              <w:rPr>
                <w:rFonts w:ascii="Open Sans Light" w:eastAsia="Times New Roman" w:hAnsi="Open Sans Light" w:cs="Open Sans Light"/>
                <w:b/>
                <w:bCs/>
                <w:color w:val="FFFFFF" w:themeColor="background1"/>
                <w:sz w:val="18"/>
                <w:szCs w:val="18"/>
              </w:rPr>
              <w:t>2012</w:t>
            </w:r>
          </w:p>
        </w:tc>
        <w:tc>
          <w:tcPr>
            <w:tcW w:w="1285"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1BE308E7" w14:textId="77777777" w:rsidR="0009331B" w:rsidRPr="00CF7790" w:rsidRDefault="0009331B" w:rsidP="00DA42C9">
            <w:pPr>
              <w:spacing w:after="0" w:line="240" w:lineRule="auto"/>
              <w:jc w:val="center"/>
              <w:rPr>
                <w:rFonts w:ascii="Open Sans Light" w:eastAsia="Times New Roman" w:hAnsi="Open Sans Light" w:cs="Open Sans Light"/>
                <w:color w:val="FFFFFF" w:themeColor="background1"/>
                <w:sz w:val="18"/>
                <w:szCs w:val="18"/>
              </w:rPr>
            </w:pPr>
            <w:r w:rsidRPr="00CF7790">
              <w:rPr>
                <w:rFonts w:ascii="Open Sans Light" w:eastAsia="Times New Roman" w:hAnsi="Open Sans Light" w:cs="Open Sans Light"/>
                <w:b/>
                <w:bCs/>
                <w:color w:val="FFFFFF" w:themeColor="background1"/>
                <w:sz w:val="18"/>
                <w:szCs w:val="18"/>
              </w:rPr>
              <w:t>2020</w:t>
            </w:r>
          </w:p>
        </w:tc>
        <w:tc>
          <w:tcPr>
            <w:tcW w:w="12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6FD9581D" w14:textId="77777777" w:rsidR="0009331B" w:rsidRPr="00CF7790" w:rsidRDefault="0009331B" w:rsidP="00DA42C9">
            <w:pPr>
              <w:spacing w:after="0" w:line="240" w:lineRule="auto"/>
              <w:jc w:val="center"/>
              <w:rPr>
                <w:rFonts w:ascii="Open Sans Light" w:eastAsia="Times New Roman" w:hAnsi="Open Sans Light" w:cs="Open Sans Light"/>
                <w:color w:val="FFFFFF" w:themeColor="background1"/>
                <w:sz w:val="18"/>
                <w:szCs w:val="18"/>
              </w:rPr>
            </w:pPr>
            <w:r w:rsidRPr="00CF7790">
              <w:rPr>
                <w:rFonts w:ascii="Open Sans Light" w:eastAsia="Times New Roman" w:hAnsi="Open Sans Light" w:cs="Open Sans Light"/>
                <w:b/>
                <w:bCs/>
                <w:color w:val="FFFFFF" w:themeColor="background1"/>
                <w:sz w:val="18"/>
                <w:szCs w:val="18"/>
              </w:rPr>
              <w:t>% VAR</w:t>
            </w:r>
          </w:p>
        </w:tc>
      </w:tr>
      <w:tr w:rsidR="0009331B" w:rsidRPr="00CF7790" w14:paraId="45FC8E51" w14:textId="77777777" w:rsidTr="004D0E60">
        <w:trPr>
          <w:trHeight w:val="240"/>
          <w:jc w:val="center"/>
        </w:trPr>
        <w:tc>
          <w:tcPr>
            <w:tcW w:w="2375"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E2C558" w14:textId="77777777" w:rsidR="0009331B" w:rsidRPr="00CF7790" w:rsidRDefault="0009331B" w:rsidP="00DA42C9">
            <w:pPr>
              <w:spacing w:after="0" w:line="240" w:lineRule="auto"/>
              <w:rPr>
                <w:rFonts w:ascii="Open Sans Light" w:eastAsia="Times New Roman" w:hAnsi="Open Sans Light" w:cs="Open Sans Light"/>
                <w:b/>
                <w:bCs/>
                <w:sz w:val="18"/>
                <w:szCs w:val="18"/>
              </w:rPr>
            </w:pPr>
            <w:r w:rsidRPr="00CF7790">
              <w:rPr>
                <w:rFonts w:ascii="Open Sans Light" w:eastAsia="Times New Roman" w:hAnsi="Open Sans Light" w:cs="Open Sans Light"/>
                <w:b/>
                <w:bCs/>
                <w:sz w:val="18"/>
                <w:szCs w:val="18"/>
              </w:rPr>
              <w:t>NACIONAL</w:t>
            </w:r>
          </w:p>
        </w:tc>
        <w:tc>
          <w:tcPr>
            <w:tcW w:w="122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CB9B5B6" w14:textId="77777777" w:rsidR="0009331B" w:rsidRPr="00CF7790" w:rsidRDefault="0009331B" w:rsidP="00DA42C9">
            <w:pPr>
              <w:spacing w:after="0" w:line="240" w:lineRule="auto"/>
              <w:jc w:val="right"/>
              <w:rPr>
                <w:rFonts w:ascii="Open Sans Light" w:eastAsia="Times New Roman" w:hAnsi="Open Sans Light" w:cs="Open Sans Light"/>
                <w:b/>
                <w:bCs/>
                <w:sz w:val="18"/>
                <w:szCs w:val="18"/>
              </w:rPr>
            </w:pPr>
            <w:r w:rsidRPr="00CF7790">
              <w:rPr>
                <w:rFonts w:ascii="Open Sans Light" w:eastAsia="Times New Roman" w:hAnsi="Open Sans Light" w:cs="Open Sans Light"/>
                <w:b/>
                <w:bCs/>
                <w:sz w:val="18"/>
                <w:szCs w:val="18"/>
              </w:rPr>
              <w:t>958,755,971</w:t>
            </w:r>
          </w:p>
        </w:tc>
        <w:tc>
          <w:tcPr>
            <w:tcW w:w="128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B7CC83B" w14:textId="77777777" w:rsidR="0009331B" w:rsidRPr="00CF7790" w:rsidRDefault="0009331B" w:rsidP="00DA42C9">
            <w:pPr>
              <w:spacing w:after="0" w:line="240" w:lineRule="auto"/>
              <w:jc w:val="right"/>
              <w:rPr>
                <w:rFonts w:ascii="Open Sans Light" w:eastAsia="Times New Roman" w:hAnsi="Open Sans Light" w:cs="Open Sans Light"/>
                <w:b/>
                <w:bCs/>
                <w:sz w:val="18"/>
                <w:szCs w:val="18"/>
              </w:rPr>
            </w:pPr>
            <w:r w:rsidRPr="00CF7790">
              <w:rPr>
                <w:rFonts w:ascii="Open Sans Light" w:eastAsia="Times New Roman" w:hAnsi="Open Sans Light" w:cs="Open Sans Light"/>
                <w:b/>
                <w:bCs/>
                <w:sz w:val="18"/>
                <w:szCs w:val="18"/>
              </w:rPr>
              <w:t>1,202,416,554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D1A535B" w14:textId="77777777" w:rsidR="0009331B" w:rsidRPr="00CF7790" w:rsidRDefault="0009331B" w:rsidP="00DA42C9">
            <w:pPr>
              <w:spacing w:after="0" w:line="240" w:lineRule="auto"/>
              <w:jc w:val="right"/>
              <w:rPr>
                <w:rFonts w:ascii="Open Sans Light" w:eastAsia="Times New Roman" w:hAnsi="Open Sans Light" w:cs="Open Sans Light"/>
                <w:b/>
                <w:bCs/>
                <w:sz w:val="18"/>
                <w:szCs w:val="18"/>
              </w:rPr>
            </w:pPr>
            <w:r w:rsidRPr="00CF7790">
              <w:rPr>
                <w:rFonts w:ascii="Open Sans Light" w:eastAsia="Times New Roman" w:hAnsi="Open Sans Light" w:cs="Open Sans Light"/>
                <w:b/>
                <w:bCs/>
                <w:sz w:val="18"/>
                <w:szCs w:val="18"/>
              </w:rPr>
              <w:t>25%</w:t>
            </w:r>
          </w:p>
        </w:tc>
      </w:tr>
      <w:tr w:rsidR="0009331B" w:rsidRPr="00CF7790" w14:paraId="09E553E2"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04ECA57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AMAZONAS</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594E9F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31,110,091</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3CDFE4B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51,211,018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4555D3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65%</w:t>
            </w:r>
          </w:p>
        </w:tc>
      </w:tr>
      <w:tr w:rsidR="0009331B" w:rsidRPr="00CF7790" w14:paraId="0EE36325"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3DCFBD60"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lastRenderedPageBreak/>
              <w:t xml:space="preserve"> ANCASH</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5A0CF2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38,245,417</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6538361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52,290,615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87F837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w:t>
            </w:r>
          </w:p>
        </w:tc>
      </w:tr>
      <w:tr w:rsidR="0009331B" w:rsidRPr="00CF7790" w14:paraId="7A72735D"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445F400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APURIMAC</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528589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40,760,178</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47DB38A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30,623,730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0182C9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w:t>
            </w:r>
          </w:p>
        </w:tc>
      </w:tr>
      <w:tr w:rsidR="0009331B" w:rsidRPr="00CF7790" w14:paraId="192D54CF"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13C0BBF0"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AREQUIPA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3F6911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23,449,979</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052A2F2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26,429,185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E608DD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w:t>
            </w:r>
          </w:p>
        </w:tc>
      </w:tr>
      <w:tr w:rsidR="0009331B" w:rsidRPr="00CF7790" w14:paraId="06848364"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7B1B406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AYACUCHO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F83440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44,084,108</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49D6983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51,186,422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89B3D1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w:t>
            </w:r>
          </w:p>
        </w:tc>
      </w:tr>
      <w:tr w:rsidR="0009331B" w:rsidRPr="00CF7790" w14:paraId="198E9CEC"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24B13E7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CAJAMARCA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EB70CD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63,473,883</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0F7550C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107,600,060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2A7C71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70%</w:t>
            </w:r>
          </w:p>
        </w:tc>
      </w:tr>
      <w:tr w:rsidR="0009331B" w:rsidRPr="00CF7790" w14:paraId="51C48E7E"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0F26C71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CALLAO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DB1013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77,895,784</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6A8893D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49C786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-100%</w:t>
            </w:r>
          </w:p>
        </w:tc>
      </w:tr>
      <w:tr w:rsidR="0009331B" w:rsidRPr="00CF7790" w14:paraId="0FD18090"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7C9B47A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CUSCO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C1876E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54,779,404</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019686C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56,155,099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6BCB0A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w:t>
            </w:r>
          </w:p>
        </w:tc>
      </w:tr>
      <w:tr w:rsidR="0009331B" w:rsidRPr="00CF7790" w14:paraId="4070F045"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733DD26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HUANCAVELICA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5BD1FC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39,710,658</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6378140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28,925,894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0A5B72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-27%</w:t>
            </w:r>
          </w:p>
        </w:tc>
      </w:tr>
      <w:tr w:rsidR="0009331B" w:rsidRPr="00CF7790" w14:paraId="00A1EDDC"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47BE6660"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HUANUCO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E6A4C8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63,478,240</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7F061D0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61,223,076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8953F1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w:t>
            </w:r>
          </w:p>
        </w:tc>
      </w:tr>
      <w:tr w:rsidR="0009331B" w:rsidRPr="00CF7790" w14:paraId="1FE7C127"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5F2ED39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ICA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278D47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15,815,736</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107C123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29,784,793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2D426F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88%</w:t>
            </w:r>
          </w:p>
        </w:tc>
      </w:tr>
      <w:tr w:rsidR="0009331B" w:rsidRPr="00CF7790" w14:paraId="1FA076A0"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18E9AC7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JUNIN</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78A440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34,339,445</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6E60582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60,876,417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122659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77%</w:t>
            </w:r>
          </w:p>
        </w:tc>
      </w:tr>
      <w:tr w:rsidR="0009331B" w:rsidRPr="00CF7790" w14:paraId="6A91C74D"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69F39C0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 LIBERTAD</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1B4F3C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55,715,204</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55F9AD0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79,591,777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66FD02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43%</w:t>
            </w:r>
          </w:p>
        </w:tc>
      </w:tr>
      <w:tr w:rsidR="0009331B" w:rsidRPr="00CF7790" w14:paraId="304E7B6A"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7597D25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LAMBAYEQUE</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C6CB5E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20,418,401</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518C6E5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34,851,577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372A5C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71%</w:t>
            </w:r>
          </w:p>
        </w:tc>
      </w:tr>
      <w:tr w:rsidR="0009331B" w:rsidRPr="00CF7790" w14:paraId="7CE2C995"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4DE16D3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LIMA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C27E3C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67,262,947</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0159E20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135,337,217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040B16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101%</w:t>
            </w:r>
          </w:p>
        </w:tc>
      </w:tr>
      <w:tr w:rsidR="0009331B" w:rsidRPr="00CF7790" w14:paraId="7E046E0B"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235C469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LORETO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60D43F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74,588,533</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65F4E8D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103,659,600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F94797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39%</w:t>
            </w:r>
          </w:p>
        </w:tc>
      </w:tr>
      <w:tr w:rsidR="0009331B" w:rsidRPr="00CF7790" w14:paraId="2EECA111"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0AFE959C"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MADRE DE DIOS</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3BE2DA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6,225,039</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11EA516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10,857,920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541F8A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74%</w:t>
            </w:r>
          </w:p>
        </w:tc>
      </w:tr>
      <w:tr w:rsidR="0009331B" w:rsidRPr="00CF7790" w14:paraId="356E7D8A"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46EBDBD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MOQUEGUA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15CEE8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3,892,761</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4538098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7,576,983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1D1B73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95%</w:t>
            </w:r>
          </w:p>
        </w:tc>
      </w:tr>
      <w:tr w:rsidR="0009331B" w:rsidRPr="00CF7790" w14:paraId="421C49E1"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6AD2F8B0"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PASCO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A9B64C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19,666,886</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7677303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25,847,727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5809D3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31%</w:t>
            </w:r>
          </w:p>
        </w:tc>
      </w:tr>
      <w:tr w:rsidR="0009331B" w:rsidRPr="00CF7790" w14:paraId="5523C826"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524B2317"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PIURA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78E07D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47,444,379</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0ECF9ED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76,502,909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E0C9E5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61%</w:t>
            </w:r>
          </w:p>
        </w:tc>
      </w:tr>
      <w:tr w:rsidR="0009331B" w:rsidRPr="00CF7790" w14:paraId="31EE9E56"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58C2316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PUNO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CEDD67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62,495,102</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3B4A81B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53,199,493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45EBFB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w:t>
            </w:r>
          </w:p>
        </w:tc>
      </w:tr>
      <w:tr w:rsidR="0009331B" w:rsidRPr="00CF7790" w14:paraId="50B08DFB"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2A3D1991"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SAN MARTIN</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50A9EB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40,266,313</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0378114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58,849,746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03A894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46%</w:t>
            </w:r>
          </w:p>
        </w:tc>
      </w:tr>
      <w:tr w:rsidR="0009331B" w:rsidRPr="00CF7790" w14:paraId="4F697D8D"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2043AA5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TACNA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EEA31A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7,775,818</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5980BFE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8,314,429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B4E8C4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w:t>
            </w:r>
          </w:p>
        </w:tc>
      </w:tr>
      <w:tr w:rsidR="0009331B" w:rsidRPr="00CF7790" w14:paraId="65303A7A"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1D0275AC"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TUMBES</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2690D1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10,037,999</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132821B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10,285,368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5A34F9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w:t>
            </w:r>
          </w:p>
        </w:tc>
      </w:tr>
      <w:tr w:rsidR="0009331B" w:rsidRPr="00CF7790" w14:paraId="69C9A08F" w14:textId="77777777" w:rsidTr="004D0E60">
        <w:trPr>
          <w:trHeight w:val="240"/>
          <w:jc w:val="center"/>
        </w:trPr>
        <w:tc>
          <w:tcPr>
            <w:tcW w:w="2375" w:type="dxa"/>
            <w:tcBorders>
              <w:top w:val="nil"/>
              <w:left w:val="single" w:sz="4" w:space="0" w:color="auto"/>
              <w:bottom w:val="single" w:sz="4" w:space="0" w:color="auto"/>
              <w:right w:val="single" w:sz="4" w:space="0" w:color="auto"/>
            </w:tcBorders>
            <w:shd w:val="clear" w:color="auto" w:fill="FFFFFF" w:themeFill="background1"/>
            <w:vAlign w:val="bottom"/>
            <w:hideMark/>
          </w:tcPr>
          <w:p w14:paraId="06403B2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UCAYALI</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9292E8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15,823,665</w:t>
            </w:r>
          </w:p>
        </w:tc>
        <w:tc>
          <w:tcPr>
            <w:tcW w:w="1285" w:type="dxa"/>
            <w:tcBorders>
              <w:top w:val="nil"/>
              <w:left w:val="nil"/>
              <w:bottom w:val="single" w:sz="4" w:space="0" w:color="auto"/>
              <w:right w:val="single" w:sz="4" w:space="0" w:color="auto"/>
            </w:tcBorders>
            <w:shd w:val="clear" w:color="auto" w:fill="FFFFFF" w:themeFill="background1"/>
            <w:noWrap/>
            <w:vAlign w:val="bottom"/>
            <w:hideMark/>
          </w:tcPr>
          <w:p w14:paraId="6BEB3DE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41,235,500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AB26B4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161%</w:t>
            </w:r>
          </w:p>
        </w:tc>
      </w:tr>
    </w:tbl>
    <w:p w14:paraId="2EED11A9" w14:textId="11126870" w:rsidR="001624BE" w:rsidRPr="00CF7790" w:rsidRDefault="001624BE" w:rsidP="004D0E60">
      <w:pPr>
        <w:pStyle w:val="ESTILOTABLA"/>
        <w:jc w:val="left"/>
      </w:pPr>
    </w:p>
    <w:p w14:paraId="56233EC9" w14:textId="04271FE0" w:rsidR="008515FE" w:rsidRDefault="008515FE"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7</w:t>
      </w:r>
      <w:r w:rsidR="00354646">
        <w:rPr>
          <w:noProof/>
        </w:rPr>
        <w:fldChar w:fldCharType="end"/>
      </w:r>
    </w:p>
    <w:tbl>
      <w:tblPr>
        <w:tblStyle w:val="5"/>
        <w:tblW w:w="850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9"/>
        <w:gridCol w:w="535"/>
        <w:gridCol w:w="6131"/>
      </w:tblGrid>
      <w:tr w:rsidR="0009331B" w:rsidRPr="00CF7790" w14:paraId="61DC0095" w14:textId="77777777" w:rsidTr="00CF7790">
        <w:trPr>
          <w:trHeight w:val="285"/>
        </w:trPr>
        <w:tc>
          <w:tcPr>
            <w:tcW w:w="1839" w:type="dxa"/>
            <w:tcBorders>
              <w:top w:val="single" w:sz="4" w:space="0" w:color="000000"/>
              <w:left w:val="single" w:sz="4" w:space="0" w:color="000000"/>
              <w:bottom w:val="single" w:sz="4" w:space="0" w:color="000000"/>
              <w:right w:val="single" w:sz="4" w:space="0" w:color="000000"/>
            </w:tcBorders>
            <w:shd w:val="clear" w:color="auto" w:fill="000000" w:themeFill="text1"/>
            <w:vAlign w:val="center"/>
            <w:hideMark/>
          </w:tcPr>
          <w:p w14:paraId="1ACB3DE6" w14:textId="77777777" w:rsidR="0009331B" w:rsidRPr="00CF7790" w:rsidRDefault="0009331B" w:rsidP="00CF7790">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b/>
                <w:bCs/>
                <w:color w:val="FFFFFF" w:themeColor="background1"/>
                <w:sz w:val="16"/>
                <w:szCs w:val="16"/>
              </w:rPr>
              <w:t>CATEGORIAS</w:t>
            </w:r>
          </w:p>
        </w:tc>
        <w:tc>
          <w:tcPr>
            <w:tcW w:w="53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02125CA7"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b/>
                <w:bCs/>
                <w:color w:val="FFFFFF" w:themeColor="background1"/>
                <w:sz w:val="16"/>
                <w:szCs w:val="16"/>
              </w:rPr>
              <w:t>Nro.</w:t>
            </w:r>
          </w:p>
        </w:tc>
        <w:tc>
          <w:tcPr>
            <w:tcW w:w="6131" w:type="dxa"/>
            <w:tcBorders>
              <w:top w:val="single" w:sz="4" w:space="0" w:color="000000"/>
              <w:left w:val="single" w:sz="4" w:space="0" w:color="000000"/>
              <w:bottom w:val="single" w:sz="4" w:space="0" w:color="000000"/>
              <w:right w:val="single" w:sz="4" w:space="0" w:color="000000"/>
            </w:tcBorders>
            <w:shd w:val="clear" w:color="auto" w:fill="000000" w:themeFill="text1"/>
            <w:vAlign w:val="center"/>
            <w:hideMark/>
          </w:tcPr>
          <w:p w14:paraId="157919B5" w14:textId="2FCB9FE1"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b/>
                <w:bCs/>
                <w:color w:val="FFFFFF" w:themeColor="background1"/>
                <w:sz w:val="16"/>
                <w:szCs w:val="16"/>
              </w:rPr>
              <w:t xml:space="preserve">ESTRATEGIAS DE IMPLEMENTACIÓN DEL </w:t>
            </w:r>
            <w:r w:rsidR="00D979D4" w:rsidRPr="00CF7790">
              <w:rPr>
                <w:rFonts w:ascii="Open Sans Light" w:eastAsia="Open Sans Light" w:hAnsi="Open Sans Light" w:cs="Open Sans Light"/>
                <w:b/>
                <w:bCs/>
                <w:color w:val="FFFFFF" w:themeColor="background1"/>
                <w:sz w:val="16"/>
                <w:szCs w:val="16"/>
              </w:rPr>
              <w:t>PNAIA 2012 – 2021</w:t>
            </w:r>
          </w:p>
        </w:tc>
      </w:tr>
      <w:tr w:rsidR="0009331B" w:rsidRPr="00CF7790" w14:paraId="0AE23D0B" w14:textId="77777777" w:rsidTr="00CF7790">
        <w:trPr>
          <w:trHeight w:val="285"/>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500F3E14" w14:textId="77777777" w:rsidR="0009331B" w:rsidRPr="00CF7790" w:rsidRDefault="0009331B" w:rsidP="00CF7790">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Promoción de normativa y lineamientos</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73CD58F5"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27DAAB16"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Difundir el marco legal que orienta la implementación y ordenamiento de los servicios de Educación Inicial.</w:t>
            </w:r>
          </w:p>
        </w:tc>
      </w:tr>
      <w:tr w:rsidR="0009331B" w:rsidRPr="00CF7790" w14:paraId="5888B537" w14:textId="77777777" w:rsidTr="00CF7790">
        <w:trPr>
          <w:trHeight w:val="285"/>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244C7E81" w14:textId="77777777" w:rsidR="0009331B" w:rsidRPr="00CF7790" w:rsidRDefault="0009331B" w:rsidP="00CF7790">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Promoción de la Salud</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259DD47C"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2</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32ED66AC"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El Ministerio de Educación concertará con los sectores Salud, MIMP, gobiernos regionales y gobiernos locales, así como con instituciones no gubernamentales y de la sociedad civil, la atención en nutrición y salud para las niñas y niños menores de 6 años de edad atendidos por las instituciones educativas y los programas del nivel inicial</w:t>
            </w:r>
          </w:p>
        </w:tc>
      </w:tr>
      <w:tr w:rsidR="0009331B" w:rsidRPr="00CF7790" w14:paraId="03BB6B69" w14:textId="77777777" w:rsidTr="00CF7790">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hideMark/>
          </w:tcPr>
          <w:p w14:paraId="0F9CEBEE" w14:textId="5810EEFD" w:rsidR="0009331B" w:rsidRPr="00CF7790" w:rsidRDefault="0009331B" w:rsidP="00CF7790">
            <w:pPr>
              <w:jc w:val="center"/>
              <w:rPr>
                <w:rFonts w:ascii="Open Sans Light" w:eastAsia="Open Sans Light" w:hAnsi="Open Sans Light" w:cs="Open Sans Light"/>
                <w:sz w:val="16"/>
                <w:szCs w:val="16"/>
              </w:rPr>
            </w:pPr>
            <w:bookmarkStart w:id="18" w:name="_Hlk88120546"/>
            <w:r w:rsidRPr="00CF7790">
              <w:rPr>
                <w:rFonts w:ascii="Open Sans Light" w:eastAsia="Open Sans Light" w:hAnsi="Open Sans Light" w:cs="Open Sans Light"/>
                <w:sz w:val="16"/>
                <w:szCs w:val="16"/>
              </w:rPr>
              <w:t>Incremento de la cobertura del servicio de educación inicial</w:t>
            </w:r>
            <w:bookmarkEnd w:id="18"/>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1213C0FC"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3</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1ADF4DE1"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Asignar recursos para aumentar el número de las plazas docentes que lleven a cumplir la meta de cobertura universal</w:t>
            </w:r>
          </w:p>
        </w:tc>
      </w:tr>
      <w:tr w:rsidR="0009331B" w:rsidRPr="00CF7790" w14:paraId="58540406"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4814573D" w14:textId="77777777" w:rsidR="0009331B" w:rsidRPr="00CF7790" w:rsidRDefault="0009331B" w:rsidP="00CF7790">
            <w:pPr>
              <w:jc w:val="center"/>
              <w:rPr>
                <w:rFonts w:ascii="Open Sans Light" w:eastAsia="Open Sans Light" w:hAnsi="Open Sans Light" w:cs="Open Sans Light"/>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F638C8F"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4</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39143C24"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Adecuar y/o habilitar la infraestructura educativa para la atención de la educación inicial.</w:t>
            </w:r>
          </w:p>
        </w:tc>
      </w:tr>
      <w:tr w:rsidR="0009331B" w:rsidRPr="00CF7790" w14:paraId="06685F9C"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2A2B36F1" w14:textId="77777777" w:rsidR="0009331B" w:rsidRPr="00CF7790" w:rsidRDefault="0009331B" w:rsidP="00CF7790">
            <w:pPr>
              <w:jc w:val="center"/>
              <w:rPr>
                <w:rFonts w:ascii="Open Sans Light" w:eastAsia="Open Sans Light" w:hAnsi="Open Sans Light" w:cs="Open Sans Light"/>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56E79072"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5</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0C9D378A"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Promover programas para educación especial en el ámbito rural</w:t>
            </w:r>
          </w:p>
        </w:tc>
      </w:tr>
      <w:tr w:rsidR="0009331B" w:rsidRPr="00CF7790" w14:paraId="0730E006" w14:textId="77777777" w:rsidTr="00CF7790">
        <w:trPr>
          <w:trHeight w:val="285"/>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6D28992B" w14:textId="77777777" w:rsidR="0009331B" w:rsidRPr="00CF7790" w:rsidRDefault="0009331B" w:rsidP="00CF7790">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Fortalecimiento de la calidad del servicio en la educación inicial</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988FAFC"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6</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271172D6"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 xml:space="preserve">Coordinar con los gobiernos regionales el incremento progresivo de presupuestos para la educación inicial, a fin de </w:t>
            </w:r>
          </w:p>
          <w:p w14:paraId="636F34B0"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 xml:space="preserve">a) Fortalecer la calidad de los servicios del ciclo II con énfasis en el ámbito rural, </w:t>
            </w:r>
          </w:p>
          <w:p w14:paraId="3C451F93"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 xml:space="preserve">b) Formación de docentes bilingües para el nivel inicial, </w:t>
            </w:r>
          </w:p>
          <w:p w14:paraId="42D929DC"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c) Formación de docentes de</w:t>
            </w:r>
            <w:r w:rsidRPr="00CF7790">
              <w:rPr>
                <w:rFonts w:ascii="Open Sans Light" w:hAnsi="Open Sans Light" w:cs="Open Sans Light"/>
                <w:sz w:val="16"/>
                <w:szCs w:val="16"/>
              </w:rPr>
              <w:t xml:space="preserve"> </w:t>
            </w:r>
            <w:r w:rsidRPr="00CF7790">
              <w:rPr>
                <w:rFonts w:ascii="Open Sans Light" w:eastAsia="Open Sans Light" w:hAnsi="Open Sans Light" w:cs="Open Sans Light"/>
                <w:color w:val="000000"/>
                <w:sz w:val="16"/>
                <w:szCs w:val="16"/>
              </w:rPr>
              <w:t>educación especial para la atención de 3 a 5 años de edad,</w:t>
            </w:r>
          </w:p>
          <w:p w14:paraId="2027C680"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d) Crear plazas para docentes bilingües y de educación especial,</w:t>
            </w:r>
          </w:p>
          <w:p w14:paraId="30F6CD5B"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e) Dar sostenibilidad a los convenios de concertación intersectorial e interinstitucional.</w:t>
            </w:r>
          </w:p>
        </w:tc>
      </w:tr>
      <w:tr w:rsidR="0009331B" w:rsidRPr="00CF7790" w14:paraId="6289D198" w14:textId="77777777" w:rsidTr="00CF7790">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hideMark/>
          </w:tcPr>
          <w:p w14:paraId="790EEFFD" w14:textId="77777777" w:rsidR="0009331B" w:rsidRPr="00CF7790" w:rsidRDefault="0009331B" w:rsidP="00CF7790">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Incrementar la asistencia y matrícula en educación inicial</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D19A463"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7</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6BC43DF5"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Impulsar un sistema de Consejería Familiar Municipal para lograr que todos los niñas y niños de 3 a 5 años de edad sean matriculados en los centros de educación inicial, con énfasis en las zonas rurales.</w:t>
            </w:r>
          </w:p>
        </w:tc>
      </w:tr>
      <w:tr w:rsidR="0009331B" w:rsidRPr="00CF7790" w14:paraId="18B5A004"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5C3A9C25" w14:textId="77777777" w:rsidR="0009331B" w:rsidRPr="00CF7790" w:rsidRDefault="0009331B" w:rsidP="00CF7790">
            <w:pPr>
              <w:jc w:val="cente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F850ECF"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8</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3E95ED19"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Difundir la importancia de la primera infancia, el juego y sus efectos en el desarrollo de niñas y niños</w:t>
            </w:r>
          </w:p>
        </w:tc>
      </w:tr>
      <w:tr w:rsidR="0009331B" w:rsidRPr="00CF7790" w14:paraId="0A97732F"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0AC87B52" w14:textId="77777777" w:rsidR="0009331B" w:rsidRPr="00CF7790" w:rsidRDefault="0009331B" w:rsidP="00CF7790">
            <w:pPr>
              <w:jc w:val="cente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82F9F4D"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9</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65FF34BF"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Impulsar y promover dentro del proceso de enseñanza-aprendizaje del nivel inicial un enfoque ecológico vivencial que estimule el desarrollo de habilidades, valores y conciencia ambiental desde la primera infancia</w:t>
            </w:r>
          </w:p>
        </w:tc>
      </w:tr>
      <w:tr w:rsidR="0009331B" w:rsidRPr="00CF7790" w14:paraId="76C5FFE7" w14:textId="77777777" w:rsidTr="00CF7790">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hideMark/>
          </w:tcPr>
          <w:p w14:paraId="6F2A85D9" w14:textId="77777777" w:rsidR="0009331B" w:rsidRPr="00CF7790" w:rsidRDefault="0009331B" w:rsidP="00CF7790">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Prevención de la violencia entre pares</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D5DC360"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10</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211D294C" w14:textId="480B40BE"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 xml:space="preserve">Implementar programas especializados para la prevención y atención del </w:t>
            </w:r>
            <w:r w:rsidR="00EF0CCC" w:rsidRPr="00CF7790">
              <w:rPr>
                <w:rFonts w:ascii="Open Sans Light" w:eastAsia="Open Sans Light" w:hAnsi="Open Sans Light" w:cs="Open Sans Light"/>
                <w:color w:val="000000"/>
                <w:sz w:val="16"/>
                <w:szCs w:val="16"/>
              </w:rPr>
              <w:t>acoso escolar</w:t>
            </w:r>
            <w:r w:rsidRPr="00CF7790">
              <w:rPr>
                <w:rFonts w:ascii="Open Sans Light" w:eastAsia="Open Sans Light" w:hAnsi="Open Sans Light" w:cs="Open Sans Light"/>
                <w:color w:val="000000"/>
                <w:sz w:val="16"/>
                <w:szCs w:val="16"/>
              </w:rPr>
              <w:t xml:space="preserve"> en las instituciones educativas, con la participación de las familias</w:t>
            </w:r>
          </w:p>
        </w:tc>
      </w:tr>
      <w:tr w:rsidR="0009331B" w:rsidRPr="00CF7790" w14:paraId="1E75485F"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24F74312" w14:textId="77777777" w:rsidR="0009331B" w:rsidRPr="00CF7790" w:rsidRDefault="0009331B" w:rsidP="00CF7790">
            <w:pPr>
              <w:jc w:val="cente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3CD4D0A6"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11</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4B55323E"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Implementar mecanismos de registro estándares sobre casos de violencia</w:t>
            </w:r>
          </w:p>
        </w:tc>
      </w:tr>
    </w:tbl>
    <w:p w14:paraId="7D82BEEE" w14:textId="16BCA53A" w:rsidR="001624BE" w:rsidRPr="00CF7790" w:rsidRDefault="001624BE" w:rsidP="004D0E60">
      <w:pPr>
        <w:pStyle w:val="ESTILOTABLA"/>
        <w:jc w:val="left"/>
      </w:pPr>
    </w:p>
    <w:p w14:paraId="203D7CF7" w14:textId="54C51863" w:rsidR="008515FE" w:rsidRDefault="008515FE"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8</w:t>
      </w:r>
      <w:r w:rsidR="00354646">
        <w:rPr>
          <w:noProof/>
        </w:rPr>
        <w:fldChar w:fldCharType="end"/>
      </w:r>
    </w:p>
    <w:tbl>
      <w:tblPr>
        <w:tblW w:w="9245" w:type="dxa"/>
        <w:jc w:val="center"/>
        <w:tblCellMar>
          <w:left w:w="70" w:type="dxa"/>
          <w:right w:w="70" w:type="dxa"/>
        </w:tblCellMar>
        <w:tblLook w:val="04A0" w:firstRow="1" w:lastRow="0" w:firstColumn="1" w:lastColumn="0" w:noHBand="0" w:noVBand="1"/>
      </w:tblPr>
      <w:tblGrid>
        <w:gridCol w:w="1633"/>
        <w:gridCol w:w="1780"/>
        <w:gridCol w:w="2974"/>
        <w:gridCol w:w="1420"/>
        <w:gridCol w:w="1438"/>
      </w:tblGrid>
      <w:tr w:rsidR="0009331B" w:rsidRPr="00CF7790" w14:paraId="3B299534" w14:textId="77777777" w:rsidTr="00CF7790">
        <w:trPr>
          <w:trHeight w:val="198"/>
          <w:tblHeader/>
          <w:jc w:val="center"/>
        </w:trPr>
        <w:tc>
          <w:tcPr>
            <w:tcW w:w="1633"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7E7E5B31" w14:textId="77777777" w:rsidR="0009331B" w:rsidRPr="00CF7790" w:rsidRDefault="0009331B" w:rsidP="00CF779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EJE / CATEGORÍA</w:t>
            </w:r>
          </w:p>
        </w:tc>
        <w:tc>
          <w:tcPr>
            <w:tcW w:w="1780" w:type="dxa"/>
            <w:tcBorders>
              <w:top w:val="single" w:sz="4" w:space="0" w:color="auto"/>
              <w:left w:val="nil"/>
              <w:bottom w:val="single" w:sz="4" w:space="0" w:color="auto"/>
              <w:right w:val="single" w:sz="4" w:space="0" w:color="auto"/>
            </w:tcBorders>
            <w:shd w:val="clear" w:color="auto" w:fill="000000" w:themeFill="text1"/>
            <w:vAlign w:val="center"/>
            <w:hideMark/>
          </w:tcPr>
          <w:p w14:paraId="507D661A" w14:textId="77777777" w:rsidR="0009331B" w:rsidRPr="00CF7790" w:rsidRDefault="0009331B" w:rsidP="00CF779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CUMPLIMIENTO DEL EJE</w:t>
            </w:r>
          </w:p>
        </w:tc>
        <w:tc>
          <w:tcPr>
            <w:tcW w:w="2974"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75C2E4A9" w14:textId="77777777" w:rsidR="0009331B" w:rsidRPr="00CF7790" w:rsidRDefault="0009331B" w:rsidP="00CF779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MEDIO DE VERIFICACIÓN</w:t>
            </w:r>
          </w:p>
        </w:tc>
        <w:tc>
          <w:tcPr>
            <w:tcW w:w="14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50CB12D7" w14:textId="36B03BEC" w:rsidR="0009331B" w:rsidRPr="00CF7790" w:rsidRDefault="0009331B" w:rsidP="00CF779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PRESUPUESTO EJECUTADO 2020</w:t>
            </w:r>
          </w:p>
          <w:p w14:paraId="199EAE3B" w14:textId="77777777" w:rsidR="0009331B" w:rsidRPr="00CF7790" w:rsidRDefault="0009331B" w:rsidP="00CF779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(SOLES)</w:t>
            </w:r>
          </w:p>
        </w:tc>
        <w:tc>
          <w:tcPr>
            <w:tcW w:w="1438"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778EC507" w14:textId="77777777" w:rsidR="0009331B" w:rsidRPr="00CF7790" w:rsidRDefault="0009331B" w:rsidP="00CF7790">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 VAR EJECUCIÓN PRESUPUESTAL 2012 - 2020</w:t>
            </w:r>
          </w:p>
        </w:tc>
      </w:tr>
      <w:tr w:rsidR="0009331B" w:rsidRPr="00CF7790" w14:paraId="647810F0" w14:textId="77777777" w:rsidTr="00CF7790">
        <w:trPr>
          <w:trHeight w:val="198"/>
          <w:jc w:val="center"/>
        </w:trPr>
        <w:tc>
          <w:tcPr>
            <w:tcW w:w="1633" w:type="dxa"/>
            <w:tcBorders>
              <w:top w:val="nil"/>
              <w:left w:val="single" w:sz="4" w:space="0" w:color="auto"/>
              <w:bottom w:val="single" w:sz="4" w:space="0" w:color="auto"/>
              <w:right w:val="single" w:sz="4" w:space="0" w:color="auto"/>
            </w:tcBorders>
            <w:shd w:val="clear" w:color="auto" w:fill="FFFFFF" w:themeFill="background1"/>
            <w:vAlign w:val="center"/>
            <w:hideMark/>
          </w:tcPr>
          <w:p w14:paraId="454DC8E0"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Open Sans Light" w:hAnsi="Open Sans Light" w:cs="Open Sans Light"/>
                <w:color w:val="000000"/>
                <w:sz w:val="16"/>
                <w:szCs w:val="16"/>
              </w:rPr>
              <w:t>Promoción de normativa y lineamientos</w:t>
            </w:r>
          </w:p>
        </w:tc>
        <w:tc>
          <w:tcPr>
            <w:tcW w:w="17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20232C"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Se cumplió la implementación del eje</w:t>
            </w:r>
          </w:p>
        </w:tc>
        <w:tc>
          <w:tcPr>
            <w:tcW w:w="2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FF23B1A" w14:textId="48D7C7D2"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 xml:space="preserve">Informes Anuales del </w:t>
            </w:r>
            <w:r w:rsidR="00D979D4" w:rsidRPr="00CF7790">
              <w:rPr>
                <w:rFonts w:ascii="Open Sans Light" w:eastAsia="Times New Roman" w:hAnsi="Open Sans Light" w:cs="Open Sans Light"/>
                <w:color w:val="000000"/>
                <w:sz w:val="16"/>
                <w:szCs w:val="16"/>
              </w:rPr>
              <w:t>PNAIA 2012 – 2021</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AD258C5"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No aplica</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A44F04"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No aplica</w:t>
            </w:r>
          </w:p>
        </w:tc>
      </w:tr>
      <w:tr w:rsidR="0009331B" w:rsidRPr="00CF7790" w14:paraId="3D88C98D" w14:textId="77777777" w:rsidTr="00CF7790">
        <w:trPr>
          <w:trHeight w:val="198"/>
          <w:jc w:val="center"/>
        </w:trPr>
        <w:tc>
          <w:tcPr>
            <w:tcW w:w="1633"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2EA1C6" w14:textId="77777777" w:rsidR="0009331B" w:rsidRPr="00CF7790" w:rsidRDefault="0009331B" w:rsidP="00CF7790">
            <w:pPr>
              <w:spacing w:after="0" w:line="240" w:lineRule="auto"/>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Promoción de la Salud</w:t>
            </w:r>
          </w:p>
        </w:tc>
        <w:tc>
          <w:tcPr>
            <w:tcW w:w="17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0119EC"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Se cumplió la implementación del eje</w:t>
            </w:r>
          </w:p>
        </w:tc>
        <w:tc>
          <w:tcPr>
            <w:tcW w:w="2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4C4948"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Programa de Alimentación Escolar</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A3FAC4"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hAnsi="Open Sans Light" w:cs="Open Sans Light"/>
                <w:sz w:val="16"/>
                <w:szCs w:val="16"/>
              </w:rPr>
              <w:t>1,202,416,554</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D8001B"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hAnsi="Open Sans Light" w:cs="Open Sans Light"/>
                <w:sz w:val="16"/>
                <w:szCs w:val="16"/>
              </w:rPr>
              <w:t>25%</w:t>
            </w:r>
          </w:p>
        </w:tc>
      </w:tr>
      <w:tr w:rsidR="0009331B" w:rsidRPr="00CF7790" w14:paraId="34A0DB89" w14:textId="77777777" w:rsidTr="00CF7790">
        <w:trPr>
          <w:trHeight w:val="198"/>
          <w:jc w:val="center"/>
        </w:trPr>
        <w:tc>
          <w:tcPr>
            <w:tcW w:w="1633"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A8F379" w14:textId="77777777" w:rsidR="0009331B" w:rsidRPr="00CF7790" w:rsidRDefault="0009331B" w:rsidP="00CF7790">
            <w:pPr>
              <w:spacing w:after="0" w:line="240" w:lineRule="auto"/>
              <w:jc w:val="center"/>
              <w:rPr>
                <w:rFonts w:ascii="Open Sans Light" w:eastAsia="Open Sans Light" w:hAnsi="Open Sans Light" w:cs="Open Sans Light"/>
                <w:sz w:val="16"/>
                <w:szCs w:val="16"/>
              </w:rPr>
            </w:pPr>
            <w:r w:rsidRPr="00CF7790">
              <w:rPr>
                <w:rFonts w:ascii="Open Sans Light" w:eastAsia="Open Sans Light" w:hAnsi="Open Sans Light" w:cs="Open Sans Light"/>
                <w:sz w:val="16"/>
                <w:szCs w:val="16"/>
              </w:rPr>
              <w:t>Incremento de la cobertura del servicio de educación inicial</w:t>
            </w:r>
          </w:p>
        </w:tc>
        <w:tc>
          <w:tcPr>
            <w:tcW w:w="17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914D36"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No se cumplió la implementación del eje, pues se redujo la ejecución presupuestal</w:t>
            </w:r>
          </w:p>
        </w:tc>
        <w:tc>
          <w:tcPr>
            <w:tcW w:w="2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4BEBCE"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Programa Presupuestal “Acceso de la población a los servicios educativos públicos de la educación básica”</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3A219D9"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hAnsi="Open Sans Light" w:cs="Open Sans Light"/>
                <w:sz w:val="16"/>
                <w:szCs w:val="16"/>
              </w:rPr>
              <w:t>6,790,947</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C675C6"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-22%</w:t>
            </w:r>
            <w:r w:rsidRPr="00CF7790">
              <w:rPr>
                <w:rStyle w:val="FootnoteReference"/>
                <w:rFonts w:ascii="Open Sans Light" w:hAnsi="Open Sans Light" w:cs="Open Sans Light"/>
                <w:sz w:val="16"/>
                <w:szCs w:val="16"/>
              </w:rPr>
              <w:footnoteReference w:id="3"/>
            </w:r>
          </w:p>
        </w:tc>
      </w:tr>
      <w:tr w:rsidR="0009331B" w:rsidRPr="00CF7790" w14:paraId="3BA0A85D" w14:textId="77777777" w:rsidTr="00CF7790">
        <w:trPr>
          <w:trHeight w:val="198"/>
          <w:jc w:val="center"/>
        </w:trPr>
        <w:tc>
          <w:tcPr>
            <w:tcW w:w="1633" w:type="dxa"/>
            <w:tcBorders>
              <w:top w:val="nil"/>
              <w:left w:val="single" w:sz="4" w:space="0" w:color="auto"/>
              <w:bottom w:val="single" w:sz="4" w:space="0" w:color="auto"/>
              <w:right w:val="single" w:sz="4" w:space="0" w:color="auto"/>
            </w:tcBorders>
            <w:shd w:val="clear" w:color="auto" w:fill="FFFFFF" w:themeFill="background1"/>
            <w:vAlign w:val="center"/>
            <w:hideMark/>
          </w:tcPr>
          <w:p w14:paraId="1A12EFDD" w14:textId="77777777" w:rsidR="0009331B" w:rsidRPr="00CF7790" w:rsidRDefault="0009331B" w:rsidP="00CF7790">
            <w:pPr>
              <w:spacing w:after="0" w:line="240" w:lineRule="auto"/>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Fortalecimiento de la calidad del servicio en la educación inicial</w:t>
            </w:r>
          </w:p>
        </w:tc>
        <w:tc>
          <w:tcPr>
            <w:tcW w:w="17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88A3A3"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No se cumplió la implementación del eje, pues se redujo la ejecución presupuestal</w:t>
            </w:r>
          </w:p>
        </w:tc>
        <w:tc>
          <w:tcPr>
            <w:tcW w:w="2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FA8074"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PP 0090</w:t>
            </w:r>
            <w:r w:rsidRPr="00CF7790">
              <w:rPr>
                <w:rFonts w:ascii="Open Sans Light" w:hAnsi="Open Sans Light" w:cs="Open Sans Light"/>
                <w:sz w:val="16"/>
                <w:szCs w:val="16"/>
              </w:rPr>
              <w:t xml:space="preserve"> “</w:t>
            </w:r>
            <w:r w:rsidRPr="00CF7790">
              <w:rPr>
                <w:rFonts w:ascii="Open Sans Light" w:eastAsia="Times New Roman" w:hAnsi="Open Sans Light" w:cs="Open Sans Light"/>
                <w:color w:val="000000"/>
                <w:sz w:val="16"/>
                <w:szCs w:val="16"/>
              </w:rPr>
              <w:t>Logros de aprendizaje de estudiantes de la educación básica regular”: Producto “Docentes preparados implementan el currículo”</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1EAC9F"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20,573,091</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D1185E"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-52%</w:t>
            </w:r>
          </w:p>
        </w:tc>
      </w:tr>
      <w:tr w:rsidR="0009331B" w:rsidRPr="00CF7790" w14:paraId="50D9C0B9" w14:textId="77777777" w:rsidTr="00CF7790">
        <w:trPr>
          <w:trHeight w:val="198"/>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67C5F0" w14:textId="77777777" w:rsidR="0009331B" w:rsidRPr="00CF7790" w:rsidRDefault="0009331B" w:rsidP="00CF7790">
            <w:pPr>
              <w:spacing w:after="0" w:line="240" w:lineRule="auto"/>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Incrementar la asistencia y matrícula en educación inicial</w:t>
            </w:r>
          </w:p>
        </w:tc>
        <w:tc>
          <w:tcPr>
            <w:tcW w:w="17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214CF9"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Se cumplió la implementación del eje</w:t>
            </w:r>
          </w:p>
        </w:tc>
        <w:tc>
          <w:tcPr>
            <w:tcW w:w="2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92BC8E"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Programa Presupuestal Cuna Mas – PP 0098: Producto “Familias acceden a acompañamiento en cuidado y aprendizaje de sus niños y niñas menores de 36 meses, que viven en situación de pobreza y extrema pobreza en zonas rurales”</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9587418"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163,272,309</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16A94C2"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542%</w:t>
            </w:r>
          </w:p>
        </w:tc>
      </w:tr>
      <w:tr w:rsidR="0009331B" w:rsidRPr="00CF7790" w14:paraId="4F75BBBE" w14:textId="77777777" w:rsidTr="00CF7790">
        <w:trPr>
          <w:trHeight w:val="198"/>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C368C6" w14:textId="77777777" w:rsidR="0009331B" w:rsidRPr="00CF7790" w:rsidRDefault="0009331B" w:rsidP="00CF7790">
            <w:pPr>
              <w:spacing w:after="0" w:line="240" w:lineRule="auto"/>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Prevención de la violencia entre pares</w:t>
            </w:r>
          </w:p>
        </w:tc>
        <w:tc>
          <w:tcPr>
            <w:tcW w:w="17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975F86"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S/D</w:t>
            </w:r>
          </w:p>
        </w:tc>
        <w:tc>
          <w:tcPr>
            <w:tcW w:w="297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389196"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S/D</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3615B7"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S/D</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EBC872" w14:textId="77777777" w:rsidR="0009331B" w:rsidRPr="00CF7790" w:rsidRDefault="0009331B" w:rsidP="00CF7790">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S/D</w:t>
            </w:r>
          </w:p>
        </w:tc>
      </w:tr>
    </w:tbl>
    <w:p w14:paraId="72B04B73" w14:textId="77777777" w:rsidR="0009331B" w:rsidRPr="00CF7790" w:rsidRDefault="0009331B" w:rsidP="0009331B">
      <w:pPr>
        <w:rPr>
          <w:rFonts w:ascii="Open Sans Light" w:hAnsi="Open Sans Light" w:cs="Open Sans Light"/>
          <w:sz w:val="28"/>
          <w:szCs w:val="28"/>
        </w:rPr>
      </w:pPr>
    </w:p>
    <w:p w14:paraId="2A9504BE" w14:textId="6D04681D" w:rsidR="00CA5C7C" w:rsidRDefault="00CA5C7C"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9</w:t>
      </w:r>
      <w:r w:rsidR="00354646">
        <w:rPr>
          <w:noProof/>
        </w:rPr>
        <w:fldChar w:fldCharType="end"/>
      </w:r>
    </w:p>
    <w:tbl>
      <w:tblPr>
        <w:tblW w:w="8540" w:type="dxa"/>
        <w:tblCellMar>
          <w:left w:w="70" w:type="dxa"/>
          <w:right w:w="70" w:type="dxa"/>
        </w:tblCellMar>
        <w:tblLook w:val="04A0" w:firstRow="1" w:lastRow="0" w:firstColumn="1" w:lastColumn="0" w:noHBand="0" w:noVBand="1"/>
      </w:tblPr>
      <w:tblGrid>
        <w:gridCol w:w="2440"/>
        <w:gridCol w:w="1220"/>
        <w:gridCol w:w="1220"/>
        <w:gridCol w:w="1220"/>
        <w:gridCol w:w="1220"/>
        <w:gridCol w:w="1220"/>
      </w:tblGrid>
      <w:tr w:rsidR="0009331B" w:rsidRPr="00CF7790" w14:paraId="5C4E51C0" w14:textId="77777777" w:rsidTr="00DA42C9">
        <w:trPr>
          <w:trHeight w:val="510"/>
          <w:tblHeader/>
        </w:trPr>
        <w:tc>
          <w:tcPr>
            <w:tcW w:w="2440"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1AF05E8D" w14:textId="77777777" w:rsidR="0009331B" w:rsidRPr="00CF7790" w:rsidRDefault="0009331B" w:rsidP="00DA42C9">
            <w:pPr>
              <w:spacing w:after="0" w:line="240" w:lineRule="auto"/>
              <w:jc w:val="center"/>
              <w:rPr>
                <w:rFonts w:ascii="Open Sans Light" w:eastAsia="Times New Roman" w:hAnsi="Open Sans Light" w:cs="Open Sans Light"/>
                <w:b/>
                <w:bCs/>
                <w:color w:val="FFFFFF"/>
                <w:sz w:val="16"/>
                <w:szCs w:val="16"/>
              </w:rPr>
            </w:pPr>
            <w:bookmarkStart w:id="19" w:name="_Hlk88130582"/>
            <w:r w:rsidRPr="00CF7790">
              <w:rPr>
                <w:rFonts w:ascii="Open Sans Light" w:eastAsia="Times New Roman" w:hAnsi="Open Sans Light" w:cs="Open Sans Light"/>
                <w:b/>
                <w:bCs/>
                <w:color w:val="FFFFFF"/>
                <w:sz w:val="16"/>
                <w:szCs w:val="16"/>
              </w:rPr>
              <w:t>CATEGORIA</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126806B1" w14:textId="77777777" w:rsidR="0009331B" w:rsidRPr="00CF7790" w:rsidRDefault="0009331B" w:rsidP="00DA42C9">
            <w:pPr>
              <w:spacing w:after="0" w:line="240" w:lineRule="auto"/>
              <w:jc w:val="center"/>
              <w:rPr>
                <w:rFonts w:ascii="Open Sans Light" w:eastAsia="Times New Roman" w:hAnsi="Open Sans Light" w:cs="Open Sans Light"/>
                <w:b/>
                <w:bCs/>
                <w:color w:val="FFFFFF"/>
                <w:sz w:val="16"/>
                <w:szCs w:val="16"/>
              </w:rPr>
            </w:pPr>
            <w:r w:rsidRPr="00CF7790">
              <w:rPr>
                <w:rFonts w:ascii="Open Sans Light" w:eastAsia="Times New Roman" w:hAnsi="Open Sans Light" w:cs="Open Sans Light"/>
                <w:b/>
                <w:bCs/>
                <w:color w:val="FFFFFF"/>
                <w:sz w:val="16"/>
                <w:szCs w:val="16"/>
              </w:rPr>
              <w:t>2013</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3BD56202" w14:textId="77777777" w:rsidR="0009331B" w:rsidRPr="00CF7790" w:rsidRDefault="0009331B" w:rsidP="00DA42C9">
            <w:pPr>
              <w:spacing w:after="0" w:line="240" w:lineRule="auto"/>
              <w:jc w:val="center"/>
              <w:rPr>
                <w:rFonts w:ascii="Open Sans Light" w:eastAsia="Times New Roman" w:hAnsi="Open Sans Light" w:cs="Open Sans Light"/>
                <w:b/>
                <w:bCs/>
                <w:color w:val="FFFFFF"/>
                <w:sz w:val="16"/>
                <w:szCs w:val="16"/>
              </w:rPr>
            </w:pPr>
            <w:r w:rsidRPr="00CF7790">
              <w:rPr>
                <w:rFonts w:ascii="Open Sans Light" w:eastAsia="Times New Roman" w:hAnsi="Open Sans Light" w:cs="Open Sans Light"/>
                <w:b/>
                <w:bCs/>
                <w:color w:val="FFFFFF"/>
                <w:sz w:val="16"/>
                <w:szCs w:val="16"/>
              </w:rPr>
              <w:t>2019</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041DB8ED" w14:textId="77777777" w:rsidR="0009331B" w:rsidRPr="00CF7790" w:rsidRDefault="0009331B" w:rsidP="00DA42C9">
            <w:pPr>
              <w:spacing w:after="0" w:line="240" w:lineRule="auto"/>
              <w:jc w:val="center"/>
              <w:rPr>
                <w:rFonts w:ascii="Open Sans Light" w:eastAsia="Times New Roman" w:hAnsi="Open Sans Light" w:cs="Open Sans Light"/>
                <w:b/>
                <w:bCs/>
                <w:color w:val="FFFFFF"/>
                <w:sz w:val="16"/>
                <w:szCs w:val="16"/>
              </w:rPr>
            </w:pPr>
            <w:r w:rsidRPr="00CF7790">
              <w:rPr>
                <w:rFonts w:ascii="Open Sans Light" w:eastAsia="Times New Roman" w:hAnsi="Open Sans Light" w:cs="Open Sans Light"/>
                <w:b/>
                <w:bCs/>
                <w:color w:val="FFFFFF"/>
                <w:sz w:val="16"/>
                <w:szCs w:val="16"/>
              </w:rPr>
              <w:t>2020</w:t>
            </w:r>
          </w:p>
        </w:tc>
        <w:tc>
          <w:tcPr>
            <w:tcW w:w="1220" w:type="dxa"/>
            <w:tcBorders>
              <w:top w:val="single" w:sz="4" w:space="0" w:color="auto"/>
              <w:left w:val="nil"/>
              <w:bottom w:val="single" w:sz="4" w:space="0" w:color="auto"/>
              <w:right w:val="single" w:sz="4" w:space="0" w:color="auto"/>
            </w:tcBorders>
            <w:shd w:val="clear" w:color="auto" w:fill="000000" w:themeFill="text1"/>
            <w:vAlign w:val="center"/>
            <w:hideMark/>
          </w:tcPr>
          <w:p w14:paraId="034C198B" w14:textId="77777777" w:rsidR="0009331B" w:rsidRPr="00CF7790" w:rsidRDefault="0009331B" w:rsidP="00DA42C9">
            <w:pPr>
              <w:spacing w:after="0" w:line="240" w:lineRule="auto"/>
              <w:jc w:val="center"/>
              <w:rPr>
                <w:rFonts w:ascii="Open Sans Light" w:eastAsia="Times New Roman" w:hAnsi="Open Sans Light" w:cs="Open Sans Light"/>
                <w:b/>
                <w:bCs/>
                <w:color w:val="FFFFFF"/>
                <w:sz w:val="16"/>
                <w:szCs w:val="16"/>
              </w:rPr>
            </w:pPr>
            <w:r w:rsidRPr="00CF7790">
              <w:rPr>
                <w:rFonts w:ascii="Open Sans Light" w:eastAsia="Times New Roman" w:hAnsi="Open Sans Light" w:cs="Open Sans Light"/>
                <w:b/>
                <w:bCs/>
                <w:color w:val="FFFFFF"/>
                <w:sz w:val="16"/>
                <w:szCs w:val="16"/>
              </w:rPr>
              <w:t>% VAR 2013-2019</w:t>
            </w:r>
          </w:p>
        </w:tc>
        <w:tc>
          <w:tcPr>
            <w:tcW w:w="1220" w:type="dxa"/>
            <w:tcBorders>
              <w:top w:val="single" w:sz="4" w:space="0" w:color="auto"/>
              <w:left w:val="nil"/>
              <w:bottom w:val="single" w:sz="4" w:space="0" w:color="auto"/>
              <w:right w:val="single" w:sz="4" w:space="0" w:color="auto"/>
            </w:tcBorders>
            <w:shd w:val="clear" w:color="auto" w:fill="000000" w:themeFill="text1"/>
            <w:vAlign w:val="center"/>
            <w:hideMark/>
          </w:tcPr>
          <w:p w14:paraId="197C9AE0" w14:textId="77777777" w:rsidR="0009331B" w:rsidRPr="00CF7790" w:rsidRDefault="0009331B" w:rsidP="00DA42C9">
            <w:pPr>
              <w:spacing w:after="0" w:line="240" w:lineRule="auto"/>
              <w:jc w:val="center"/>
              <w:rPr>
                <w:rFonts w:ascii="Open Sans Light" w:eastAsia="Times New Roman" w:hAnsi="Open Sans Light" w:cs="Open Sans Light"/>
                <w:b/>
                <w:bCs/>
                <w:color w:val="FFFFFF"/>
                <w:sz w:val="16"/>
                <w:szCs w:val="16"/>
              </w:rPr>
            </w:pPr>
            <w:r w:rsidRPr="00CF7790">
              <w:rPr>
                <w:rFonts w:ascii="Open Sans Light" w:eastAsia="Times New Roman" w:hAnsi="Open Sans Light" w:cs="Open Sans Light"/>
                <w:b/>
                <w:bCs/>
                <w:color w:val="FFFFFF"/>
                <w:sz w:val="16"/>
                <w:szCs w:val="16"/>
              </w:rPr>
              <w:t>% VAR 2013-2020</w:t>
            </w:r>
          </w:p>
        </w:tc>
        <w:bookmarkEnd w:id="19"/>
      </w:tr>
      <w:tr w:rsidR="0009331B" w:rsidRPr="00CF7790" w14:paraId="4325E21A" w14:textId="77777777" w:rsidTr="00DA42C9">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A32371" w14:textId="77777777" w:rsidR="0009331B" w:rsidRPr="00CF7790" w:rsidRDefault="0009331B" w:rsidP="00DA42C9">
            <w:pPr>
              <w:spacing w:after="0" w:line="240" w:lineRule="auto"/>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NACIONAL</w:t>
            </w:r>
          </w:p>
        </w:tc>
        <w:tc>
          <w:tcPr>
            <w:tcW w:w="122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4938715"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8,700,490</w:t>
            </w:r>
          </w:p>
        </w:tc>
        <w:tc>
          <w:tcPr>
            <w:tcW w:w="122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AB21317"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21,860,061</w:t>
            </w:r>
          </w:p>
        </w:tc>
        <w:tc>
          <w:tcPr>
            <w:tcW w:w="122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C930064"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6,790,947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E82EE84"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151%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0053743"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-22%</w:t>
            </w:r>
          </w:p>
        </w:tc>
      </w:tr>
      <w:tr w:rsidR="0009331B" w:rsidRPr="00CF7790" w14:paraId="7050E60C"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1F5FD457"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AMAZONAS</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A61DFB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241,226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7D0BF6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838,440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7E4BD4A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571,420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E298BF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AEA79D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137%</w:t>
            </w:r>
          </w:p>
        </w:tc>
      </w:tr>
      <w:tr w:rsidR="0009331B" w:rsidRPr="00CF7790" w14:paraId="5D3F26EC"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6A965C5C"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ANCASH</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56214F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124,609</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ECAC52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505,276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3FB6F2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289,055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FE4AF5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326A97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132%</w:t>
            </w:r>
          </w:p>
        </w:tc>
      </w:tr>
      <w:tr w:rsidR="0009331B" w:rsidRPr="00CF7790" w14:paraId="30967B43"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AC50187"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APURIMAC</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2D8710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380,877</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4761E3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166,981</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271448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141,155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E5E92C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D31F52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-63%</w:t>
            </w:r>
          </w:p>
        </w:tc>
      </w:tr>
      <w:tr w:rsidR="0009331B" w:rsidRPr="00CF7790" w14:paraId="0238931C"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180385B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AREQUIPA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A2CB4A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130,885</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01B9DA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428,288</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E7CA70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117,031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F1F8AD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227%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81E01D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w:t>
            </w:r>
          </w:p>
        </w:tc>
      </w:tr>
      <w:tr w:rsidR="0009331B" w:rsidRPr="00CF7790" w14:paraId="2A1D5F4E"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F704707"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AYACUCHO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161B7A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324,639</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CD05A6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856,990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02963E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338,633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EEB8FF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DFF66F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w:t>
            </w:r>
          </w:p>
        </w:tc>
      </w:tr>
      <w:tr w:rsidR="0009331B" w:rsidRPr="00CF7790" w14:paraId="40BF5818"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3DE03CF"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lastRenderedPageBreak/>
              <w:t xml:space="preserve"> CAJAMARCA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744F93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122,613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C1869D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919,563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7FA27C2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257,572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781026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650%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B45684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110%</w:t>
            </w:r>
          </w:p>
        </w:tc>
      </w:tr>
      <w:tr w:rsidR="0009331B" w:rsidRPr="00CF7790" w14:paraId="05E0FEF5"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07A36FCE"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CALLAO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404F89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72,420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DC0BE7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306,898</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658F69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28,495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DF8BA6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324%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A14AA9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-61%</w:t>
            </w:r>
          </w:p>
        </w:tc>
      </w:tr>
      <w:tr w:rsidR="0009331B" w:rsidRPr="00CF7790" w14:paraId="12C53D87"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3A1B4F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CUSCO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DA8A89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517,520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A58BDE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617,363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979922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264,366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7E95A4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E38594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-49%</w:t>
            </w:r>
          </w:p>
        </w:tc>
      </w:tr>
      <w:tr w:rsidR="0009331B" w:rsidRPr="00CF7790" w14:paraId="37503DB8"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3D623E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HUANCAVELICA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92B65A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369,640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0E7754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551,176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A8A4AA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112,646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65ED52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F2486B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-70%</w:t>
            </w:r>
          </w:p>
        </w:tc>
      </w:tr>
      <w:tr w:rsidR="0009331B" w:rsidRPr="00CF7790" w14:paraId="13E9E0D7"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1C5C9AC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HUANUCO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7AAA37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249,108</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84D66D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632,145</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C6F2DC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209,435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03D20A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41AD1A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w:t>
            </w:r>
          </w:p>
        </w:tc>
      </w:tr>
      <w:tr w:rsidR="0009331B" w:rsidRPr="00CF7790" w14:paraId="5B556D3B"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0E636489"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ICA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61499B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101,762</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F5AA37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265,573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33D710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69,804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7261C3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1561C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-31%</w:t>
            </w:r>
          </w:p>
        </w:tc>
      </w:tr>
      <w:tr w:rsidR="0009331B" w:rsidRPr="00CF7790" w14:paraId="7F3AB98A"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774C4B2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JUNIN</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4ECAF8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238,955</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71782A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1,211,560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BFCE12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590,327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F56080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407%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27FE32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147%</w:t>
            </w:r>
          </w:p>
        </w:tc>
      </w:tr>
      <w:tr w:rsidR="0009331B" w:rsidRPr="00CF7790" w14:paraId="7B1D6583"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0AECE9EF"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 LIBERTAD</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DD7378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164,818</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47A681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641,443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6F76A8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14,100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CBFB8A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289%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21AD9A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-91%</w:t>
            </w:r>
          </w:p>
        </w:tc>
      </w:tr>
      <w:tr w:rsidR="0009331B" w:rsidRPr="00CF7790" w14:paraId="698A2658"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1CC3E1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LAMBAYEQUE</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377AB3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141,503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0EF234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709,087</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12A637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34,967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237B1C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401%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DAC642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-75%</w:t>
            </w:r>
          </w:p>
        </w:tc>
      </w:tr>
      <w:tr w:rsidR="0009331B" w:rsidRPr="00CF7790" w14:paraId="026AFA1C"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73EDEE6F"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LIMA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9E10AD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3,579,701</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968BC6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4,153,399</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20FC7E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1,494,828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273D92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15DB16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-58%</w:t>
            </w:r>
          </w:p>
        </w:tc>
      </w:tr>
      <w:tr w:rsidR="0009331B" w:rsidRPr="00CF7790" w14:paraId="61456E9D"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D09C12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LORETO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A44480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214,633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88CF98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1,415,663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34CC17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332,321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2A62EB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560%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C5B2FC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55%</w:t>
            </w:r>
          </w:p>
        </w:tc>
      </w:tr>
      <w:tr w:rsidR="0009331B" w:rsidRPr="00CF7790" w14:paraId="3FF7531A"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FB15E24"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MADRE DE DIOS</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275748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58,198</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F03422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863,576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7B0D51A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59,984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901F65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1384%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B553C4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w:t>
            </w:r>
          </w:p>
        </w:tc>
      </w:tr>
      <w:tr w:rsidR="0009331B" w:rsidRPr="00CF7790" w14:paraId="28F8F090"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0E3BF37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MOQUEGUA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CF8396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92,895</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9C00DF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379,637</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7E3E6B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65,670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D16C03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CD9C21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-29%</w:t>
            </w:r>
          </w:p>
        </w:tc>
      </w:tr>
      <w:tr w:rsidR="0009331B" w:rsidRPr="00CF7790" w14:paraId="5BE4588B"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71317ADC"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PASCO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2432CC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67,419</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618B21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678,107</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C741AB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300,055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D3248A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906%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D193A7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345%</w:t>
            </w:r>
          </w:p>
        </w:tc>
      </w:tr>
      <w:tr w:rsidR="0009331B" w:rsidRPr="00CF7790" w14:paraId="5FE02606"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6225B59E"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PIURA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BB5688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305,070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978061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1,315,687</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6C8E94A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237,647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4E9542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64F6B9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-22%</w:t>
            </w:r>
          </w:p>
        </w:tc>
      </w:tr>
      <w:tr w:rsidR="0009331B" w:rsidRPr="00CF7790" w14:paraId="0915009F"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51F92D1"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PUNO</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7501F3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461,370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77CA38C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300,103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23F1F6A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470,116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4911B6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DD4D5A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w:t>
            </w:r>
          </w:p>
        </w:tc>
      </w:tr>
      <w:tr w:rsidR="0009331B" w:rsidRPr="00CF7790" w14:paraId="4FDEB3AA"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05C599E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SAN MARTIN</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8ADC0A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328,151</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CC3C38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1,598,533</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4D318A4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214,010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092BD6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387%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878082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-35%</w:t>
            </w:r>
          </w:p>
        </w:tc>
      </w:tr>
      <w:tr w:rsidR="0009331B" w:rsidRPr="00CF7790" w14:paraId="38F4E8AE"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D9F55C4"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TACNA</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4AA09A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155,516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1A4065F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741,130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395887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225,046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AA0B96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2F5C0D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45%</w:t>
            </w:r>
          </w:p>
        </w:tc>
      </w:tr>
      <w:tr w:rsidR="0009331B" w:rsidRPr="00CF7790" w14:paraId="3A889DF2"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68F217F"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TUMBES</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5C04C72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20,385</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E58D79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408,304</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7154A7E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102,533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7BB460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1903%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679679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403%</w:t>
            </w:r>
          </w:p>
        </w:tc>
      </w:tr>
      <w:tr w:rsidR="0009331B" w:rsidRPr="00CF7790" w14:paraId="4E16D433" w14:textId="77777777" w:rsidTr="00DA42C9">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620115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UCAYALI</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374570C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236,576</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7E042AA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1,355,140</w:t>
            </w:r>
          </w:p>
        </w:tc>
        <w:tc>
          <w:tcPr>
            <w:tcW w:w="1220" w:type="dxa"/>
            <w:tcBorders>
              <w:top w:val="nil"/>
              <w:left w:val="nil"/>
              <w:bottom w:val="single" w:sz="4" w:space="0" w:color="auto"/>
              <w:right w:val="single" w:sz="4" w:space="0" w:color="auto"/>
            </w:tcBorders>
            <w:shd w:val="clear" w:color="auto" w:fill="FFFFFF" w:themeFill="background1"/>
            <w:noWrap/>
            <w:vAlign w:val="bottom"/>
            <w:hideMark/>
          </w:tcPr>
          <w:p w14:paraId="00E62B6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249,731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91AFDE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473%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B8A922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w:t>
            </w:r>
          </w:p>
        </w:tc>
      </w:tr>
    </w:tbl>
    <w:p w14:paraId="16FBA349" w14:textId="77777777" w:rsidR="004E560D" w:rsidRPr="00CF7790" w:rsidRDefault="004E560D" w:rsidP="001624BE">
      <w:pPr>
        <w:pStyle w:val="ESTILOTABLA"/>
        <w:rPr>
          <w:i w:val="0"/>
        </w:rPr>
      </w:pPr>
    </w:p>
    <w:p w14:paraId="2314E65A" w14:textId="7A6E470A" w:rsidR="00475F8C" w:rsidRDefault="00475F8C"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10</w:t>
      </w:r>
      <w:r w:rsidR="00354646">
        <w:rPr>
          <w:noProof/>
        </w:rPr>
        <w:fldChar w:fldCharType="end"/>
      </w:r>
    </w:p>
    <w:tbl>
      <w:tblPr>
        <w:tblW w:w="5380" w:type="dxa"/>
        <w:jc w:val="center"/>
        <w:tblCellMar>
          <w:left w:w="70" w:type="dxa"/>
          <w:right w:w="70" w:type="dxa"/>
        </w:tblCellMar>
        <w:tblLook w:val="04A0" w:firstRow="1" w:lastRow="0" w:firstColumn="1" w:lastColumn="0" w:noHBand="0" w:noVBand="1"/>
      </w:tblPr>
      <w:tblGrid>
        <w:gridCol w:w="1760"/>
        <w:gridCol w:w="1200"/>
        <w:gridCol w:w="1200"/>
        <w:gridCol w:w="1220"/>
      </w:tblGrid>
      <w:tr w:rsidR="0009331B" w:rsidRPr="00CF7790" w14:paraId="3AC20DAB" w14:textId="77777777" w:rsidTr="00DA42C9">
        <w:trPr>
          <w:trHeight w:val="300"/>
          <w:jc w:val="center"/>
        </w:trPr>
        <w:tc>
          <w:tcPr>
            <w:tcW w:w="1760"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09823AD5"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8"/>
                <w:szCs w:val="18"/>
              </w:rPr>
              <w:t>CATEGORIA</w:t>
            </w:r>
          </w:p>
        </w:tc>
        <w:tc>
          <w:tcPr>
            <w:tcW w:w="120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6417BECA"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8"/>
                <w:szCs w:val="18"/>
              </w:rPr>
              <w:t>2013</w:t>
            </w:r>
          </w:p>
        </w:tc>
        <w:tc>
          <w:tcPr>
            <w:tcW w:w="120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7DFF3B2C"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8"/>
                <w:szCs w:val="18"/>
              </w:rPr>
              <w:t>2020</w:t>
            </w:r>
          </w:p>
        </w:tc>
        <w:tc>
          <w:tcPr>
            <w:tcW w:w="122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hideMark/>
          </w:tcPr>
          <w:p w14:paraId="438E077D"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8"/>
                <w:szCs w:val="18"/>
              </w:rPr>
              <w:t>% VAR 2014-2020</w:t>
            </w:r>
          </w:p>
        </w:tc>
      </w:tr>
      <w:tr w:rsidR="0009331B" w:rsidRPr="00CF7790" w14:paraId="5B31FF75" w14:textId="77777777" w:rsidTr="00DA42C9">
        <w:trPr>
          <w:trHeight w:val="300"/>
          <w:jc w:val="center"/>
        </w:trPr>
        <w:tc>
          <w:tcPr>
            <w:tcW w:w="1760"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9328FF" w14:textId="77777777" w:rsidR="0009331B" w:rsidRPr="00CF7790" w:rsidRDefault="0009331B" w:rsidP="00DA42C9">
            <w:pPr>
              <w:spacing w:after="0" w:line="240" w:lineRule="auto"/>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NACIONAL</w:t>
            </w:r>
          </w:p>
        </w:tc>
        <w:tc>
          <w:tcPr>
            <w:tcW w:w="120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5988A3D"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43,200,509</w:t>
            </w:r>
          </w:p>
        </w:tc>
        <w:tc>
          <w:tcPr>
            <w:tcW w:w="120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7FC2A91"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20,573,091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FF9BF6F"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-52%</w:t>
            </w:r>
          </w:p>
        </w:tc>
      </w:tr>
      <w:tr w:rsidR="0009331B" w:rsidRPr="00CF7790" w14:paraId="3462BA4D"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822085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AMAZONAS</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3CA6CD7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824,175</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6625429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2,028,643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E789E6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146%</w:t>
            </w:r>
          </w:p>
        </w:tc>
      </w:tr>
      <w:tr w:rsidR="0009331B" w:rsidRPr="00CF7790" w14:paraId="690723A9"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A91FBB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ANCASH</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5D73140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1,298,558</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22D3CA8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520,552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20E48A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-60%</w:t>
            </w:r>
          </w:p>
        </w:tc>
      </w:tr>
      <w:tr w:rsidR="0009331B" w:rsidRPr="00CF7790" w14:paraId="0E1DD4AB"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1EFEC2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APURIMAC</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7C4455C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1,431,149</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649AE46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1,267,877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538C65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w:t>
            </w:r>
          </w:p>
        </w:tc>
      </w:tr>
      <w:tr w:rsidR="0009331B" w:rsidRPr="00CF7790" w14:paraId="4B72B077"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9746E87"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AREQUIPA</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72C0F2A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706,121</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6F2ADB8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817,663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A3557B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w:t>
            </w:r>
          </w:p>
        </w:tc>
      </w:tr>
      <w:tr w:rsidR="0009331B" w:rsidRPr="00CF7790" w14:paraId="27785EEC"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09E8ACC9"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AYACUCHO</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3E394F8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1,058,858</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37AD6E0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536,017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361BC1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-49%</w:t>
            </w:r>
          </w:p>
        </w:tc>
      </w:tr>
      <w:tr w:rsidR="0009331B" w:rsidRPr="00CF7790" w14:paraId="6A8BDB76"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FDE448C"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CAJAMARCA</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1CF88D4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811,298</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065064D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104,600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53843B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-87%</w:t>
            </w:r>
          </w:p>
        </w:tc>
      </w:tr>
      <w:tr w:rsidR="0009331B" w:rsidRPr="00CF7790" w14:paraId="5B0D86BD"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126F3F59"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CALLAO</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50DDE80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1,014,763</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6C1A9B2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187,629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3BED56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-82%</w:t>
            </w:r>
          </w:p>
        </w:tc>
      </w:tr>
      <w:tr w:rsidR="0009331B" w:rsidRPr="00CF7790" w14:paraId="1F8F2A75"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0F6F4F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CUSCO</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0D1FE48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847,941</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1B8E9EC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737,932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96E17A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w:t>
            </w:r>
          </w:p>
        </w:tc>
      </w:tr>
      <w:tr w:rsidR="0009331B" w:rsidRPr="00CF7790" w14:paraId="5DF7F8FF"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25C7F7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HUANCAVELICA</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4193554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1,596,773</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4C3B0BC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572,325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03F0D9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-64%</w:t>
            </w:r>
          </w:p>
        </w:tc>
      </w:tr>
      <w:tr w:rsidR="0009331B" w:rsidRPr="00CF7790" w14:paraId="6649D9BE"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0D18248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HUANUCO</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723D48D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1,709,590</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34207A7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238,743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D06BB3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-86%</w:t>
            </w:r>
          </w:p>
        </w:tc>
      </w:tr>
      <w:tr w:rsidR="0009331B" w:rsidRPr="00CF7790" w14:paraId="412F330D"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A332BE9"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ICA</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582853F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849,963</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1E2A587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211,402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99195D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-75%</w:t>
            </w:r>
          </w:p>
        </w:tc>
      </w:tr>
      <w:tr w:rsidR="0009331B" w:rsidRPr="00CF7790" w14:paraId="5A602542"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AC6458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JUNIN</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3367052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577,955</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123E1F6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524,942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446C77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w:t>
            </w:r>
          </w:p>
        </w:tc>
      </w:tr>
      <w:tr w:rsidR="0009331B" w:rsidRPr="00CF7790" w14:paraId="14344517"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58231D0"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 LIBERTAD</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5EBDD46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856,990</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338B279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334,450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7AF5C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-61%</w:t>
            </w:r>
          </w:p>
        </w:tc>
      </w:tr>
      <w:tr w:rsidR="0009331B" w:rsidRPr="00CF7790" w14:paraId="642F131C"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44B3CD4"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LAMBAYEQUE</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456950B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379,167</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7449F25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465,888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3E3C5F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23%</w:t>
            </w:r>
          </w:p>
        </w:tc>
      </w:tr>
      <w:tr w:rsidR="0009331B" w:rsidRPr="00CF7790" w14:paraId="6A43E29A"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7CFD0CB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LIMA</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12DD7F6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15,657,703</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566D71C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5,592,372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FB3A81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-64%</w:t>
            </w:r>
          </w:p>
        </w:tc>
      </w:tr>
      <w:tr w:rsidR="0009331B" w:rsidRPr="00CF7790" w14:paraId="1ADA6922"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95917E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LORETO</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79F67FE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4,875,850</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0094FD3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2,900,255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EC1C61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-41%</w:t>
            </w:r>
          </w:p>
        </w:tc>
      </w:tr>
      <w:tr w:rsidR="0009331B" w:rsidRPr="00CF7790" w14:paraId="62F3C2DB"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4800028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lastRenderedPageBreak/>
              <w:t xml:space="preserve"> MADRE DE DIOS</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436D282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1,223,166</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4DAAC58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128,318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B687F9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-90%</w:t>
            </w:r>
          </w:p>
        </w:tc>
      </w:tr>
      <w:tr w:rsidR="0009331B" w:rsidRPr="00CF7790" w14:paraId="07D14C64"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3C874731"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MOQUEGUA</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2CC2F16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833,673</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4DB3C4A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186,063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48BF20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-78%</w:t>
            </w:r>
          </w:p>
        </w:tc>
      </w:tr>
      <w:tr w:rsidR="0009331B" w:rsidRPr="00CF7790" w14:paraId="046E41C4"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036C5B3E"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PASCO</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6EF514D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635,378</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4B2E5D1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114,848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CB6307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-82%</w:t>
            </w:r>
          </w:p>
        </w:tc>
      </w:tr>
      <w:tr w:rsidR="0009331B" w:rsidRPr="00CF7790" w14:paraId="774EF259"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14DDAB5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PIURA</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1702BF6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1,009,282</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5F74F4D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925,049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4E16E3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w:t>
            </w:r>
          </w:p>
        </w:tc>
      </w:tr>
      <w:tr w:rsidR="0009331B" w:rsidRPr="00CF7790" w14:paraId="6BDA1910"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AB4388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PUNO</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5EE9074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1,410,933</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2CC91B2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744,705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A23009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-47%</w:t>
            </w:r>
          </w:p>
        </w:tc>
      </w:tr>
      <w:tr w:rsidR="0009331B" w:rsidRPr="00CF7790" w14:paraId="428408E8"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290058D9"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SAN MARTIN</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0D5D552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1,867,721</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509958B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451,765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5EE501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-76%</w:t>
            </w:r>
          </w:p>
        </w:tc>
      </w:tr>
      <w:tr w:rsidR="0009331B" w:rsidRPr="00CF7790" w14:paraId="256972A4"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E5671B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TACNA</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3556481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784,855</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4A193BF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242,537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51DDB0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-69%</w:t>
            </w:r>
          </w:p>
        </w:tc>
      </w:tr>
      <w:tr w:rsidR="0009331B" w:rsidRPr="00CF7790" w14:paraId="460BF880"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95FCD27"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TUMBES</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4B4E274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540,797</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104503DE"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2,550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2B21CE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-100%</w:t>
            </w:r>
          </w:p>
        </w:tc>
      </w:tr>
      <w:tr w:rsidR="0009331B" w:rsidRPr="00CF7790" w14:paraId="2E0A9EF1" w14:textId="77777777" w:rsidTr="00DA42C9">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bottom"/>
            <w:hideMark/>
          </w:tcPr>
          <w:p w14:paraId="544928E1"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UCAYALI</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15B22C8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397,850</w:t>
            </w:r>
          </w:p>
        </w:tc>
        <w:tc>
          <w:tcPr>
            <w:tcW w:w="1200" w:type="dxa"/>
            <w:tcBorders>
              <w:top w:val="nil"/>
              <w:left w:val="nil"/>
              <w:bottom w:val="single" w:sz="4" w:space="0" w:color="auto"/>
              <w:right w:val="single" w:sz="4" w:space="0" w:color="auto"/>
            </w:tcBorders>
            <w:shd w:val="clear" w:color="auto" w:fill="FFFFFF" w:themeFill="background1"/>
            <w:noWrap/>
            <w:vAlign w:val="bottom"/>
            <w:hideMark/>
          </w:tcPr>
          <w:p w14:paraId="6F6353B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711,425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08F8C6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79%</w:t>
            </w:r>
          </w:p>
        </w:tc>
      </w:tr>
    </w:tbl>
    <w:p w14:paraId="6880549F" w14:textId="77777777" w:rsidR="0009331B" w:rsidRPr="00CF7790" w:rsidRDefault="0009331B" w:rsidP="0009331B">
      <w:pPr>
        <w:rPr>
          <w:rFonts w:ascii="Open Sans Light" w:hAnsi="Open Sans Light" w:cs="Open Sans Light"/>
          <w:sz w:val="28"/>
          <w:szCs w:val="28"/>
        </w:rPr>
      </w:pPr>
    </w:p>
    <w:p w14:paraId="3ADC10FB" w14:textId="2E58DD90" w:rsidR="0063671F" w:rsidRDefault="0063671F"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11</w:t>
      </w:r>
      <w:r w:rsidR="00354646">
        <w:rPr>
          <w:noProof/>
        </w:rPr>
        <w:fldChar w:fldCharType="end"/>
      </w:r>
    </w:p>
    <w:tbl>
      <w:tblPr>
        <w:tblW w:w="53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760"/>
        <w:gridCol w:w="1200"/>
        <w:gridCol w:w="1200"/>
        <w:gridCol w:w="1220"/>
      </w:tblGrid>
      <w:tr w:rsidR="0009331B" w:rsidRPr="00CF7790" w14:paraId="20B594F1" w14:textId="77777777" w:rsidTr="00DA42C9">
        <w:trPr>
          <w:trHeight w:val="300"/>
          <w:tblHeader/>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000000" w:themeFill="text1"/>
            <w:vAlign w:val="bottom"/>
            <w:hideMark/>
          </w:tcPr>
          <w:p w14:paraId="62FE4F2E"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themeColor="background1"/>
                <w:sz w:val="18"/>
                <w:szCs w:val="18"/>
              </w:rPr>
              <w:t>CATEGORÍA</w:t>
            </w:r>
          </w:p>
        </w:tc>
        <w:tc>
          <w:tcPr>
            <w:tcW w:w="1200" w:type="dxa"/>
            <w:tcBorders>
              <w:top w:val="single" w:sz="4" w:space="0" w:color="000000"/>
              <w:left w:val="single" w:sz="4" w:space="0" w:color="000000"/>
              <w:bottom w:val="single" w:sz="4" w:space="0" w:color="000000"/>
              <w:right w:val="single" w:sz="4" w:space="0" w:color="000000"/>
            </w:tcBorders>
            <w:shd w:val="clear" w:color="auto" w:fill="000000" w:themeFill="text1"/>
            <w:noWrap/>
            <w:vAlign w:val="center"/>
            <w:hideMark/>
          </w:tcPr>
          <w:p w14:paraId="513086D4"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themeColor="background1"/>
                <w:sz w:val="18"/>
                <w:szCs w:val="18"/>
              </w:rPr>
              <w:t>2013</w:t>
            </w:r>
          </w:p>
        </w:tc>
        <w:tc>
          <w:tcPr>
            <w:tcW w:w="1200" w:type="dxa"/>
            <w:tcBorders>
              <w:top w:val="single" w:sz="4" w:space="0" w:color="000000"/>
              <w:left w:val="single" w:sz="4" w:space="0" w:color="000000"/>
              <w:bottom w:val="single" w:sz="4" w:space="0" w:color="000000"/>
              <w:right w:val="single" w:sz="4" w:space="0" w:color="000000"/>
            </w:tcBorders>
            <w:shd w:val="clear" w:color="auto" w:fill="000000" w:themeFill="text1"/>
            <w:noWrap/>
            <w:vAlign w:val="center"/>
            <w:hideMark/>
          </w:tcPr>
          <w:p w14:paraId="4DB15B2A"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themeColor="background1"/>
                <w:sz w:val="18"/>
                <w:szCs w:val="18"/>
              </w:rPr>
              <w:t>2020</w:t>
            </w:r>
          </w:p>
        </w:tc>
        <w:tc>
          <w:tcPr>
            <w:tcW w:w="1220" w:type="dxa"/>
            <w:tcBorders>
              <w:top w:val="single" w:sz="4" w:space="0" w:color="000000"/>
              <w:left w:val="single" w:sz="4" w:space="0" w:color="000000"/>
              <w:bottom w:val="single" w:sz="4" w:space="0" w:color="000000"/>
              <w:right w:val="single" w:sz="4" w:space="0" w:color="000000"/>
            </w:tcBorders>
            <w:shd w:val="clear" w:color="auto" w:fill="000000" w:themeFill="text1"/>
            <w:noWrap/>
            <w:vAlign w:val="center"/>
            <w:hideMark/>
          </w:tcPr>
          <w:p w14:paraId="28034688"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themeColor="background1"/>
                <w:sz w:val="18"/>
                <w:szCs w:val="18"/>
              </w:rPr>
              <w:t>% VAR</w:t>
            </w:r>
          </w:p>
        </w:tc>
      </w:tr>
      <w:tr w:rsidR="0009331B" w:rsidRPr="00CF7790" w14:paraId="4DF1E877"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711FAA9A" w14:textId="77777777" w:rsidR="0009331B" w:rsidRPr="00CF7790" w:rsidRDefault="0009331B" w:rsidP="00DA42C9">
            <w:pPr>
              <w:spacing w:after="0" w:line="240" w:lineRule="auto"/>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NACIONAL</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66E0D9F8"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25,416,536</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5B16DB08"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163,272,309</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6DD96E1"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542%</w:t>
            </w:r>
          </w:p>
        </w:tc>
      </w:tr>
      <w:tr w:rsidR="0009331B" w:rsidRPr="00CF7790" w14:paraId="53F8A3DB"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546FF5F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AMAZONAS</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663B212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503,599</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5739FA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7,433,957</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3FC06BE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1376%</w:t>
            </w:r>
          </w:p>
        </w:tc>
      </w:tr>
      <w:tr w:rsidR="0009331B" w:rsidRPr="00CF7790" w14:paraId="36E1AD56"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04B2FD1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ANCASH</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61A386A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320,564</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5972DE0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8,394,125</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6BCDFC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2519%</w:t>
            </w:r>
          </w:p>
        </w:tc>
      </w:tr>
      <w:tr w:rsidR="0009331B" w:rsidRPr="00CF7790" w14:paraId="4A6DC9BA"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0AC38021"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APURIMAC</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9173B3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830,069</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5B46B26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8,937,473</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236C69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977%</w:t>
            </w:r>
          </w:p>
        </w:tc>
      </w:tr>
      <w:tr w:rsidR="0009331B" w:rsidRPr="00CF7790" w14:paraId="35D3ED82"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70E0BED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AREQUIPA</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7906D30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5DB0DA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FA7DCF2"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6D6830F3"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1E4B538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AYACUCHO</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AD0C1A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5,700,846</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5A117E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12,347,766</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501FC22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117%</w:t>
            </w:r>
          </w:p>
        </w:tc>
      </w:tr>
      <w:tr w:rsidR="0009331B" w:rsidRPr="00CF7790" w14:paraId="3CDD2A6C"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512AD1D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CAJAMARCA</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72C1E13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5,911,619</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2EA550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24,783,739</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2CC90D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319%</w:t>
            </w:r>
          </w:p>
        </w:tc>
      </w:tr>
      <w:tr w:rsidR="0009331B" w:rsidRPr="00CF7790" w14:paraId="3EB9B05F"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0BB1526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CALLAO</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CB39CE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1970F1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B2A3ED8"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39D05A84"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74B011E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CUSCO</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1AC985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884,768</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755D73D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13,144,119</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D329D7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1386%</w:t>
            </w:r>
          </w:p>
        </w:tc>
      </w:tr>
      <w:tr w:rsidR="0009331B" w:rsidRPr="00CF7790" w14:paraId="3E1932D5"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092D43D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HUANCAVELICA</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8901FF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2,168,057</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3C271B8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8,047,297</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358BB6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271%</w:t>
            </w:r>
          </w:p>
        </w:tc>
      </w:tr>
      <w:tr w:rsidR="0009331B" w:rsidRPr="00CF7790" w14:paraId="6218A588"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67BFF0D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HUANUCO</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988462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2,540,118</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BF8D17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13,720,768</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63878C2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440%</w:t>
            </w:r>
          </w:p>
        </w:tc>
      </w:tr>
      <w:tr w:rsidR="0009331B" w:rsidRPr="00CF7790" w14:paraId="0B2AF57B"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66934BC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ICA</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3BCF681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ED9F14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A0B3632"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3BAC9B96"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0A1836F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JUNIN</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5E008B6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482,881</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55F1A03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8,779,596</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319BA8E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1718%</w:t>
            </w:r>
          </w:p>
        </w:tc>
      </w:tr>
      <w:tr w:rsidR="0009331B" w:rsidRPr="00CF7790" w14:paraId="6DF5B534"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67D99D4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 LIBERTAD</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272F00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2,703,352</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E6F0A7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10,911,553</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74F173D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304%</w:t>
            </w:r>
          </w:p>
        </w:tc>
      </w:tr>
      <w:tr w:rsidR="0009331B" w:rsidRPr="00CF7790" w14:paraId="45C6D9B0"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06356B6E"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LAMBAYEQUE</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A66FED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6C4BCB4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2,140,044</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32C1898E"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2D2B4FDD"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789A0B40"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LIMA</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8AEA00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6E3EA15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3,777,817</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73C023D3"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3A9A0763"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71A38EA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LORETO</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AA46D7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423,488</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1075AB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11,648,284</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22F45E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2651%</w:t>
            </w:r>
          </w:p>
        </w:tc>
      </w:tr>
      <w:tr w:rsidR="0009331B" w:rsidRPr="00CF7790" w14:paraId="3EAAB388"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421A3D17"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MADRE DE DIOS</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3A66E8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2EAFC5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2,207,425</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BDFAADD"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00B2C4DE"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35B63AAE"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MOQUEGUA</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AF5E99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37104C6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74F1A5B"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70C4B2B1"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653727C7"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PASCO</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FFDE0C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9A5DFC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2,006,915</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B87B8AE"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3980362A"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45081514"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PIURA</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621D85F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1,967,759</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21A85B0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8,482,751</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52B9B5C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331%</w:t>
            </w:r>
          </w:p>
        </w:tc>
      </w:tr>
      <w:tr w:rsidR="0009331B" w:rsidRPr="00CF7790" w14:paraId="43542B76"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06AAC80C"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PUNO</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60C91F3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904,899</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EBF7D4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9,838,618</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3336407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987%</w:t>
            </w:r>
          </w:p>
        </w:tc>
      </w:tr>
      <w:tr w:rsidR="0009331B" w:rsidRPr="00CF7790" w14:paraId="57D42755"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0F142EFA"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SAN MARTIN</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45AEFE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7FB17A6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3,426,075</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56B0CDCD"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2C799929"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00F5DD5F"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TACNA</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733A31C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A95200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65F96A8D"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60587EBB"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4FF58FF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TUMBES</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1AA1AB7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73AA8F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30705423"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w:t>
            </w:r>
          </w:p>
        </w:tc>
      </w:tr>
      <w:tr w:rsidR="0009331B" w:rsidRPr="00CF7790" w14:paraId="09E527B5" w14:textId="77777777" w:rsidTr="00DA42C9">
        <w:trPr>
          <w:trHeight w:val="300"/>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14:paraId="3E02B8B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UCAYALI</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975ADE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74,518</w:t>
            </w:r>
          </w:p>
        </w:tc>
        <w:tc>
          <w:tcPr>
            <w:tcW w:w="120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029C89A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3,243,986</w:t>
            </w:r>
          </w:p>
        </w:tc>
        <w:tc>
          <w:tcPr>
            <w:tcW w:w="1220" w:type="dxa"/>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14:paraId="4A5A6BC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4253%</w:t>
            </w:r>
          </w:p>
        </w:tc>
      </w:tr>
    </w:tbl>
    <w:p w14:paraId="37310BA5" w14:textId="77777777" w:rsidR="0009331B" w:rsidRPr="00CF7790" w:rsidRDefault="0009331B" w:rsidP="0009331B">
      <w:pPr>
        <w:rPr>
          <w:rFonts w:ascii="Open Sans Light" w:hAnsi="Open Sans Light" w:cs="Open Sans Light"/>
          <w:sz w:val="28"/>
          <w:szCs w:val="28"/>
        </w:rPr>
      </w:pPr>
    </w:p>
    <w:p w14:paraId="5885275D" w14:textId="19AF801A" w:rsidR="003B5596" w:rsidRDefault="003B5596"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12</w:t>
      </w:r>
      <w:r w:rsidR="00354646">
        <w:rPr>
          <w:noProof/>
        </w:rPr>
        <w:fldChar w:fldCharType="end"/>
      </w:r>
    </w:p>
    <w:tbl>
      <w:tblPr>
        <w:tblStyle w:val="4"/>
        <w:tblW w:w="850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9"/>
        <w:gridCol w:w="535"/>
        <w:gridCol w:w="6131"/>
      </w:tblGrid>
      <w:tr w:rsidR="0009331B" w:rsidRPr="00CF7790" w14:paraId="57056DE1" w14:textId="77777777" w:rsidTr="00CF7790">
        <w:trPr>
          <w:trHeight w:val="285"/>
        </w:trPr>
        <w:tc>
          <w:tcPr>
            <w:tcW w:w="1839" w:type="dxa"/>
            <w:tcBorders>
              <w:top w:val="single" w:sz="4" w:space="0" w:color="000000"/>
              <w:left w:val="single" w:sz="4" w:space="0" w:color="000000"/>
              <w:bottom w:val="single" w:sz="4" w:space="0" w:color="000000"/>
              <w:right w:val="single" w:sz="4" w:space="0" w:color="000000"/>
            </w:tcBorders>
            <w:shd w:val="clear" w:color="auto" w:fill="000000" w:themeFill="text1"/>
            <w:vAlign w:val="center"/>
            <w:hideMark/>
          </w:tcPr>
          <w:p w14:paraId="473EC2A0" w14:textId="77777777" w:rsidR="0009331B" w:rsidRPr="00CF7790" w:rsidRDefault="0009331B" w:rsidP="00CF7790">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b/>
                <w:bCs/>
                <w:color w:val="FFFFFF" w:themeColor="background1"/>
                <w:sz w:val="16"/>
                <w:szCs w:val="16"/>
              </w:rPr>
              <w:lastRenderedPageBreak/>
              <w:t>CATEGORIAS</w:t>
            </w:r>
          </w:p>
        </w:tc>
        <w:tc>
          <w:tcPr>
            <w:tcW w:w="535" w:type="dxa"/>
            <w:tcBorders>
              <w:top w:val="single" w:sz="4" w:space="0" w:color="000000"/>
              <w:left w:val="single" w:sz="4" w:space="0" w:color="000000"/>
              <w:bottom w:val="single" w:sz="4" w:space="0" w:color="000000"/>
              <w:right w:val="single" w:sz="4" w:space="0" w:color="000000"/>
            </w:tcBorders>
            <w:shd w:val="clear" w:color="auto" w:fill="000000" w:themeFill="text1"/>
            <w:vAlign w:val="center"/>
            <w:hideMark/>
          </w:tcPr>
          <w:p w14:paraId="4DBD5F0C" w14:textId="77777777" w:rsidR="0009331B" w:rsidRPr="00CF7790" w:rsidRDefault="0009331B" w:rsidP="00CF7790">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b/>
                <w:bCs/>
                <w:color w:val="FFFFFF" w:themeColor="background1"/>
                <w:sz w:val="16"/>
                <w:szCs w:val="16"/>
              </w:rPr>
              <w:t>Nro.</w:t>
            </w:r>
          </w:p>
        </w:tc>
        <w:tc>
          <w:tcPr>
            <w:tcW w:w="6131" w:type="dxa"/>
            <w:tcBorders>
              <w:top w:val="single" w:sz="4" w:space="0" w:color="000000"/>
              <w:left w:val="single" w:sz="4" w:space="0" w:color="000000"/>
              <w:bottom w:val="single" w:sz="4" w:space="0" w:color="000000"/>
              <w:right w:val="single" w:sz="4" w:space="0" w:color="000000"/>
            </w:tcBorders>
            <w:shd w:val="clear" w:color="auto" w:fill="000000" w:themeFill="text1"/>
            <w:vAlign w:val="center"/>
            <w:hideMark/>
          </w:tcPr>
          <w:p w14:paraId="74F430EA" w14:textId="76321DC5" w:rsidR="0009331B" w:rsidRPr="00CF7790" w:rsidRDefault="0009331B" w:rsidP="00CF7790">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b/>
                <w:bCs/>
                <w:color w:val="FFFFFF" w:themeColor="background1"/>
                <w:sz w:val="16"/>
                <w:szCs w:val="16"/>
              </w:rPr>
              <w:t xml:space="preserve">ESTRATEGIAS DE IMPLEMENTACIÓN DEL </w:t>
            </w:r>
            <w:r w:rsidR="00D979D4" w:rsidRPr="00CF7790">
              <w:rPr>
                <w:rFonts w:ascii="Open Sans Light" w:eastAsia="Open Sans Light" w:hAnsi="Open Sans Light" w:cs="Open Sans Light"/>
                <w:b/>
                <w:bCs/>
                <w:color w:val="FFFFFF" w:themeColor="background1"/>
                <w:sz w:val="16"/>
                <w:szCs w:val="16"/>
              </w:rPr>
              <w:t>PNAIA 2012 – 2021</w:t>
            </w:r>
          </w:p>
        </w:tc>
      </w:tr>
      <w:tr w:rsidR="0009331B" w:rsidRPr="00CF7790" w14:paraId="09C2C8CA" w14:textId="77777777" w:rsidTr="00CF7790">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hideMark/>
          </w:tcPr>
          <w:p w14:paraId="065527BC"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Promoción de la comprensión lectora y razonamiento matemático</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0BE2065B"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791A873B"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Promover alianzas estratégicas con empresas privadas experimentadas en programas de promoción de la lectura y la enseñanza de matemáticas, así como concursos, campañas de comunicación, premios y otras iniciativas que impulsen la comprensión lectora y el razonamiento matemático, involucrando a las familias en esta tarea</w:t>
            </w:r>
          </w:p>
        </w:tc>
      </w:tr>
      <w:tr w:rsidR="0009331B" w:rsidRPr="00CF7790" w14:paraId="07554CE1"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109DA5A8"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0AE8E152"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2</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2318BE9D"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Promover la lectura y enseñanza con material acorde a cada realidad y a sus conocimientos ancestrales</w:t>
            </w:r>
          </w:p>
        </w:tc>
      </w:tr>
      <w:tr w:rsidR="0009331B" w:rsidRPr="00CF7790" w14:paraId="49733E46"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6E72FDEC"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C842AB0"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3</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056687C5"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Organizar competencias en investigación, emprendimientos, participación y ecoeficiencia para fomentar valores y responsabilidades ambientales</w:t>
            </w:r>
          </w:p>
        </w:tc>
      </w:tr>
      <w:tr w:rsidR="0009331B" w:rsidRPr="00CF7790" w14:paraId="084E8145"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6528D5A0"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6A983EED"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4</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6DB30833"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Impulsar y promover el desarrollo de competencias en investigación, emprendimientos, participación y ecoeficiencia para adquirir valores y responsabilidades ambientales</w:t>
            </w:r>
          </w:p>
        </w:tc>
      </w:tr>
      <w:tr w:rsidR="0009331B" w:rsidRPr="00CF7790" w14:paraId="106C5951" w14:textId="77777777" w:rsidTr="00CF7790">
        <w:trPr>
          <w:trHeight w:val="960"/>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46C1E78B"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Formación de docentes con pertinencia cultural y de género</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17DC912C"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5</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03B9F804"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Promover la formación de profesoras y profesores desde una perspectiva de respeto a los derechos y a las diferencias, inclusiva, no sexista, de equidad entre género y de solidaridad intergeneracional</w:t>
            </w:r>
          </w:p>
        </w:tc>
      </w:tr>
      <w:tr w:rsidR="0009331B" w:rsidRPr="00CF7790" w14:paraId="58C65570" w14:textId="77777777" w:rsidTr="00CF7790">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tcPr>
          <w:p w14:paraId="27AB442E" w14:textId="77777777" w:rsidR="0009331B" w:rsidRPr="00CF7790" w:rsidRDefault="0009331B" w:rsidP="00DA42C9">
            <w:pPr>
              <w:jc w:val="center"/>
              <w:rPr>
                <w:rFonts w:ascii="Open Sans Light" w:eastAsia="Open Sans Light" w:hAnsi="Open Sans Light" w:cs="Open Sans Light"/>
                <w:color w:val="000000"/>
                <w:sz w:val="16"/>
                <w:szCs w:val="16"/>
              </w:rPr>
            </w:pPr>
          </w:p>
          <w:p w14:paraId="706364B0" w14:textId="77777777" w:rsidR="0009331B" w:rsidRPr="00CF7790" w:rsidRDefault="0009331B" w:rsidP="00DA42C9">
            <w:pPr>
              <w:jc w:val="center"/>
              <w:rPr>
                <w:rFonts w:ascii="Open Sans Light" w:eastAsia="Open Sans Light" w:hAnsi="Open Sans Light" w:cs="Open Sans Light"/>
                <w:sz w:val="16"/>
                <w:szCs w:val="16"/>
              </w:rPr>
            </w:pPr>
            <w:r w:rsidRPr="00CF7790">
              <w:rPr>
                <w:rFonts w:ascii="Open Sans Light" w:eastAsia="Open Sans Light" w:hAnsi="Open Sans Light" w:cs="Open Sans Light"/>
                <w:sz w:val="16"/>
                <w:szCs w:val="16"/>
              </w:rPr>
              <w:t>Promoción de la Educación Bilingüe</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301A94D2"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6</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06CC10E3"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Priorizar el aprendizaje de la lecto escritura en español con métodos de educación bilingüe en aquellas zonas del país cuya lengua materna es el quechua, el aymara u otra lengua nativa, a fin de facilitar una adquisición amigable (no traumática) de las</w:t>
            </w:r>
          </w:p>
          <w:p w14:paraId="5DB08AB6"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competencias propias de esta etapa escolar</w:t>
            </w:r>
          </w:p>
        </w:tc>
      </w:tr>
      <w:tr w:rsidR="0009331B" w:rsidRPr="00CF7790" w14:paraId="4B3476A8"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4BC8840D" w14:textId="77777777" w:rsidR="0009331B" w:rsidRPr="00CF7790" w:rsidRDefault="0009331B" w:rsidP="00DA42C9">
            <w:pPr>
              <w:rPr>
                <w:rFonts w:ascii="Open Sans Light" w:eastAsia="Open Sans Light" w:hAnsi="Open Sans Light" w:cs="Open Sans Light"/>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667EC2CF"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7</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2804621B"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Formación en tecnologías de la información, señalando sus ventajas y desventajas, considerando la diversidad cultural y lingüística del país</w:t>
            </w:r>
          </w:p>
        </w:tc>
      </w:tr>
      <w:tr w:rsidR="0009331B" w:rsidRPr="00CF7790" w14:paraId="61E75AF1" w14:textId="77777777" w:rsidTr="00CF7790">
        <w:trPr>
          <w:trHeight w:val="285"/>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36B8E47F"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Fortalecimiento de la educación desde la familia</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6E22B154"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8</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43F9D183"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Difundir indicadores que las familias puedan usar para adoptar medidas que fortalezcan el aprendizaje de sus hijas e hijos</w:t>
            </w:r>
          </w:p>
        </w:tc>
      </w:tr>
      <w:tr w:rsidR="0009331B" w:rsidRPr="00CF7790" w14:paraId="14ED6416" w14:textId="77777777" w:rsidTr="00CF7790">
        <w:trPr>
          <w:trHeight w:val="285"/>
        </w:trPr>
        <w:tc>
          <w:tcPr>
            <w:tcW w:w="1839" w:type="dxa"/>
            <w:vMerge w:val="restart"/>
            <w:tcBorders>
              <w:top w:val="single" w:sz="4" w:space="0" w:color="000000"/>
              <w:left w:val="single" w:sz="4" w:space="0" w:color="000000"/>
              <w:bottom w:val="single" w:sz="4" w:space="0" w:color="000000"/>
              <w:right w:val="single" w:sz="4" w:space="0" w:color="000000"/>
            </w:tcBorders>
            <w:vAlign w:val="center"/>
            <w:hideMark/>
          </w:tcPr>
          <w:p w14:paraId="0398ACEA"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sz w:val="16"/>
                <w:szCs w:val="16"/>
              </w:rPr>
              <w:t>Intervenciones vinculadas a la violencia en el ámbito educativo</w:t>
            </w: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132E4CED"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9</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7249D13F" w14:textId="13FDD366"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 xml:space="preserve">Incluir en los cursos vinculados al desarrollo de habilidades para la vida, el tema del </w:t>
            </w:r>
            <w:r w:rsidR="00EF0CCC" w:rsidRPr="00CF7790">
              <w:rPr>
                <w:rFonts w:ascii="Open Sans Light" w:eastAsia="Open Sans Light" w:hAnsi="Open Sans Light" w:cs="Open Sans Light"/>
                <w:color w:val="000000"/>
                <w:sz w:val="16"/>
                <w:szCs w:val="16"/>
              </w:rPr>
              <w:t>acoso escolar</w:t>
            </w:r>
            <w:r w:rsidRPr="00CF7790">
              <w:rPr>
                <w:rFonts w:ascii="Open Sans Light" w:eastAsia="Open Sans Light" w:hAnsi="Open Sans Light" w:cs="Open Sans Light"/>
                <w:color w:val="000000"/>
                <w:sz w:val="16"/>
                <w:szCs w:val="16"/>
              </w:rPr>
              <w:t xml:space="preserve"> estandarizando conceptos, estrategias de intervención y mecanismos de seguimiento</w:t>
            </w:r>
          </w:p>
        </w:tc>
      </w:tr>
      <w:tr w:rsidR="0009331B" w:rsidRPr="00CF7790" w14:paraId="42EEBDF0"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72255FC1"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1ED75F0F"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10</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47668450" w14:textId="4DCBF30D"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 xml:space="preserve">Implementar programas especializados para la prevención y atención del </w:t>
            </w:r>
            <w:r w:rsidR="00EF0CCC" w:rsidRPr="00CF7790">
              <w:rPr>
                <w:rFonts w:ascii="Open Sans Light" w:eastAsia="Open Sans Light" w:hAnsi="Open Sans Light" w:cs="Open Sans Light"/>
                <w:color w:val="000000"/>
                <w:sz w:val="16"/>
                <w:szCs w:val="16"/>
              </w:rPr>
              <w:t>acoso escolar</w:t>
            </w:r>
            <w:r w:rsidRPr="00CF7790">
              <w:rPr>
                <w:rFonts w:ascii="Open Sans Light" w:eastAsia="Open Sans Light" w:hAnsi="Open Sans Light" w:cs="Open Sans Light"/>
                <w:color w:val="000000"/>
                <w:sz w:val="16"/>
                <w:szCs w:val="16"/>
              </w:rPr>
              <w:t xml:space="preserve"> en las instituciones educativas, con la participación de las familias</w:t>
            </w:r>
          </w:p>
        </w:tc>
      </w:tr>
      <w:tr w:rsidR="0009331B" w:rsidRPr="00CF7790" w14:paraId="56995B73"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5BF987F6"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0EE1D82A"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11</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092E7709"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Implementar mecanismos de registro estándares sobre casos de violencia en las instituciones educativas diferenciado la violencia entre pares de otros tipos de violencia</w:t>
            </w:r>
          </w:p>
        </w:tc>
      </w:tr>
      <w:tr w:rsidR="0009331B" w:rsidRPr="00CF7790" w14:paraId="0DF2FCAE"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54563A0C"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0AFDAE16"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12</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410C3FA9" w14:textId="06B24DDA"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 xml:space="preserve">Incluir mecanismos de denuncia del </w:t>
            </w:r>
            <w:r w:rsidR="00EF0CCC" w:rsidRPr="00CF7790">
              <w:rPr>
                <w:rFonts w:ascii="Open Sans Light" w:eastAsia="Open Sans Light" w:hAnsi="Open Sans Light" w:cs="Open Sans Light"/>
                <w:color w:val="000000"/>
                <w:sz w:val="16"/>
                <w:szCs w:val="16"/>
              </w:rPr>
              <w:t>acoso escolar</w:t>
            </w:r>
            <w:r w:rsidRPr="00CF7790">
              <w:rPr>
                <w:rFonts w:ascii="Open Sans Light" w:eastAsia="Open Sans Light" w:hAnsi="Open Sans Light" w:cs="Open Sans Light"/>
                <w:color w:val="000000"/>
                <w:sz w:val="16"/>
                <w:szCs w:val="16"/>
              </w:rPr>
              <w:t xml:space="preserve"> en los cursos de habilidades para la vida</w:t>
            </w:r>
          </w:p>
        </w:tc>
      </w:tr>
      <w:tr w:rsidR="0009331B" w:rsidRPr="00CF7790" w14:paraId="52D12060"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3DD46139"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17A2A286"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13</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5541A7D9" w14:textId="76A3E26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 xml:space="preserve">Difundir en la población estudiantil mecanismos de denuncia de actos de </w:t>
            </w:r>
            <w:r w:rsidR="00EF0CCC" w:rsidRPr="00CF7790">
              <w:rPr>
                <w:rFonts w:ascii="Open Sans Light" w:eastAsia="Open Sans Light" w:hAnsi="Open Sans Light" w:cs="Open Sans Light"/>
                <w:color w:val="000000"/>
                <w:sz w:val="16"/>
                <w:szCs w:val="16"/>
              </w:rPr>
              <w:t>acoso escolar</w:t>
            </w:r>
            <w:r w:rsidRPr="00CF7790">
              <w:rPr>
                <w:rFonts w:ascii="Open Sans Light" w:eastAsia="Open Sans Light" w:hAnsi="Open Sans Light" w:cs="Open Sans Light"/>
                <w:color w:val="000000"/>
                <w:sz w:val="16"/>
                <w:szCs w:val="16"/>
              </w:rPr>
              <w:t xml:space="preserve"> u otra forma de violencia, por ejemplo, contactando la Línea 100 del MIMP</w:t>
            </w:r>
          </w:p>
        </w:tc>
      </w:tr>
      <w:tr w:rsidR="0009331B" w:rsidRPr="00CF7790" w14:paraId="5BC050ED" w14:textId="77777777" w:rsidTr="00CF7790">
        <w:trPr>
          <w:trHeight w:val="285"/>
        </w:trPr>
        <w:tc>
          <w:tcPr>
            <w:tcW w:w="1839" w:type="dxa"/>
            <w:vMerge/>
            <w:tcBorders>
              <w:top w:val="single" w:sz="4" w:space="0" w:color="000000"/>
              <w:left w:val="single" w:sz="4" w:space="0" w:color="000000"/>
              <w:bottom w:val="single" w:sz="4" w:space="0" w:color="000000"/>
              <w:right w:val="single" w:sz="4" w:space="0" w:color="000000"/>
            </w:tcBorders>
            <w:vAlign w:val="center"/>
            <w:hideMark/>
          </w:tcPr>
          <w:p w14:paraId="3BD3D5F9" w14:textId="77777777" w:rsidR="0009331B" w:rsidRPr="00CF7790" w:rsidRDefault="0009331B" w:rsidP="00DA42C9">
            <w:pPr>
              <w:rPr>
                <w:rFonts w:ascii="Open Sans Light" w:eastAsia="Open Sans Light" w:hAnsi="Open Sans Light" w:cs="Open Sans Light"/>
                <w:color w:val="000000"/>
                <w:sz w:val="16"/>
                <w:szCs w:val="16"/>
              </w:rPr>
            </w:pPr>
          </w:p>
        </w:tc>
        <w:tc>
          <w:tcPr>
            <w:tcW w:w="535" w:type="dxa"/>
            <w:tcBorders>
              <w:top w:val="single" w:sz="4" w:space="0" w:color="000000"/>
              <w:left w:val="single" w:sz="4" w:space="0" w:color="000000"/>
              <w:bottom w:val="single" w:sz="4" w:space="0" w:color="000000"/>
              <w:right w:val="single" w:sz="4" w:space="0" w:color="000000"/>
            </w:tcBorders>
            <w:vAlign w:val="center"/>
            <w:hideMark/>
          </w:tcPr>
          <w:p w14:paraId="48C475CB" w14:textId="77777777" w:rsidR="0009331B" w:rsidRPr="00CF7790" w:rsidRDefault="0009331B" w:rsidP="00DA42C9">
            <w:pPr>
              <w:jc w:val="cente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14</w:t>
            </w:r>
          </w:p>
        </w:tc>
        <w:tc>
          <w:tcPr>
            <w:tcW w:w="6131" w:type="dxa"/>
            <w:tcBorders>
              <w:top w:val="single" w:sz="4" w:space="0" w:color="000000"/>
              <w:left w:val="single" w:sz="4" w:space="0" w:color="000000"/>
              <w:bottom w:val="single" w:sz="4" w:space="0" w:color="000000"/>
              <w:right w:val="single" w:sz="4" w:space="0" w:color="000000"/>
            </w:tcBorders>
            <w:vAlign w:val="center"/>
            <w:hideMark/>
          </w:tcPr>
          <w:p w14:paraId="33E7B966" w14:textId="77777777" w:rsidR="0009331B" w:rsidRPr="00CF7790" w:rsidRDefault="0009331B" w:rsidP="00CF7790">
            <w:pPr>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Promover una educación libre de violencia y maltrato de parte de profesoras y profesores contra las alumnas y alumnos</w:t>
            </w:r>
          </w:p>
        </w:tc>
      </w:tr>
    </w:tbl>
    <w:p w14:paraId="7BED69E3" w14:textId="77777777" w:rsidR="0009331B" w:rsidRPr="00CF7790" w:rsidRDefault="0009331B" w:rsidP="0009331B">
      <w:pPr>
        <w:rPr>
          <w:rFonts w:ascii="Open Sans Light" w:hAnsi="Open Sans Light" w:cs="Open Sans Light"/>
          <w:sz w:val="28"/>
          <w:szCs w:val="28"/>
        </w:rPr>
      </w:pPr>
    </w:p>
    <w:p w14:paraId="729D2BC8" w14:textId="23AE18D7" w:rsidR="00272563" w:rsidRDefault="00272563"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13</w:t>
      </w:r>
      <w:r w:rsidR="00354646">
        <w:rPr>
          <w:noProof/>
        </w:rPr>
        <w:fldChar w:fldCharType="end"/>
      </w:r>
    </w:p>
    <w:tbl>
      <w:tblPr>
        <w:tblW w:w="9245" w:type="dxa"/>
        <w:jc w:val="center"/>
        <w:tblCellMar>
          <w:left w:w="70" w:type="dxa"/>
          <w:right w:w="70" w:type="dxa"/>
        </w:tblCellMar>
        <w:tblLook w:val="04A0" w:firstRow="1" w:lastRow="0" w:firstColumn="1" w:lastColumn="0" w:noHBand="0" w:noVBand="1"/>
      </w:tblPr>
      <w:tblGrid>
        <w:gridCol w:w="1606"/>
        <w:gridCol w:w="1524"/>
        <w:gridCol w:w="3257"/>
        <w:gridCol w:w="1420"/>
        <w:gridCol w:w="1438"/>
      </w:tblGrid>
      <w:tr w:rsidR="0009331B" w:rsidRPr="00CF7790" w14:paraId="57F6EF47" w14:textId="77777777" w:rsidTr="001624BE">
        <w:trPr>
          <w:trHeight w:val="198"/>
          <w:tblHeader/>
          <w:jc w:val="center"/>
        </w:trPr>
        <w:tc>
          <w:tcPr>
            <w:tcW w:w="1606"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609FB837"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EJE / CATEGORÍA</w:t>
            </w:r>
          </w:p>
        </w:tc>
        <w:tc>
          <w:tcPr>
            <w:tcW w:w="1524" w:type="dxa"/>
            <w:tcBorders>
              <w:top w:val="single" w:sz="4" w:space="0" w:color="auto"/>
              <w:left w:val="nil"/>
              <w:bottom w:val="single" w:sz="4" w:space="0" w:color="auto"/>
              <w:right w:val="single" w:sz="4" w:space="0" w:color="auto"/>
            </w:tcBorders>
            <w:shd w:val="clear" w:color="auto" w:fill="000000" w:themeFill="text1"/>
            <w:vAlign w:val="center"/>
            <w:hideMark/>
          </w:tcPr>
          <w:p w14:paraId="6A6AF656"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CUMPLIMIENTO DEL EJE</w:t>
            </w:r>
          </w:p>
        </w:tc>
        <w:tc>
          <w:tcPr>
            <w:tcW w:w="3257"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247931B6"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MEDIO DE VERIFICACIÓN</w:t>
            </w:r>
          </w:p>
        </w:tc>
        <w:tc>
          <w:tcPr>
            <w:tcW w:w="14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5874DF3E"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 xml:space="preserve">PRESUPUESTO EJECUTADO 2020 </w:t>
            </w:r>
          </w:p>
          <w:p w14:paraId="16A53C58"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(SOLES)</w:t>
            </w:r>
          </w:p>
        </w:tc>
        <w:tc>
          <w:tcPr>
            <w:tcW w:w="1438"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5C08C83F" w14:textId="77777777" w:rsidR="0009331B" w:rsidRPr="00CF7790" w:rsidRDefault="0009331B" w:rsidP="00DA42C9">
            <w:pPr>
              <w:spacing w:after="0" w:line="240" w:lineRule="auto"/>
              <w:jc w:val="center"/>
              <w:rPr>
                <w:rFonts w:ascii="Open Sans Light" w:eastAsia="Times New Roman" w:hAnsi="Open Sans Light" w:cs="Open Sans Light"/>
                <w:b/>
                <w:bCs/>
                <w:color w:val="FFFFFF" w:themeColor="background1"/>
                <w:sz w:val="16"/>
                <w:szCs w:val="16"/>
              </w:rPr>
            </w:pPr>
            <w:r w:rsidRPr="00CF7790">
              <w:rPr>
                <w:rFonts w:ascii="Open Sans Light" w:eastAsia="Times New Roman" w:hAnsi="Open Sans Light" w:cs="Open Sans Light"/>
                <w:b/>
                <w:bCs/>
                <w:color w:val="FFFFFF" w:themeColor="background1"/>
                <w:sz w:val="16"/>
                <w:szCs w:val="16"/>
              </w:rPr>
              <w:t>% VAR EJECUCIÓN PRESUPUESTAL 2012 - 2020</w:t>
            </w:r>
          </w:p>
        </w:tc>
      </w:tr>
      <w:tr w:rsidR="0009331B" w:rsidRPr="00CF7790" w14:paraId="1D0F554F" w14:textId="77777777" w:rsidTr="001624BE">
        <w:trPr>
          <w:trHeight w:val="198"/>
          <w:jc w:val="center"/>
        </w:trPr>
        <w:tc>
          <w:tcPr>
            <w:tcW w:w="16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466131" w14:textId="77777777" w:rsidR="0009331B" w:rsidRPr="00CF7790" w:rsidRDefault="0009331B" w:rsidP="00DA42C9">
            <w:pPr>
              <w:spacing w:after="0" w:line="240" w:lineRule="auto"/>
              <w:rPr>
                <w:rFonts w:ascii="Open Sans Light" w:eastAsia="Times New Roman" w:hAnsi="Open Sans Light" w:cs="Open Sans Light"/>
                <w:color w:val="000000"/>
                <w:sz w:val="16"/>
                <w:szCs w:val="16"/>
              </w:rPr>
            </w:pPr>
            <w:r w:rsidRPr="00CF7790">
              <w:rPr>
                <w:rFonts w:ascii="Open Sans Light" w:eastAsia="Open Sans Light" w:hAnsi="Open Sans Light" w:cs="Open Sans Light"/>
                <w:color w:val="000000"/>
                <w:sz w:val="16"/>
                <w:szCs w:val="16"/>
              </w:rPr>
              <w:t>Promoción de la comprensión lectora y razonamiento matemático</w:t>
            </w:r>
          </w:p>
        </w:tc>
        <w:tc>
          <w:tcPr>
            <w:tcW w:w="15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0B6BF2"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Se cumplió</w:t>
            </w:r>
            <w:r w:rsidRPr="00CF7790">
              <w:rPr>
                <w:rFonts w:ascii="Open Sans Light" w:eastAsia="Times New Roman" w:hAnsi="Open Sans Light" w:cs="Open Sans Light"/>
                <w:color w:val="000000"/>
                <w:sz w:val="16"/>
                <w:szCs w:val="16"/>
              </w:rPr>
              <w:t xml:space="preserve"> la implementación del eje</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B38DFE8"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Programa Presupuestal Logros de Aprendizaje – PP 0090</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F29B93"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6,829,974,273</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9473D81"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100%</w:t>
            </w:r>
          </w:p>
        </w:tc>
      </w:tr>
      <w:tr w:rsidR="0009331B" w:rsidRPr="00CF7790" w14:paraId="1ACD2416" w14:textId="77777777" w:rsidTr="001624BE">
        <w:trPr>
          <w:trHeight w:val="198"/>
          <w:jc w:val="center"/>
        </w:trPr>
        <w:tc>
          <w:tcPr>
            <w:tcW w:w="16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0486A33" w14:textId="77777777" w:rsidR="0009331B" w:rsidRPr="00CF7790" w:rsidRDefault="0009331B" w:rsidP="00DA42C9">
            <w:pPr>
              <w:spacing w:after="0" w:line="240" w:lineRule="auto"/>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lastRenderedPageBreak/>
              <w:t>Formación de docentes con pertinencia cultural y de género</w:t>
            </w:r>
          </w:p>
        </w:tc>
        <w:tc>
          <w:tcPr>
            <w:tcW w:w="15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1F10B4"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Se cumplió</w:t>
            </w:r>
            <w:r w:rsidRPr="00CF7790">
              <w:rPr>
                <w:rFonts w:ascii="Open Sans Light" w:eastAsia="Times New Roman" w:hAnsi="Open Sans Light" w:cs="Open Sans Light"/>
                <w:color w:val="000000"/>
                <w:sz w:val="16"/>
                <w:szCs w:val="16"/>
              </w:rPr>
              <w:t xml:space="preserve"> la implementación del eje</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D08BB4"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PP 0090: “Docentes preparados implementan el currículo”.</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8C48B6"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123,215,587</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ACE6388"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7%</w:t>
            </w:r>
            <w:r w:rsidRPr="00CF7790">
              <w:rPr>
                <w:rStyle w:val="FootnoteReference"/>
                <w:rFonts w:ascii="Open Sans Light" w:eastAsia="Times New Roman" w:hAnsi="Open Sans Light" w:cs="Open Sans Light"/>
                <w:b/>
                <w:bCs/>
                <w:color w:val="000000"/>
                <w:sz w:val="16"/>
                <w:szCs w:val="16"/>
              </w:rPr>
              <w:footnoteReference w:id="4"/>
            </w:r>
          </w:p>
        </w:tc>
      </w:tr>
      <w:tr w:rsidR="0009331B" w:rsidRPr="00CF7790" w14:paraId="73194347" w14:textId="77777777" w:rsidTr="001624BE">
        <w:trPr>
          <w:trHeight w:val="198"/>
          <w:jc w:val="center"/>
        </w:trPr>
        <w:tc>
          <w:tcPr>
            <w:tcW w:w="16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AEE2500" w14:textId="77777777" w:rsidR="0009331B" w:rsidRPr="00CF7790" w:rsidRDefault="0009331B" w:rsidP="00DA42C9">
            <w:pPr>
              <w:spacing w:after="0" w:line="240" w:lineRule="auto"/>
              <w:rPr>
                <w:rFonts w:ascii="Open Sans Light" w:eastAsia="Open Sans Light" w:hAnsi="Open Sans Light" w:cs="Open Sans Light"/>
                <w:sz w:val="16"/>
                <w:szCs w:val="16"/>
              </w:rPr>
            </w:pPr>
            <w:r w:rsidRPr="00CF7790">
              <w:rPr>
                <w:rFonts w:ascii="Open Sans Light" w:eastAsia="Open Sans Light" w:hAnsi="Open Sans Light" w:cs="Open Sans Light"/>
                <w:sz w:val="16"/>
                <w:szCs w:val="16"/>
              </w:rPr>
              <w:t>Promoción de la Educación Bilingüe</w:t>
            </w:r>
          </w:p>
        </w:tc>
        <w:tc>
          <w:tcPr>
            <w:tcW w:w="15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0E5601"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Se cumplió</w:t>
            </w:r>
            <w:r w:rsidRPr="00CF7790">
              <w:rPr>
                <w:rFonts w:ascii="Open Sans Light" w:eastAsia="Times New Roman" w:hAnsi="Open Sans Light" w:cs="Open Sans Light"/>
                <w:color w:val="000000"/>
                <w:sz w:val="16"/>
                <w:szCs w:val="16"/>
              </w:rPr>
              <w:t xml:space="preserve"> la implementación del eje</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A063883"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 xml:space="preserve">PP 0090: “Docentes preparados implementan el currículo” / Producto “Docentes preparados implementan el currículo” / Actividad “Acompañamiento pedagógico a instituciones educativas de educación intercultural bilingüe” </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BB2AC63"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28,621,786</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8C5804"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67%</w:t>
            </w:r>
          </w:p>
        </w:tc>
      </w:tr>
      <w:tr w:rsidR="0009331B" w:rsidRPr="00CF7790" w14:paraId="31B68AE0" w14:textId="77777777" w:rsidTr="001624BE">
        <w:trPr>
          <w:trHeight w:val="198"/>
          <w:jc w:val="center"/>
        </w:trPr>
        <w:tc>
          <w:tcPr>
            <w:tcW w:w="16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2B36F2FB" w14:textId="77777777" w:rsidR="0009331B" w:rsidRPr="00CF7790" w:rsidRDefault="0009331B" w:rsidP="00DA42C9">
            <w:pPr>
              <w:spacing w:after="0" w:line="240" w:lineRule="auto"/>
              <w:rPr>
                <w:rFonts w:ascii="Open Sans Light" w:eastAsia="Open Sans Light" w:hAnsi="Open Sans Light" w:cs="Open Sans Light"/>
                <w:color w:val="000000"/>
                <w:sz w:val="16"/>
                <w:szCs w:val="16"/>
              </w:rPr>
            </w:pPr>
            <w:r w:rsidRPr="00CF7790">
              <w:rPr>
                <w:rFonts w:ascii="Open Sans Light" w:eastAsia="Open Sans Light" w:hAnsi="Open Sans Light" w:cs="Open Sans Light"/>
                <w:color w:val="000000"/>
                <w:sz w:val="16"/>
                <w:szCs w:val="16"/>
              </w:rPr>
              <w:t>Fortalecimiento de la educación desde la familia</w:t>
            </w:r>
          </w:p>
        </w:tc>
        <w:tc>
          <w:tcPr>
            <w:tcW w:w="15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144825"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Se cumplió</w:t>
            </w:r>
            <w:r w:rsidRPr="00CF7790">
              <w:rPr>
                <w:rFonts w:ascii="Open Sans Light" w:eastAsia="Times New Roman" w:hAnsi="Open Sans Light" w:cs="Open Sans Light"/>
                <w:color w:val="000000"/>
                <w:sz w:val="16"/>
                <w:szCs w:val="16"/>
              </w:rPr>
              <w:t xml:space="preserve"> la implementación del eje</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209FCB"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Programa Presupuestal de “Inclusión de niños, niñas, y jóvenes con discapacidad en la educación básica y técnico productiva” – PP 0106: Producto: “Familias asistidas para su participación efectiva en el proceso educativo”</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9ED50A"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Open Sans Light" w:hAnsi="Open Sans Light" w:cs="Open Sans Light"/>
                <w:color w:val="000000"/>
                <w:sz w:val="16"/>
                <w:szCs w:val="16"/>
              </w:rPr>
              <w:t>2 129 798</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5F8D25"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232%</w:t>
            </w:r>
          </w:p>
        </w:tc>
      </w:tr>
      <w:tr w:rsidR="0009331B" w:rsidRPr="00CF7790" w14:paraId="7CAC9545" w14:textId="77777777" w:rsidTr="001624BE">
        <w:trPr>
          <w:trHeight w:val="198"/>
          <w:jc w:val="center"/>
        </w:trPr>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FA8353" w14:textId="77777777" w:rsidR="0009331B" w:rsidRPr="00CF7790" w:rsidRDefault="0009331B" w:rsidP="00DA42C9">
            <w:pPr>
              <w:spacing w:after="0" w:line="240" w:lineRule="auto"/>
              <w:rPr>
                <w:rFonts w:ascii="Open Sans Light" w:eastAsia="Open Sans Light" w:hAnsi="Open Sans Light" w:cs="Open Sans Light"/>
                <w:sz w:val="16"/>
                <w:szCs w:val="16"/>
              </w:rPr>
            </w:pPr>
            <w:r w:rsidRPr="00CF7790">
              <w:rPr>
                <w:rFonts w:ascii="Open Sans Light" w:eastAsia="Open Sans Light" w:hAnsi="Open Sans Light" w:cs="Open Sans Light"/>
                <w:sz w:val="16"/>
                <w:szCs w:val="16"/>
              </w:rPr>
              <w:t>Intervenciones vinculadas a la violencia en el ámbito educativo</w:t>
            </w:r>
          </w:p>
        </w:tc>
        <w:tc>
          <w:tcPr>
            <w:tcW w:w="15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8CD9BA"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000000"/>
                <w:sz w:val="16"/>
                <w:szCs w:val="16"/>
              </w:rPr>
              <w:t>No se cumplió</w:t>
            </w:r>
            <w:r w:rsidRPr="00CF7790">
              <w:rPr>
                <w:rFonts w:ascii="Open Sans Light" w:eastAsia="Times New Roman" w:hAnsi="Open Sans Light" w:cs="Open Sans Light"/>
                <w:color w:val="000000"/>
                <w:sz w:val="16"/>
                <w:szCs w:val="16"/>
              </w:rPr>
              <w:t xml:space="preserve"> la implementación del eje, pues se redujo la ejecución presupuestal</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896E7D"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Programa Presupuestal de “Lucha contra la Violencia Familiar” – PP 0080: Actividad presupuestal “Prevención de la violencia familiar en la comunidad educativa de educación básica regular y superior”</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609AE9"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Open Sans Light" w:hAnsi="Open Sans Light" w:cs="Open Sans Light"/>
                <w:color w:val="000000"/>
                <w:sz w:val="16"/>
                <w:szCs w:val="16"/>
              </w:rPr>
              <w:t>912 284</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D23ACE5" w14:textId="77777777" w:rsidR="0009331B" w:rsidRPr="00CF7790" w:rsidRDefault="0009331B" w:rsidP="00DA42C9">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-25%</w:t>
            </w:r>
            <w:r w:rsidRPr="00CF7790">
              <w:rPr>
                <w:rStyle w:val="FootnoteReference"/>
                <w:rFonts w:ascii="Open Sans Light" w:eastAsia="Times New Roman" w:hAnsi="Open Sans Light" w:cs="Open Sans Light"/>
                <w:color w:val="000000"/>
                <w:sz w:val="16"/>
                <w:szCs w:val="16"/>
              </w:rPr>
              <w:footnoteReference w:id="5"/>
            </w:r>
          </w:p>
        </w:tc>
      </w:tr>
    </w:tbl>
    <w:p w14:paraId="03E76E3B" w14:textId="77777777" w:rsidR="0009331B" w:rsidRPr="00CF7790" w:rsidRDefault="0009331B" w:rsidP="0009331B">
      <w:pPr>
        <w:rPr>
          <w:rFonts w:ascii="Open Sans Light" w:hAnsi="Open Sans Light" w:cs="Open Sans Light"/>
          <w:sz w:val="28"/>
          <w:szCs w:val="28"/>
        </w:rPr>
      </w:pPr>
    </w:p>
    <w:p w14:paraId="10DC0806" w14:textId="19DA5A61" w:rsidR="0000685B" w:rsidRDefault="0000685B"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14</w:t>
      </w:r>
      <w:r w:rsidR="00354646">
        <w:rPr>
          <w:noProof/>
        </w:rPr>
        <w:fldChar w:fldCharType="end"/>
      </w:r>
    </w:p>
    <w:tbl>
      <w:tblPr>
        <w:tblW w:w="6100" w:type="dxa"/>
        <w:jc w:val="center"/>
        <w:tblCellMar>
          <w:left w:w="70" w:type="dxa"/>
          <w:right w:w="70" w:type="dxa"/>
        </w:tblCellMar>
        <w:tblLook w:val="04A0" w:firstRow="1" w:lastRow="0" w:firstColumn="1" w:lastColumn="0" w:noHBand="0" w:noVBand="1"/>
      </w:tblPr>
      <w:tblGrid>
        <w:gridCol w:w="2310"/>
        <w:gridCol w:w="1285"/>
        <w:gridCol w:w="1285"/>
        <w:gridCol w:w="1220"/>
      </w:tblGrid>
      <w:tr w:rsidR="0009331B" w:rsidRPr="00CF7790" w14:paraId="72888531" w14:textId="77777777" w:rsidTr="004D0E60">
        <w:trPr>
          <w:trHeight w:val="300"/>
          <w:tblHeader/>
          <w:jc w:val="center"/>
        </w:trPr>
        <w:tc>
          <w:tcPr>
            <w:tcW w:w="2310" w:type="dxa"/>
            <w:tcBorders>
              <w:top w:val="single" w:sz="4" w:space="0" w:color="auto"/>
              <w:left w:val="single" w:sz="4" w:space="0" w:color="auto"/>
              <w:bottom w:val="single" w:sz="4" w:space="0" w:color="auto"/>
              <w:right w:val="single" w:sz="4" w:space="0" w:color="auto"/>
            </w:tcBorders>
            <w:shd w:val="clear" w:color="auto" w:fill="000000" w:themeFill="text1"/>
            <w:vAlign w:val="bottom"/>
            <w:hideMark/>
          </w:tcPr>
          <w:p w14:paraId="25FF5E93"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themeColor="background1"/>
                <w:sz w:val="18"/>
                <w:szCs w:val="18"/>
              </w:rPr>
              <w:t>CATEGORÍA</w:t>
            </w:r>
          </w:p>
        </w:tc>
        <w:tc>
          <w:tcPr>
            <w:tcW w:w="1285"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50DBEBAB"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themeColor="background1"/>
                <w:sz w:val="16"/>
                <w:szCs w:val="16"/>
              </w:rPr>
              <w:t>2012</w:t>
            </w:r>
          </w:p>
        </w:tc>
        <w:tc>
          <w:tcPr>
            <w:tcW w:w="1285"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1FECD6CA"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themeColor="background1"/>
                <w:sz w:val="16"/>
                <w:szCs w:val="16"/>
              </w:rPr>
              <w:t>2020</w:t>
            </w:r>
          </w:p>
        </w:tc>
        <w:tc>
          <w:tcPr>
            <w:tcW w:w="12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5BF8CACA" w14:textId="77777777" w:rsidR="0009331B" w:rsidRPr="00CF7790" w:rsidRDefault="0009331B" w:rsidP="00DA42C9">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themeColor="background1"/>
                <w:sz w:val="16"/>
                <w:szCs w:val="16"/>
              </w:rPr>
              <w:t>% VAR</w:t>
            </w:r>
          </w:p>
        </w:tc>
      </w:tr>
      <w:tr w:rsidR="0009331B" w:rsidRPr="00CF7790" w14:paraId="611E06E8" w14:textId="77777777" w:rsidTr="004D0E60">
        <w:trPr>
          <w:trHeight w:val="300"/>
          <w:jc w:val="center"/>
        </w:trPr>
        <w:tc>
          <w:tcPr>
            <w:tcW w:w="2310" w:type="dxa"/>
            <w:tcBorders>
              <w:top w:val="single" w:sz="4" w:space="0" w:color="auto"/>
              <w:left w:val="single" w:sz="4" w:space="0" w:color="auto"/>
              <w:bottom w:val="single" w:sz="4" w:space="0" w:color="auto"/>
              <w:right w:val="single" w:sz="4" w:space="0" w:color="auto"/>
            </w:tcBorders>
            <w:vAlign w:val="bottom"/>
            <w:hideMark/>
          </w:tcPr>
          <w:p w14:paraId="7A6A9285" w14:textId="77777777" w:rsidR="0009331B" w:rsidRPr="00CF7790" w:rsidRDefault="0009331B" w:rsidP="00DA42C9">
            <w:pPr>
              <w:spacing w:after="0" w:line="240" w:lineRule="auto"/>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NACIONAL</w:t>
            </w:r>
          </w:p>
        </w:tc>
        <w:tc>
          <w:tcPr>
            <w:tcW w:w="1285" w:type="dxa"/>
            <w:tcBorders>
              <w:top w:val="single" w:sz="4" w:space="0" w:color="auto"/>
              <w:left w:val="nil"/>
              <w:bottom w:val="single" w:sz="4" w:space="0" w:color="auto"/>
              <w:right w:val="single" w:sz="4" w:space="0" w:color="auto"/>
            </w:tcBorders>
            <w:noWrap/>
            <w:vAlign w:val="bottom"/>
            <w:hideMark/>
          </w:tcPr>
          <w:p w14:paraId="658403E8"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3,417,786,884</w:t>
            </w:r>
          </w:p>
        </w:tc>
        <w:tc>
          <w:tcPr>
            <w:tcW w:w="1285" w:type="dxa"/>
            <w:tcBorders>
              <w:top w:val="single" w:sz="4" w:space="0" w:color="auto"/>
              <w:left w:val="nil"/>
              <w:bottom w:val="single" w:sz="4" w:space="0" w:color="auto"/>
              <w:right w:val="single" w:sz="4" w:space="0" w:color="auto"/>
            </w:tcBorders>
            <w:noWrap/>
            <w:vAlign w:val="bottom"/>
            <w:hideMark/>
          </w:tcPr>
          <w:p w14:paraId="1496C469"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6,829,974,273</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76F99D8C" w14:textId="77777777" w:rsidR="0009331B" w:rsidRPr="00CF7790" w:rsidRDefault="0009331B" w:rsidP="00DA42C9">
            <w:pPr>
              <w:spacing w:after="0" w:line="240" w:lineRule="auto"/>
              <w:jc w:val="right"/>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100%</w:t>
            </w:r>
          </w:p>
        </w:tc>
      </w:tr>
      <w:tr w:rsidR="0009331B" w:rsidRPr="00CF7790" w14:paraId="69D31D80"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57FBE6A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AMAZONAS</w:t>
            </w:r>
          </w:p>
        </w:tc>
        <w:tc>
          <w:tcPr>
            <w:tcW w:w="1285" w:type="dxa"/>
            <w:tcBorders>
              <w:top w:val="nil"/>
              <w:left w:val="nil"/>
              <w:bottom w:val="single" w:sz="4" w:space="0" w:color="auto"/>
              <w:right w:val="single" w:sz="4" w:space="0" w:color="auto"/>
            </w:tcBorders>
            <w:noWrap/>
            <w:vAlign w:val="bottom"/>
            <w:hideMark/>
          </w:tcPr>
          <w:p w14:paraId="75CC252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86,605,503</w:t>
            </w:r>
          </w:p>
        </w:tc>
        <w:tc>
          <w:tcPr>
            <w:tcW w:w="1285" w:type="dxa"/>
            <w:tcBorders>
              <w:top w:val="nil"/>
              <w:left w:val="nil"/>
              <w:bottom w:val="single" w:sz="4" w:space="0" w:color="auto"/>
              <w:right w:val="single" w:sz="4" w:space="0" w:color="auto"/>
            </w:tcBorders>
            <w:noWrap/>
            <w:vAlign w:val="bottom"/>
            <w:hideMark/>
          </w:tcPr>
          <w:p w14:paraId="33BA218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208,054,675</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06A4581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140%</w:t>
            </w:r>
          </w:p>
        </w:tc>
      </w:tr>
      <w:tr w:rsidR="0009331B" w:rsidRPr="00CF7790" w14:paraId="79DDE842"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631FA079"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ANCASH</w:t>
            </w:r>
          </w:p>
        </w:tc>
        <w:tc>
          <w:tcPr>
            <w:tcW w:w="1285" w:type="dxa"/>
            <w:tcBorders>
              <w:top w:val="nil"/>
              <w:left w:val="nil"/>
              <w:bottom w:val="single" w:sz="4" w:space="0" w:color="auto"/>
              <w:right w:val="single" w:sz="4" w:space="0" w:color="auto"/>
            </w:tcBorders>
            <w:noWrap/>
            <w:vAlign w:val="bottom"/>
            <w:hideMark/>
          </w:tcPr>
          <w:p w14:paraId="4F5C2E2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162,492,894</w:t>
            </w:r>
          </w:p>
        </w:tc>
        <w:tc>
          <w:tcPr>
            <w:tcW w:w="1285" w:type="dxa"/>
            <w:tcBorders>
              <w:top w:val="nil"/>
              <w:left w:val="nil"/>
              <w:bottom w:val="single" w:sz="4" w:space="0" w:color="auto"/>
              <w:right w:val="single" w:sz="4" w:space="0" w:color="auto"/>
            </w:tcBorders>
            <w:noWrap/>
            <w:vAlign w:val="bottom"/>
            <w:hideMark/>
          </w:tcPr>
          <w:p w14:paraId="1E63731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333,583,867</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6843534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105%</w:t>
            </w:r>
          </w:p>
        </w:tc>
      </w:tr>
      <w:tr w:rsidR="0009331B" w:rsidRPr="00CF7790" w14:paraId="3D460BEE"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512431A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APURIMAC</w:t>
            </w:r>
          </w:p>
        </w:tc>
        <w:tc>
          <w:tcPr>
            <w:tcW w:w="1285" w:type="dxa"/>
            <w:tcBorders>
              <w:top w:val="nil"/>
              <w:left w:val="nil"/>
              <w:bottom w:val="single" w:sz="4" w:space="0" w:color="auto"/>
              <w:right w:val="single" w:sz="4" w:space="0" w:color="auto"/>
            </w:tcBorders>
            <w:noWrap/>
            <w:vAlign w:val="bottom"/>
            <w:hideMark/>
          </w:tcPr>
          <w:p w14:paraId="749188F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83,843,264</w:t>
            </w:r>
          </w:p>
        </w:tc>
        <w:tc>
          <w:tcPr>
            <w:tcW w:w="1285" w:type="dxa"/>
            <w:tcBorders>
              <w:top w:val="nil"/>
              <w:left w:val="nil"/>
              <w:bottom w:val="single" w:sz="4" w:space="0" w:color="auto"/>
              <w:right w:val="single" w:sz="4" w:space="0" w:color="auto"/>
            </w:tcBorders>
            <w:noWrap/>
            <w:vAlign w:val="bottom"/>
            <w:hideMark/>
          </w:tcPr>
          <w:p w14:paraId="0E3F650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172,124,484</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3112E77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105%</w:t>
            </w:r>
          </w:p>
        </w:tc>
      </w:tr>
      <w:tr w:rsidR="0009331B" w:rsidRPr="00CF7790" w14:paraId="3D540627"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43448B8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AREQUIPA</w:t>
            </w:r>
          </w:p>
        </w:tc>
        <w:tc>
          <w:tcPr>
            <w:tcW w:w="1285" w:type="dxa"/>
            <w:tcBorders>
              <w:top w:val="nil"/>
              <w:left w:val="nil"/>
              <w:bottom w:val="single" w:sz="4" w:space="0" w:color="auto"/>
              <w:right w:val="single" w:sz="4" w:space="0" w:color="auto"/>
            </w:tcBorders>
            <w:noWrap/>
            <w:vAlign w:val="bottom"/>
            <w:hideMark/>
          </w:tcPr>
          <w:p w14:paraId="37AA246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108,496,035</w:t>
            </w:r>
          </w:p>
        </w:tc>
        <w:tc>
          <w:tcPr>
            <w:tcW w:w="1285" w:type="dxa"/>
            <w:tcBorders>
              <w:top w:val="nil"/>
              <w:left w:val="nil"/>
              <w:bottom w:val="single" w:sz="4" w:space="0" w:color="auto"/>
              <w:right w:val="single" w:sz="4" w:space="0" w:color="auto"/>
            </w:tcBorders>
            <w:noWrap/>
            <w:vAlign w:val="bottom"/>
            <w:hideMark/>
          </w:tcPr>
          <w:p w14:paraId="1543FD4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206,579,668</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6C596A6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90%</w:t>
            </w:r>
          </w:p>
        </w:tc>
      </w:tr>
      <w:tr w:rsidR="0009331B" w:rsidRPr="00CF7790" w14:paraId="66A9DCF0"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5B7CCF12"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AYACUCHO</w:t>
            </w:r>
          </w:p>
        </w:tc>
        <w:tc>
          <w:tcPr>
            <w:tcW w:w="1285" w:type="dxa"/>
            <w:tcBorders>
              <w:top w:val="nil"/>
              <w:left w:val="nil"/>
              <w:bottom w:val="single" w:sz="4" w:space="0" w:color="auto"/>
              <w:right w:val="single" w:sz="4" w:space="0" w:color="auto"/>
            </w:tcBorders>
            <w:noWrap/>
            <w:vAlign w:val="bottom"/>
            <w:hideMark/>
          </w:tcPr>
          <w:p w14:paraId="5E20DBA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134,231,294</w:t>
            </w:r>
          </w:p>
        </w:tc>
        <w:tc>
          <w:tcPr>
            <w:tcW w:w="1285" w:type="dxa"/>
            <w:tcBorders>
              <w:top w:val="nil"/>
              <w:left w:val="nil"/>
              <w:bottom w:val="single" w:sz="4" w:space="0" w:color="auto"/>
              <w:right w:val="single" w:sz="4" w:space="0" w:color="auto"/>
            </w:tcBorders>
            <w:noWrap/>
            <w:vAlign w:val="bottom"/>
            <w:hideMark/>
          </w:tcPr>
          <w:p w14:paraId="2D966D2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263,877,949</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7EE65DC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97%</w:t>
            </w:r>
          </w:p>
        </w:tc>
      </w:tr>
      <w:tr w:rsidR="0009331B" w:rsidRPr="00CF7790" w14:paraId="71453993"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1D8DBE14"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CAJAMARCA</w:t>
            </w:r>
          </w:p>
        </w:tc>
        <w:tc>
          <w:tcPr>
            <w:tcW w:w="1285" w:type="dxa"/>
            <w:tcBorders>
              <w:top w:val="nil"/>
              <w:left w:val="nil"/>
              <w:bottom w:val="single" w:sz="4" w:space="0" w:color="auto"/>
              <w:right w:val="single" w:sz="4" w:space="0" w:color="auto"/>
            </w:tcBorders>
            <w:noWrap/>
            <w:vAlign w:val="bottom"/>
            <w:hideMark/>
          </w:tcPr>
          <w:p w14:paraId="61C1C56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242,712,701</w:t>
            </w:r>
          </w:p>
        </w:tc>
        <w:tc>
          <w:tcPr>
            <w:tcW w:w="1285" w:type="dxa"/>
            <w:tcBorders>
              <w:top w:val="nil"/>
              <w:left w:val="nil"/>
              <w:bottom w:val="single" w:sz="4" w:space="0" w:color="auto"/>
              <w:right w:val="single" w:sz="4" w:space="0" w:color="auto"/>
            </w:tcBorders>
            <w:noWrap/>
            <w:vAlign w:val="bottom"/>
            <w:hideMark/>
          </w:tcPr>
          <w:p w14:paraId="61BEECD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574,252,099</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7490C79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137%</w:t>
            </w:r>
          </w:p>
        </w:tc>
      </w:tr>
      <w:tr w:rsidR="0009331B" w:rsidRPr="00CF7790" w14:paraId="380F1F52"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07BEC141"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CALLAO</w:t>
            </w:r>
          </w:p>
        </w:tc>
        <w:tc>
          <w:tcPr>
            <w:tcW w:w="1285" w:type="dxa"/>
            <w:tcBorders>
              <w:top w:val="nil"/>
              <w:left w:val="nil"/>
              <w:bottom w:val="single" w:sz="4" w:space="0" w:color="auto"/>
              <w:right w:val="single" w:sz="4" w:space="0" w:color="auto"/>
            </w:tcBorders>
            <w:noWrap/>
            <w:vAlign w:val="bottom"/>
            <w:hideMark/>
          </w:tcPr>
          <w:p w14:paraId="3C08900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60,159,742</w:t>
            </w:r>
          </w:p>
        </w:tc>
        <w:tc>
          <w:tcPr>
            <w:tcW w:w="1285" w:type="dxa"/>
            <w:tcBorders>
              <w:top w:val="nil"/>
              <w:left w:val="nil"/>
              <w:bottom w:val="single" w:sz="4" w:space="0" w:color="auto"/>
              <w:right w:val="single" w:sz="4" w:space="0" w:color="auto"/>
            </w:tcBorders>
            <w:noWrap/>
            <w:vAlign w:val="bottom"/>
            <w:hideMark/>
          </w:tcPr>
          <w:p w14:paraId="2F8A96A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109,771,754</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72C2D91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82%</w:t>
            </w:r>
          </w:p>
        </w:tc>
      </w:tr>
      <w:tr w:rsidR="0009331B" w:rsidRPr="00CF7790" w14:paraId="1D026E52"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3731703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CUSCO</w:t>
            </w:r>
          </w:p>
        </w:tc>
        <w:tc>
          <w:tcPr>
            <w:tcW w:w="1285" w:type="dxa"/>
            <w:tcBorders>
              <w:top w:val="nil"/>
              <w:left w:val="nil"/>
              <w:bottom w:val="single" w:sz="4" w:space="0" w:color="auto"/>
              <w:right w:val="single" w:sz="4" w:space="0" w:color="auto"/>
            </w:tcBorders>
            <w:noWrap/>
            <w:vAlign w:val="bottom"/>
            <w:hideMark/>
          </w:tcPr>
          <w:p w14:paraId="7EAAEF9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172,615,274</w:t>
            </w:r>
          </w:p>
        </w:tc>
        <w:tc>
          <w:tcPr>
            <w:tcW w:w="1285" w:type="dxa"/>
            <w:tcBorders>
              <w:top w:val="nil"/>
              <w:left w:val="nil"/>
              <w:bottom w:val="single" w:sz="4" w:space="0" w:color="auto"/>
              <w:right w:val="single" w:sz="4" w:space="0" w:color="auto"/>
            </w:tcBorders>
            <w:noWrap/>
            <w:vAlign w:val="bottom"/>
            <w:hideMark/>
          </w:tcPr>
          <w:p w14:paraId="7EB6F04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350,110,887</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4B2D1EC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103%</w:t>
            </w:r>
          </w:p>
        </w:tc>
      </w:tr>
      <w:tr w:rsidR="0009331B" w:rsidRPr="00CF7790" w14:paraId="63F1156A"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014EF1D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HUANCAVELICA</w:t>
            </w:r>
          </w:p>
        </w:tc>
        <w:tc>
          <w:tcPr>
            <w:tcW w:w="1285" w:type="dxa"/>
            <w:tcBorders>
              <w:top w:val="nil"/>
              <w:left w:val="nil"/>
              <w:bottom w:val="single" w:sz="4" w:space="0" w:color="auto"/>
              <w:right w:val="single" w:sz="4" w:space="0" w:color="auto"/>
            </w:tcBorders>
            <w:noWrap/>
            <w:vAlign w:val="bottom"/>
            <w:hideMark/>
          </w:tcPr>
          <w:p w14:paraId="4CA0ABD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89,938,868</w:t>
            </w:r>
          </w:p>
        </w:tc>
        <w:tc>
          <w:tcPr>
            <w:tcW w:w="1285" w:type="dxa"/>
            <w:tcBorders>
              <w:top w:val="nil"/>
              <w:left w:val="nil"/>
              <w:bottom w:val="single" w:sz="4" w:space="0" w:color="auto"/>
              <w:right w:val="single" w:sz="4" w:space="0" w:color="auto"/>
            </w:tcBorders>
            <w:noWrap/>
            <w:vAlign w:val="bottom"/>
            <w:hideMark/>
          </w:tcPr>
          <w:p w14:paraId="4AECE55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185,757,573</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7D27338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107%</w:t>
            </w:r>
          </w:p>
        </w:tc>
      </w:tr>
      <w:tr w:rsidR="0009331B" w:rsidRPr="00CF7790" w14:paraId="29BEFED9"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32CF6D1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HUANUCO</w:t>
            </w:r>
          </w:p>
        </w:tc>
        <w:tc>
          <w:tcPr>
            <w:tcW w:w="1285" w:type="dxa"/>
            <w:tcBorders>
              <w:top w:val="nil"/>
              <w:left w:val="nil"/>
              <w:bottom w:val="single" w:sz="4" w:space="0" w:color="auto"/>
              <w:right w:val="single" w:sz="4" w:space="0" w:color="auto"/>
            </w:tcBorders>
            <w:noWrap/>
            <w:vAlign w:val="bottom"/>
            <w:hideMark/>
          </w:tcPr>
          <w:p w14:paraId="5A9895D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123,537,003</w:t>
            </w:r>
          </w:p>
        </w:tc>
        <w:tc>
          <w:tcPr>
            <w:tcW w:w="1285" w:type="dxa"/>
            <w:tcBorders>
              <w:top w:val="nil"/>
              <w:left w:val="nil"/>
              <w:bottom w:val="single" w:sz="4" w:space="0" w:color="auto"/>
              <w:right w:val="single" w:sz="4" w:space="0" w:color="auto"/>
            </w:tcBorders>
            <w:noWrap/>
            <w:vAlign w:val="bottom"/>
            <w:hideMark/>
          </w:tcPr>
          <w:p w14:paraId="2AB969C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253,653,511</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261C60E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105%</w:t>
            </w:r>
          </w:p>
        </w:tc>
      </w:tr>
      <w:tr w:rsidR="0009331B" w:rsidRPr="00CF7790" w14:paraId="5DAC8B58"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1F439EC1"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ICA</w:t>
            </w:r>
          </w:p>
        </w:tc>
        <w:tc>
          <w:tcPr>
            <w:tcW w:w="1285" w:type="dxa"/>
            <w:tcBorders>
              <w:top w:val="nil"/>
              <w:left w:val="nil"/>
              <w:bottom w:val="single" w:sz="4" w:space="0" w:color="auto"/>
              <w:right w:val="single" w:sz="4" w:space="0" w:color="auto"/>
            </w:tcBorders>
            <w:noWrap/>
            <w:vAlign w:val="bottom"/>
            <w:hideMark/>
          </w:tcPr>
          <w:p w14:paraId="002E166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74,665,065</w:t>
            </w:r>
          </w:p>
        </w:tc>
        <w:tc>
          <w:tcPr>
            <w:tcW w:w="1285" w:type="dxa"/>
            <w:tcBorders>
              <w:top w:val="nil"/>
              <w:left w:val="nil"/>
              <w:bottom w:val="single" w:sz="4" w:space="0" w:color="auto"/>
              <w:right w:val="single" w:sz="4" w:space="0" w:color="auto"/>
            </w:tcBorders>
            <w:noWrap/>
            <w:vAlign w:val="bottom"/>
            <w:hideMark/>
          </w:tcPr>
          <w:p w14:paraId="031D269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145,448,159</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105D12F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95%</w:t>
            </w:r>
          </w:p>
        </w:tc>
      </w:tr>
      <w:tr w:rsidR="0009331B" w:rsidRPr="00CF7790" w14:paraId="3EBC0577"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3F6A86D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JUNIN</w:t>
            </w:r>
          </w:p>
        </w:tc>
        <w:tc>
          <w:tcPr>
            <w:tcW w:w="1285" w:type="dxa"/>
            <w:tcBorders>
              <w:top w:val="nil"/>
              <w:left w:val="nil"/>
              <w:bottom w:val="single" w:sz="4" w:space="0" w:color="auto"/>
              <w:right w:val="single" w:sz="4" w:space="0" w:color="auto"/>
            </w:tcBorders>
            <w:noWrap/>
            <w:vAlign w:val="bottom"/>
            <w:hideMark/>
          </w:tcPr>
          <w:p w14:paraId="74C3125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159,098,453</w:t>
            </w:r>
          </w:p>
        </w:tc>
        <w:tc>
          <w:tcPr>
            <w:tcW w:w="1285" w:type="dxa"/>
            <w:tcBorders>
              <w:top w:val="nil"/>
              <w:left w:val="nil"/>
              <w:bottom w:val="single" w:sz="4" w:space="0" w:color="auto"/>
              <w:right w:val="single" w:sz="4" w:space="0" w:color="auto"/>
            </w:tcBorders>
            <w:noWrap/>
            <w:vAlign w:val="bottom"/>
            <w:hideMark/>
          </w:tcPr>
          <w:p w14:paraId="7AA3443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328,874,137</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647D874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107%</w:t>
            </w:r>
          </w:p>
        </w:tc>
      </w:tr>
      <w:tr w:rsidR="0009331B" w:rsidRPr="00CF7790" w14:paraId="52EBD51C"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4E2A6911"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 LIBERTAD</w:t>
            </w:r>
          </w:p>
        </w:tc>
        <w:tc>
          <w:tcPr>
            <w:tcW w:w="1285" w:type="dxa"/>
            <w:tcBorders>
              <w:top w:val="nil"/>
              <w:left w:val="nil"/>
              <w:bottom w:val="single" w:sz="4" w:space="0" w:color="auto"/>
              <w:right w:val="single" w:sz="4" w:space="0" w:color="auto"/>
            </w:tcBorders>
            <w:noWrap/>
            <w:vAlign w:val="bottom"/>
            <w:hideMark/>
          </w:tcPr>
          <w:p w14:paraId="4C0D8BEA"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189,219,775</w:t>
            </w:r>
          </w:p>
        </w:tc>
        <w:tc>
          <w:tcPr>
            <w:tcW w:w="1285" w:type="dxa"/>
            <w:tcBorders>
              <w:top w:val="nil"/>
              <w:left w:val="nil"/>
              <w:bottom w:val="single" w:sz="4" w:space="0" w:color="auto"/>
              <w:right w:val="single" w:sz="4" w:space="0" w:color="auto"/>
            </w:tcBorders>
            <w:noWrap/>
            <w:vAlign w:val="bottom"/>
            <w:hideMark/>
          </w:tcPr>
          <w:p w14:paraId="3EBD689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412,995,434</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03619DB5"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118%</w:t>
            </w:r>
          </w:p>
        </w:tc>
      </w:tr>
      <w:tr w:rsidR="0009331B" w:rsidRPr="00CF7790" w14:paraId="24995784"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3C5B8164"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LAMBAYEQUE</w:t>
            </w:r>
          </w:p>
        </w:tc>
        <w:tc>
          <w:tcPr>
            <w:tcW w:w="1285" w:type="dxa"/>
            <w:tcBorders>
              <w:top w:val="nil"/>
              <w:left w:val="nil"/>
              <w:bottom w:val="single" w:sz="4" w:space="0" w:color="auto"/>
              <w:right w:val="single" w:sz="4" w:space="0" w:color="auto"/>
            </w:tcBorders>
            <w:noWrap/>
            <w:vAlign w:val="bottom"/>
            <w:hideMark/>
          </w:tcPr>
          <w:p w14:paraId="1D7FBA9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109,276,387</w:t>
            </w:r>
          </w:p>
        </w:tc>
        <w:tc>
          <w:tcPr>
            <w:tcW w:w="1285" w:type="dxa"/>
            <w:tcBorders>
              <w:top w:val="nil"/>
              <w:left w:val="nil"/>
              <w:bottom w:val="single" w:sz="4" w:space="0" w:color="auto"/>
              <w:right w:val="single" w:sz="4" w:space="0" w:color="auto"/>
            </w:tcBorders>
            <w:noWrap/>
            <w:vAlign w:val="bottom"/>
            <w:hideMark/>
          </w:tcPr>
          <w:p w14:paraId="4825DD7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237,467,271</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6FAEEBC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117%</w:t>
            </w:r>
          </w:p>
        </w:tc>
      </w:tr>
      <w:tr w:rsidR="0009331B" w:rsidRPr="00CF7790" w14:paraId="2C076FD3"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29BF2B69"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lastRenderedPageBreak/>
              <w:t xml:space="preserve"> LIMA</w:t>
            </w:r>
          </w:p>
        </w:tc>
        <w:tc>
          <w:tcPr>
            <w:tcW w:w="1285" w:type="dxa"/>
            <w:tcBorders>
              <w:top w:val="nil"/>
              <w:left w:val="nil"/>
              <w:bottom w:val="single" w:sz="4" w:space="0" w:color="auto"/>
              <w:right w:val="single" w:sz="4" w:space="0" w:color="auto"/>
            </w:tcBorders>
            <w:noWrap/>
            <w:vAlign w:val="bottom"/>
            <w:hideMark/>
          </w:tcPr>
          <w:p w14:paraId="25F1276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713,332,176</w:t>
            </w:r>
          </w:p>
        </w:tc>
        <w:tc>
          <w:tcPr>
            <w:tcW w:w="1285" w:type="dxa"/>
            <w:tcBorders>
              <w:top w:val="nil"/>
              <w:left w:val="nil"/>
              <w:bottom w:val="single" w:sz="4" w:space="0" w:color="auto"/>
              <w:right w:val="single" w:sz="4" w:space="0" w:color="auto"/>
            </w:tcBorders>
            <w:noWrap/>
            <w:vAlign w:val="bottom"/>
            <w:hideMark/>
          </w:tcPr>
          <w:p w14:paraId="2F8230A1"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1,131,281,223</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3090548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59%</w:t>
            </w:r>
          </w:p>
        </w:tc>
      </w:tr>
      <w:tr w:rsidR="0009331B" w:rsidRPr="00CF7790" w14:paraId="055F3D81"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3459AEA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LORETO</w:t>
            </w:r>
          </w:p>
        </w:tc>
        <w:tc>
          <w:tcPr>
            <w:tcW w:w="1285" w:type="dxa"/>
            <w:tcBorders>
              <w:top w:val="nil"/>
              <w:left w:val="nil"/>
              <w:bottom w:val="single" w:sz="4" w:space="0" w:color="auto"/>
              <w:right w:val="single" w:sz="4" w:space="0" w:color="auto"/>
            </w:tcBorders>
            <w:noWrap/>
            <w:vAlign w:val="bottom"/>
            <w:hideMark/>
          </w:tcPr>
          <w:p w14:paraId="6F8DC43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175,118,945</w:t>
            </w:r>
          </w:p>
        </w:tc>
        <w:tc>
          <w:tcPr>
            <w:tcW w:w="1285" w:type="dxa"/>
            <w:tcBorders>
              <w:top w:val="nil"/>
              <w:left w:val="nil"/>
              <w:bottom w:val="single" w:sz="4" w:space="0" w:color="auto"/>
              <w:right w:val="single" w:sz="4" w:space="0" w:color="auto"/>
            </w:tcBorders>
            <w:noWrap/>
            <w:vAlign w:val="bottom"/>
            <w:hideMark/>
          </w:tcPr>
          <w:p w14:paraId="2CAE18E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383,403,659</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2DFE06F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119%</w:t>
            </w:r>
          </w:p>
        </w:tc>
      </w:tr>
      <w:tr w:rsidR="0009331B" w:rsidRPr="00CF7790" w14:paraId="0C24FE2B"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31C741AD"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MADRE DE DIOS</w:t>
            </w:r>
          </w:p>
        </w:tc>
        <w:tc>
          <w:tcPr>
            <w:tcW w:w="1285" w:type="dxa"/>
            <w:tcBorders>
              <w:top w:val="nil"/>
              <w:left w:val="nil"/>
              <w:bottom w:val="single" w:sz="4" w:space="0" w:color="auto"/>
              <w:right w:val="single" w:sz="4" w:space="0" w:color="auto"/>
            </w:tcBorders>
            <w:noWrap/>
            <w:vAlign w:val="bottom"/>
            <w:hideMark/>
          </w:tcPr>
          <w:p w14:paraId="442F4C1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18,736,724</w:t>
            </w:r>
          </w:p>
        </w:tc>
        <w:tc>
          <w:tcPr>
            <w:tcW w:w="1285" w:type="dxa"/>
            <w:tcBorders>
              <w:top w:val="nil"/>
              <w:left w:val="nil"/>
              <w:bottom w:val="single" w:sz="4" w:space="0" w:color="auto"/>
              <w:right w:val="single" w:sz="4" w:space="0" w:color="auto"/>
            </w:tcBorders>
            <w:noWrap/>
            <w:vAlign w:val="bottom"/>
            <w:hideMark/>
          </w:tcPr>
          <w:p w14:paraId="6586B15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38,562,402</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7B4E768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106%</w:t>
            </w:r>
          </w:p>
        </w:tc>
      </w:tr>
      <w:tr w:rsidR="0009331B" w:rsidRPr="00CF7790" w14:paraId="53E98376"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0237803B"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MOQUEGUA</w:t>
            </w:r>
          </w:p>
        </w:tc>
        <w:tc>
          <w:tcPr>
            <w:tcW w:w="1285" w:type="dxa"/>
            <w:tcBorders>
              <w:top w:val="nil"/>
              <w:left w:val="nil"/>
              <w:bottom w:val="single" w:sz="4" w:space="0" w:color="auto"/>
              <w:right w:val="single" w:sz="4" w:space="0" w:color="auto"/>
            </w:tcBorders>
            <w:noWrap/>
            <w:vAlign w:val="bottom"/>
            <w:hideMark/>
          </w:tcPr>
          <w:p w14:paraId="263F0B4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25,965,018</w:t>
            </w:r>
          </w:p>
        </w:tc>
        <w:tc>
          <w:tcPr>
            <w:tcW w:w="1285" w:type="dxa"/>
            <w:tcBorders>
              <w:top w:val="nil"/>
              <w:left w:val="nil"/>
              <w:bottom w:val="single" w:sz="4" w:space="0" w:color="auto"/>
              <w:right w:val="single" w:sz="4" w:space="0" w:color="auto"/>
            </w:tcBorders>
            <w:noWrap/>
            <w:vAlign w:val="bottom"/>
            <w:hideMark/>
          </w:tcPr>
          <w:p w14:paraId="5BA0BDA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47,881,965</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40994B4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84%</w:t>
            </w:r>
          </w:p>
        </w:tc>
      </w:tr>
      <w:tr w:rsidR="0009331B" w:rsidRPr="00CF7790" w14:paraId="4299255E"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40652733"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PASCO</w:t>
            </w:r>
          </w:p>
        </w:tc>
        <w:tc>
          <w:tcPr>
            <w:tcW w:w="1285" w:type="dxa"/>
            <w:tcBorders>
              <w:top w:val="nil"/>
              <w:left w:val="nil"/>
              <w:bottom w:val="single" w:sz="4" w:space="0" w:color="auto"/>
              <w:right w:val="single" w:sz="4" w:space="0" w:color="auto"/>
            </w:tcBorders>
            <w:noWrap/>
            <w:vAlign w:val="bottom"/>
            <w:hideMark/>
          </w:tcPr>
          <w:p w14:paraId="039DA77F"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44,891,273</w:t>
            </w:r>
          </w:p>
        </w:tc>
        <w:tc>
          <w:tcPr>
            <w:tcW w:w="1285" w:type="dxa"/>
            <w:tcBorders>
              <w:top w:val="nil"/>
              <w:left w:val="nil"/>
              <w:bottom w:val="single" w:sz="4" w:space="0" w:color="auto"/>
              <w:right w:val="single" w:sz="4" w:space="0" w:color="auto"/>
            </w:tcBorders>
            <w:noWrap/>
            <w:vAlign w:val="bottom"/>
            <w:hideMark/>
          </w:tcPr>
          <w:p w14:paraId="522F700D"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97,361,232</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00EA966B"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117%</w:t>
            </w:r>
          </w:p>
        </w:tc>
      </w:tr>
      <w:tr w:rsidR="0009331B" w:rsidRPr="00CF7790" w14:paraId="165116A0"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083B5E38"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PIURA</w:t>
            </w:r>
          </w:p>
        </w:tc>
        <w:tc>
          <w:tcPr>
            <w:tcW w:w="1285" w:type="dxa"/>
            <w:tcBorders>
              <w:top w:val="nil"/>
              <w:left w:val="nil"/>
              <w:bottom w:val="single" w:sz="4" w:space="0" w:color="auto"/>
              <w:right w:val="single" w:sz="4" w:space="0" w:color="auto"/>
            </w:tcBorders>
            <w:noWrap/>
            <w:vAlign w:val="bottom"/>
            <w:hideMark/>
          </w:tcPr>
          <w:p w14:paraId="689A4BD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192,155,173</w:t>
            </w:r>
          </w:p>
        </w:tc>
        <w:tc>
          <w:tcPr>
            <w:tcW w:w="1285" w:type="dxa"/>
            <w:tcBorders>
              <w:top w:val="nil"/>
              <w:left w:val="nil"/>
              <w:bottom w:val="single" w:sz="4" w:space="0" w:color="auto"/>
              <w:right w:val="single" w:sz="4" w:space="0" w:color="auto"/>
            </w:tcBorders>
            <w:noWrap/>
            <w:vAlign w:val="bottom"/>
            <w:hideMark/>
          </w:tcPr>
          <w:p w14:paraId="025BFAC8"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410,680,133</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1DB07A5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114%</w:t>
            </w:r>
          </w:p>
        </w:tc>
      </w:tr>
      <w:tr w:rsidR="0009331B" w:rsidRPr="00CF7790" w14:paraId="05F4F7F9"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3FDDAE26"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PUNO</w:t>
            </w:r>
          </w:p>
        </w:tc>
        <w:tc>
          <w:tcPr>
            <w:tcW w:w="1285" w:type="dxa"/>
            <w:tcBorders>
              <w:top w:val="nil"/>
              <w:left w:val="nil"/>
              <w:bottom w:val="single" w:sz="4" w:space="0" w:color="auto"/>
              <w:right w:val="single" w:sz="4" w:space="0" w:color="auto"/>
            </w:tcBorders>
            <w:noWrap/>
            <w:vAlign w:val="bottom"/>
            <w:hideMark/>
          </w:tcPr>
          <w:p w14:paraId="366EC03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195,538,705</w:t>
            </w:r>
          </w:p>
        </w:tc>
        <w:tc>
          <w:tcPr>
            <w:tcW w:w="1285" w:type="dxa"/>
            <w:tcBorders>
              <w:top w:val="nil"/>
              <w:left w:val="nil"/>
              <w:bottom w:val="single" w:sz="4" w:space="0" w:color="auto"/>
              <w:right w:val="single" w:sz="4" w:space="0" w:color="auto"/>
            </w:tcBorders>
            <w:noWrap/>
            <w:vAlign w:val="bottom"/>
            <w:hideMark/>
          </w:tcPr>
          <w:p w14:paraId="51D10B12"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389,256,509</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5BA28C8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99%</w:t>
            </w:r>
          </w:p>
        </w:tc>
      </w:tr>
      <w:tr w:rsidR="0009331B" w:rsidRPr="00CF7790" w14:paraId="1B8DB71D"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21D9CD6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SAN MARTIN</w:t>
            </w:r>
          </w:p>
        </w:tc>
        <w:tc>
          <w:tcPr>
            <w:tcW w:w="1285" w:type="dxa"/>
            <w:tcBorders>
              <w:top w:val="nil"/>
              <w:left w:val="nil"/>
              <w:bottom w:val="single" w:sz="4" w:space="0" w:color="auto"/>
              <w:right w:val="single" w:sz="4" w:space="0" w:color="auto"/>
            </w:tcBorders>
            <w:noWrap/>
            <w:vAlign w:val="bottom"/>
            <w:hideMark/>
          </w:tcPr>
          <w:p w14:paraId="3BA96F8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124,708,191</w:t>
            </w:r>
          </w:p>
        </w:tc>
        <w:tc>
          <w:tcPr>
            <w:tcW w:w="1285" w:type="dxa"/>
            <w:tcBorders>
              <w:top w:val="nil"/>
              <w:left w:val="nil"/>
              <w:bottom w:val="single" w:sz="4" w:space="0" w:color="auto"/>
              <w:right w:val="single" w:sz="4" w:space="0" w:color="auto"/>
            </w:tcBorders>
            <w:noWrap/>
            <w:vAlign w:val="bottom"/>
            <w:hideMark/>
          </w:tcPr>
          <w:p w14:paraId="6E28BE6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264,121,020</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2C1E2567"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112%</w:t>
            </w:r>
          </w:p>
        </w:tc>
      </w:tr>
      <w:tr w:rsidR="0009331B" w:rsidRPr="00CF7790" w14:paraId="6E6EE208"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26B68D15"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TACNA</w:t>
            </w:r>
          </w:p>
        </w:tc>
        <w:tc>
          <w:tcPr>
            <w:tcW w:w="1285" w:type="dxa"/>
            <w:tcBorders>
              <w:top w:val="nil"/>
              <w:left w:val="nil"/>
              <w:bottom w:val="single" w:sz="4" w:space="0" w:color="auto"/>
              <w:right w:val="single" w:sz="4" w:space="0" w:color="auto"/>
            </w:tcBorders>
            <w:noWrap/>
            <w:vAlign w:val="bottom"/>
            <w:hideMark/>
          </w:tcPr>
          <w:p w14:paraId="444F254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33,888,446</w:t>
            </w:r>
          </w:p>
        </w:tc>
        <w:tc>
          <w:tcPr>
            <w:tcW w:w="1285" w:type="dxa"/>
            <w:tcBorders>
              <w:top w:val="nil"/>
              <w:left w:val="nil"/>
              <w:bottom w:val="single" w:sz="4" w:space="0" w:color="auto"/>
              <w:right w:val="single" w:sz="4" w:space="0" w:color="auto"/>
            </w:tcBorders>
            <w:noWrap/>
            <w:vAlign w:val="bottom"/>
            <w:hideMark/>
          </w:tcPr>
          <w:p w14:paraId="2B56466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63,574,531</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27D69716"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88%</w:t>
            </w:r>
          </w:p>
        </w:tc>
      </w:tr>
      <w:tr w:rsidR="0009331B" w:rsidRPr="00CF7790" w14:paraId="0BA10BDB"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2EE25234"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TUMBES</w:t>
            </w:r>
          </w:p>
        </w:tc>
        <w:tc>
          <w:tcPr>
            <w:tcW w:w="1285" w:type="dxa"/>
            <w:tcBorders>
              <w:top w:val="nil"/>
              <w:left w:val="nil"/>
              <w:bottom w:val="single" w:sz="4" w:space="0" w:color="auto"/>
              <w:right w:val="single" w:sz="4" w:space="0" w:color="auto"/>
            </w:tcBorders>
            <w:noWrap/>
            <w:vAlign w:val="bottom"/>
            <w:hideMark/>
          </w:tcPr>
          <w:p w14:paraId="3B78742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28,777,042</w:t>
            </w:r>
          </w:p>
        </w:tc>
        <w:tc>
          <w:tcPr>
            <w:tcW w:w="1285" w:type="dxa"/>
            <w:tcBorders>
              <w:top w:val="nil"/>
              <w:left w:val="nil"/>
              <w:bottom w:val="single" w:sz="4" w:space="0" w:color="auto"/>
              <w:right w:val="single" w:sz="4" w:space="0" w:color="auto"/>
            </w:tcBorders>
            <w:noWrap/>
            <w:vAlign w:val="bottom"/>
            <w:hideMark/>
          </w:tcPr>
          <w:p w14:paraId="170BC44C"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64,825,647</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397654D4"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125%</w:t>
            </w:r>
          </w:p>
        </w:tc>
      </w:tr>
      <w:tr w:rsidR="0009331B" w:rsidRPr="00CF7790" w14:paraId="705CB16B" w14:textId="77777777" w:rsidTr="004D0E60">
        <w:trPr>
          <w:trHeight w:val="300"/>
          <w:jc w:val="center"/>
        </w:trPr>
        <w:tc>
          <w:tcPr>
            <w:tcW w:w="2310" w:type="dxa"/>
            <w:tcBorders>
              <w:top w:val="nil"/>
              <w:left w:val="single" w:sz="4" w:space="0" w:color="auto"/>
              <w:bottom w:val="single" w:sz="4" w:space="0" w:color="auto"/>
              <w:right w:val="single" w:sz="4" w:space="0" w:color="auto"/>
            </w:tcBorders>
            <w:vAlign w:val="bottom"/>
            <w:hideMark/>
          </w:tcPr>
          <w:p w14:paraId="3C5084EF" w14:textId="77777777" w:rsidR="0009331B" w:rsidRPr="00CF7790" w:rsidRDefault="0009331B" w:rsidP="00DA42C9">
            <w:pPr>
              <w:spacing w:after="0" w:line="240" w:lineRule="auto"/>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 xml:space="preserve"> UCAYALI</w:t>
            </w:r>
          </w:p>
        </w:tc>
        <w:tc>
          <w:tcPr>
            <w:tcW w:w="1285" w:type="dxa"/>
            <w:tcBorders>
              <w:top w:val="nil"/>
              <w:left w:val="nil"/>
              <w:bottom w:val="single" w:sz="4" w:space="0" w:color="auto"/>
              <w:right w:val="single" w:sz="4" w:space="0" w:color="auto"/>
            </w:tcBorders>
            <w:noWrap/>
            <w:vAlign w:val="bottom"/>
            <w:hideMark/>
          </w:tcPr>
          <w:p w14:paraId="78089D63"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67,782,934</w:t>
            </w:r>
          </w:p>
        </w:tc>
        <w:tc>
          <w:tcPr>
            <w:tcW w:w="1285" w:type="dxa"/>
            <w:tcBorders>
              <w:top w:val="nil"/>
              <w:left w:val="nil"/>
              <w:bottom w:val="single" w:sz="4" w:space="0" w:color="auto"/>
              <w:right w:val="single" w:sz="4" w:space="0" w:color="auto"/>
            </w:tcBorders>
            <w:noWrap/>
            <w:vAlign w:val="bottom"/>
            <w:hideMark/>
          </w:tcPr>
          <w:p w14:paraId="7D8AD3A0"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156,474,484</w:t>
            </w:r>
          </w:p>
        </w:tc>
        <w:tc>
          <w:tcPr>
            <w:tcW w:w="1220" w:type="dxa"/>
            <w:tcBorders>
              <w:top w:val="single" w:sz="4" w:space="0" w:color="auto"/>
              <w:left w:val="single" w:sz="4" w:space="0" w:color="auto"/>
              <w:bottom w:val="single" w:sz="4" w:space="0" w:color="auto"/>
              <w:right w:val="single" w:sz="4" w:space="0" w:color="auto"/>
            </w:tcBorders>
            <w:noWrap/>
            <w:vAlign w:val="bottom"/>
            <w:hideMark/>
          </w:tcPr>
          <w:p w14:paraId="51E59A49" w14:textId="77777777" w:rsidR="0009331B" w:rsidRPr="00CF7790" w:rsidRDefault="0009331B" w:rsidP="00DA42C9">
            <w:pPr>
              <w:spacing w:after="0" w:line="240" w:lineRule="auto"/>
              <w:jc w:val="right"/>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131%</w:t>
            </w:r>
          </w:p>
        </w:tc>
      </w:tr>
    </w:tbl>
    <w:p w14:paraId="2F0F39FA" w14:textId="77777777" w:rsidR="0009331B" w:rsidRPr="00CF7790" w:rsidRDefault="0009331B" w:rsidP="0009331B">
      <w:pPr>
        <w:rPr>
          <w:rFonts w:ascii="Open Sans Light" w:hAnsi="Open Sans Light" w:cs="Open Sans Light"/>
          <w:sz w:val="28"/>
          <w:szCs w:val="28"/>
        </w:rPr>
      </w:pPr>
    </w:p>
    <w:p w14:paraId="6E79BEC1" w14:textId="4F07C9C8" w:rsidR="00013557" w:rsidRDefault="00013557"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15</w:t>
      </w:r>
      <w:r w:rsidR="00354646">
        <w:rPr>
          <w:noProof/>
        </w:rPr>
        <w:fldChar w:fldCharType="end"/>
      </w:r>
    </w:p>
    <w:tbl>
      <w:tblPr>
        <w:tblW w:w="7780" w:type="dxa"/>
        <w:jc w:val="center"/>
        <w:tblCellMar>
          <w:left w:w="70" w:type="dxa"/>
          <w:right w:w="70" w:type="dxa"/>
        </w:tblCellMar>
        <w:tblLook w:val="04A0" w:firstRow="1" w:lastRow="0" w:firstColumn="1" w:lastColumn="0" w:noHBand="0" w:noVBand="1"/>
      </w:tblPr>
      <w:tblGrid>
        <w:gridCol w:w="1760"/>
        <w:gridCol w:w="1200"/>
        <w:gridCol w:w="1200"/>
        <w:gridCol w:w="1200"/>
        <w:gridCol w:w="1200"/>
        <w:gridCol w:w="1220"/>
      </w:tblGrid>
      <w:tr w:rsidR="0009331B" w:rsidRPr="00CF7790" w14:paraId="11A2D601" w14:textId="77777777" w:rsidTr="00CF7790">
        <w:trPr>
          <w:trHeight w:val="300"/>
          <w:tblHeader/>
          <w:jc w:val="center"/>
        </w:trPr>
        <w:tc>
          <w:tcPr>
            <w:tcW w:w="1760"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29730BCB"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6"/>
                <w:szCs w:val="16"/>
              </w:rPr>
              <w:t>CATEGORIA</w:t>
            </w:r>
          </w:p>
        </w:tc>
        <w:tc>
          <w:tcPr>
            <w:tcW w:w="120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3D98461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6"/>
                <w:szCs w:val="16"/>
              </w:rPr>
              <w:t>2013</w:t>
            </w:r>
          </w:p>
        </w:tc>
        <w:tc>
          <w:tcPr>
            <w:tcW w:w="120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15C57D9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6"/>
                <w:szCs w:val="16"/>
              </w:rPr>
              <w:t>2019</w:t>
            </w:r>
          </w:p>
        </w:tc>
        <w:tc>
          <w:tcPr>
            <w:tcW w:w="120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546F6A7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6"/>
                <w:szCs w:val="16"/>
              </w:rPr>
              <w:t>2020</w:t>
            </w:r>
          </w:p>
        </w:tc>
        <w:tc>
          <w:tcPr>
            <w:tcW w:w="120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5154069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6"/>
                <w:szCs w:val="16"/>
              </w:rPr>
              <w:t>% VAR 2013-2019</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1F8D7A8A"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b/>
                <w:bCs/>
                <w:color w:val="FFFFFF"/>
                <w:sz w:val="16"/>
                <w:szCs w:val="16"/>
              </w:rPr>
              <w:t>% VAR 2013-2020</w:t>
            </w:r>
          </w:p>
        </w:tc>
      </w:tr>
      <w:tr w:rsidR="0009331B" w:rsidRPr="00CF7790" w14:paraId="60D118E8" w14:textId="77777777" w:rsidTr="00CF7790">
        <w:trPr>
          <w:trHeight w:val="300"/>
          <w:jc w:val="center"/>
        </w:trPr>
        <w:tc>
          <w:tcPr>
            <w:tcW w:w="1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F89DFC"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NACIONAL</w:t>
            </w:r>
          </w:p>
        </w:tc>
        <w:tc>
          <w:tcPr>
            <w:tcW w:w="120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D19A2D"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114,786,430</w:t>
            </w:r>
          </w:p>
        </w:tc>
        <w:tc>
          <w:tcPr>
            <w:tcW w:w="120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146AB8"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170,960,199</w:t>
            </w:r>
          </w:p>
        </w:tc>
        <w:tc>
          <w:tcPr>
            <w:tcW w:w="120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4EDB6D"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123,215,587</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44C27C"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49%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4E5D960" w14:textId="77777777" w:rsidR="0009331B" w:rsidRPr="00CF7790" w:rsidRDefault="0009331B" w:rsidP="00CF7790">
            <w:pPr>
              <w:spacing w:after="0" w:line="240" w:lineRule="auto"/>
              <w:jc w:val="center"/>
              <w:rPr>
                <w:rFonts w:ascii="Open Sans Light" w:eastAsia="Times New Roman" w:hAnsi="Open Sans Light" w:cs="Open Sans Light"/>
                <w:b/>
                <w:bCs/>
                <w:color w:val="000000"/>
                <w:sz w:val="18"/>
                <w:szCs w:val="18"/>
              </w:rPr>
            </w:pPr>
            <w:r w:rsidRPr="00CF7790">
              <w:rPr>
                <w:rFonts w:ascii="Open Sans Light" w:eastAsia="Times New Roman" w:hAnsi="Open Sans Light" w:cs="Open Sans Light"/>
                <w:b/>
                <w:bCs/>
                <w:color w:val="000000"/>
                <w:sz w:val="18"/>
                <w:szCs w:val="18"/>
              </w:rPr>
              <w:t>7%</w:t>
            </w:r>
          </w:p>
        </w:tc>
      </w:tr>
      <w:tr w:rsidR="0009331B" w:rsidRPr="00CF7790" w14:paraId="0E383CCD"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0B55EBD" w14:textId="21F7AB5F"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AMAZONAS</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900460F"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1,440,487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A8C9FA3"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7,725,352</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FD5298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7,259,877</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FA6D68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436%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8061E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404%</w:t>
            </w:r>
          </w:p>
        </w:tc>
      </w:tr>
      <w:tr w:rsidR="0009331B" w:rsidRPr="00CF7790" w14:paraId="0A566D70"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E813734" w14:textId="35761ECC"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ANCASH</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E2F783E"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3,923,709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E24BEC2"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4,961,069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2B70952"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3,158,282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ED576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3E97E7"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w:t>
            </w:r>
          </w:p>
        </w:tc>
      </w:tr>
      <w:tr w:rsidR="0009331B" w:rsidRPr="00CF7790" w14:paraId="453DBD5D"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B1171D" w14:textId="0F88564C"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APURIMAC</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4D07A92"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2,953,896</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CFAEE03"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5,073,890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1899AB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3,516,535</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005B9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C6307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w:t>
            </w:r>
          </w:p>
        </w:tc>
      </w:tr>
      <w:tr w:rsidR="0009331B" w:rsidRPr="00CF7790" w14:paraId="4D6A2B78"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C966FD9" w14:textId="7C636172"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AREQUIPA</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24DDA9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2,597,951</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FC75E9E"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3,355,569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E85C117"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1,613,798</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C4D8C8F"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1637DE"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-38%</w:t>
            </w:r>
          </w:p>
        </w:tc>
      </w:tr>
      <w:tr w:rsidR="0009331B" w:rsidRPr="00CF7790" w14:paraId="1C0A6419"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12831E" w14:textId="0B9E4954"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AYACUCHO</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A3CFEA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4,278,472</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101FDC0"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7,638,681</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4706140"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2,275,142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64FBE6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C491DD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-47%</w:t>
            </w:r>
          </w:p>
        </w:tc>
      </w:tr>
      <w:tr w:rsidR="0009331B" w:rsidRPr="00CF7790" w14:paraId="01E1DDB4"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5AEE654" w14:textId="526FD92E"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CAJAMARCA</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1C6F6CA"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4,555,235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8F667CB"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8,074,196</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FF8AA5D"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13,818,140</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1ACA6E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8B9BB9"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203%</w:t>
            </w:r>
          </w:p>
        </w:tc>
      </w:tr>
      <w:tr w:rsidR="0009331B" w:rsidRPr="00CF7790" w14:paraId="0B241F19"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102FF88"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CALLAO</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B11E6A3"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1,635,036</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8C9F113"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108,450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6325B7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679,436</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EBBDE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E1CA8B"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-58%</w:t>
            </w:r>
          </w:p>
        </w:tc>
      </w:tr>
      <w:tr w:rsidR="0009331B" w:rsidRPr="00CF7790" w14:paraId="1C4C7084"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3C9CB71" w14:textId="27EBA65C"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CUSCO</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F8E5ADB"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2,072,768</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340753A"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6,985,310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ADDFAAE"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4,228,500</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E69910"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237%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8AC8F7"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104%</w:t>
            </w:r>
          </w:p>
        </w:tc>
      </w:tr>
      <w:tr w:rsidR="0009331B" w:rsidRPr="00CF7790" w14:paraId="3CF1C751"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B85480D" w14:textId="1659D970"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HUANCAVELICA</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329FB3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5,186,945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C97DE79"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5,459,800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93EB23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2,446,783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477B8A"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5B204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-53%</w:t>
            </w:r>
          </w:p>
        </w:tc>
      </w:tr>
      <w:tr w:rsidR="0009331B" w:rsidRPr="00CF7790" w14:paraId="0D677249"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2783682" w14:textId="0FF75224"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HUANUCO</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8CFE90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5,099,473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B2B762D"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5,979,048</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D6184E0"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3,324,774</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3347C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54DB2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-35%</w:t>
            </w:r>
          </w:p>
        </w:tc>
      </w:tr>
      <w:tr w:rsidR="0009331B" w:rsidRPr="00CF7790" w14:paraId="7C9C79B9"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4980035" w14:textId="1E16E840"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ICA</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64CD91A"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1,913,357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D31B13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1,858,344</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668144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1,364,971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1DE88FD"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3A174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-29%</w:t>
            </w:r>
          </w:p>
        </w:tc>
      </w:tr>
      <w:tr w:rsidR="0009331B" w:rsidRPr="00CF7790" w14:paraId="5339395E"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9F6BA7A" w14:textId="6FD8A96D"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JUNIN</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95C8EFF"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1,716,279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EE69AB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6,972,180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FCA1C4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2,565,223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7AC63D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306%</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B7E9C2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49%</w:t>
            </w:r>
          </w:p>
        </w:tc>
      </w:tr>
      <w:tr w:rsidR="0009331B" w:rsidRPr="00CF7790" w14:paraId="53B9120B"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55AA3A3" w14:textId="65E8B40E"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LA LIBERTAD</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14491EA"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3,490,255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E9E6E7D"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5,868,294</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F0178E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5,968,242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87A79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68%</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D35CAFD"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71%</w:t>
            </w:r>
          </w:p>
        </w:tc>
      </w:tr>
      <w:tr w:rsidR="0009331B" w:rsidRPr="00CF7790" w14:paraId="6AED8E1E"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F60A6E" w14:textId="2B5067DC"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LAMBAYEQUE</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2FB276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1,247,680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822932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2,292,060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174DE2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3,738,456</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B7AFF2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9AEFC7"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200%</w:t>
            </w:r>
          </w:p>
        </w:tc>
      </w:tr>
      <w:tr w:rsidR="0009331B" w:rsidRPr="00CF7790" w14:paraId="546134E0"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671F33C" w14:textId="46AD368B"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LIMA</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C8D12A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50,354,577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B11399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45,673,810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EDAC359"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35,120,872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850C57"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374BB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w:t>
            </w:r>
          </w:p>
        </w:tc>
      </w:tr>
      <w:tr w:rsidR="0009331B" w:rsidRPr="00CF7790" w14:paraId="567711F6"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365D74" w14:textId="7E12413E"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LORETO</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0ABEA1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4,012,399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E3FF148"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16,640,530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618463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11,024,368</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C49F3B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315%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C17572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175%</w:t>
            </w:r>
          </w:p>
        </w:tc>
      </w:tr>
      <w:tr w:rsidR="0009331B" w:rsidRPr="00CF7790" w14:paraId="04519553"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F8FD62" w14:textId="1D5DE40F"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MADRE DE DIOS</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B1D6B79"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939,390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2B0D6C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1,286,840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52B5CC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361,723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929CF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9BF6A3"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-61%</w:t>
            </w:r>
          </w:p>
        </w:tc>
      </w:tr>
      <w:tr w:rsidR="0009331B" w:rsidRPr="00CF7790" w14:paraId="1F4ED01C"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8DA36EA" w14:textId="3602C2BB"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MOQUEGUA</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6799DD3"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1,532,569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2A89A4B"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812,183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93405CB"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571,001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BCEE85B"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BB4B9F5"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-63%</w:t>
            </w:r>
          </w:p>
        </w:tc>
      </w:tr>
      <w:tr w:rsidR="0009331B" w:rsidRPr="00CF7790" w14:paraId="69D79A96"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D928F6D" w14:textId="22F54B04"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PASCO</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A95067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1,854,024</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226C498"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2,829,913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450FD98"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1,464,061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1D8C28"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96AF8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-21%</w:t>
            </w:r>
          </w:p>
        </w:tc>
      </w:tr>
      <w:tr w:rsidR="0009331B" w:rsidRPr="00CF7790" w14:paraId="10153FBE"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F526B94" w14:textId="374B8C14"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PIURA</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7F5B347"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2,418,940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7EB929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6,670,251</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362B479"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9,691,249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CB239BB"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C5DA87A"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301%</w:t>
            </w:r>
          </w:p>
        </w:tc>
      </w:tr>
      <w:tr w:rsidR="0009331B" w:rsidRPr="00CF7790" w14:paraId="4AD7935D"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A3B1353" w14:textId="6849BADF"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PUNO</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7610C93"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3,735,350</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12C50CD"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3,702,926</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C248370"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1,716,013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D35E0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CAA2E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-54%</w:t>
            </w:r>
          </w:p>
        </w:tc>
      </w:tr>
      <w:tr w:rsidR="0009331B" w:rsidRPr="00CF7790" w14:paraId="1D7BDB07"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B3D39EA" w14:textId="6F92F485"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SAN MARTIN</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6E3ABC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4,181,243</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74124F0"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9,093,329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93307DE"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3,514,291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C1B31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FFE188"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-16%</w:t>
            </w:r>
          </w:p>
        </w:tc>
      </w:tr>
      <w:tr w:rsidR="0009331B" w:rsidRPr="00CF7790" w14:paraId="69EE2BF8"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38E4CFF" w14:textId="73BB87A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TACNA</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52CA7FA"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1,876,194</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D351DC0"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1,137,509</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9C33960"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848,038</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17CDD8F"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4C8DF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-55%</w:t>
            </w:r>
          </w:p>
        </w:tc>
      </w:tr>
      <w:tr w:rsidR="0009331B" w:rsidRPr="00CF7790" w14:paraId="055A2617"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119A5A1" w14:textId="7C4FFCE3"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TUMBES</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FF3F7D6"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307,937</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D77D1BD"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977,334</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8B62963"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45,172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5E79C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217%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71C331"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-85%</w:t>
            </w:r>
          </w:p>
        </w:tc>
      </w:tr>
      <w:tr w:rsidR="0009331B" w:rsidRPr="00CF7790" w14:paraId="749BF4A7" w14:textId="77777777" w:rsidTr="00CF7790">
        <w:trPr>
          <w:trHeight w:val="300"/>
          <w:jc w:val="center"/>
        </w:trPr>
        <w:tc>
          <w:tcPr>
            <w:tcW w:w="176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73FA6C" w14:textId="23A58DF9"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UCAYALI</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25AF8AB"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1,462,265</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702A6A4"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9,783,332</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BBFB86C"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2,900,638</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512CEB7"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569%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912742" w14:textId="77777777" w:rsidR="0009331B" w:rsidRPr="00CF7790" w:rsidRDefault="0009331B" w:rsidP="00CF7790">
            <w:pPr>
              <w:spacing w:after="0" w:line="240" w:lineRule="auto"/>
              <w:jc w:val="center"/>
              <w:rPr>
                <w:rFonts w:ascii="Open Sans Light" w:eastAsia="Times New Roman" w:hAnsi="Open Sans Light" w:cs="Open Sans Light"/>
                <w:color w:val="000000"/>
                <w:sz w:val="18"/>
                <w:szCs w:val="18"/>
              </w:rPr>
            </w:pPr>
            <w:r w:rsidRPr="00CF7790">
              <w:rPr>
                <w:rFonts w:ascii="Open Sans Light" w:eastAsia="Times New Roman" w:hAnsi="Open Sans Light" w:cs="Open Sans Light"/>
                <w:color w:val="000000"/>
                <w:sz w:val="18"/>
                <w:szCs w:val="18"/>
              </w:rPr>
              <w:t>98%</w:t>
            </w:r>
          </w:p>
        </w:tc>
      </w:tr>
    </w:tbl>
    <w:p w14:paraId="048C8568" w14:textId="77777777" w:rsidR="004E560D" w:rsidRPr="00CF7790" w:rsidRDefault="004E560D" w:rsidP="001624BE">
      <w:pPr>
        <w:pStyle w:val="ESTILOTABLA"/>
        <w:rPr>
          <w:i w:val="0"/>
        </w:rPr>
      </w:pPr>
    </w:p>
    <w:p w14:paraId="2585EA3E" w14:textId="6F29963D" w:rsidR="00013557" w:rsidRDefault="00013557"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16</w:t>
      </w:r>
      <w:r w:rsidR="00354646">
        <w:rPr>
          <w:noProof/>
        </w:rPr>
        <w:fldChar w:fldCharType="end"/>
      </w:r>
    </w:p>
    <w:tbl>
      <w:tblPr>
        <w:tblW w:w="6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40"/>
        <w:gridCol w:w="1220"/>
        <w:gridCol w:w="1220"/>
        <w:gridCol w:w="1220"/>
      </w:tblGrid>
      <w:tr w:rsidR="0009331B" w:rsidRPr="00CF7790" w14:paraId="02A14757" w14:textId="77777777" w:rsidTr="00D654C4">
        <w:trPr>
          <w:trHeight w:val="300"/>
          <w:tblHeader/>
          <w:jc w:val="center"/>
        </w:trPr>
        <w:tc>
          <w:tcPr>
            <w:tcW w:w="2440"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5787E0A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FFFFFF" w:themeColor="background1"/>
                <w:sz w:val="16"/>
                <w:szCs w:val="16"/>
              </w:rPr>
              <w:t>CATEGORÍA</w:t>
            </w:r>
          </w:p>
        </w:tc>
        <w:tc>
          <w:tcPr>
            <w:tcW w:w="12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12C1D97C"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FFFFFF" w:themeColor="background1"/>
                <w:sz w:val="16"/>
                <w:szCs w:val="16"/>
              </w:rPr>
              <w:t>2012</w:t>
            </w:r>
          </w:p>
        </w:tc>
        <w:tc>
          <w:tcPr>
            <w:tcW w:w="12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31C11EB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FFFFFF" w:themeColor="background1"/>
                <w:sz w:val="16"/>
                <w:szCs w:val="16"/>
              </w:rPr>
              <w:t>2020</w:t>
            </w:r>
          </w:p>
        </w:tc>
        <w:tc>
          <w:tcPr>
            <w:tcW w:w="12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hideMark/>
          </w:tcPr>
          <w:p w14:paraId="58C46D4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b/>
                <w:bCs/>
                <w:color w:val="FFFFFF" w:themeColor="background1"/>
                <w:sz w:val="16"/>
                <w:szCs w:val="16"/>
              </w:rPr>
              <w:t>% VAR</w:t>
            </w:r>
          </w:p>
        </w:tc>
      </w:tr>
      <w:tr w:rsidR="0009331B" w:rsidRPr="00CF7790" w14:paraId="27203CE2"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3A8277" w14:textId="77777777" w:rsidR="0009331B" w:rsidRPr="00CF7790" w:rsidRDefault="0009331B" w:rsidP="00D654C4">
            <w:pPr>
              <w:spacing w:after="0" w:line="240" w:lineRule="auto"/>
              <w:jc w:val="center"/>
              <w:rPr>
                <w:rFonts w:ascii="Open Sans Light" w:eastAsia="Times New Roman" w:hAnsi="Open Sans Light" w:cs="Open Sans Light"/>
                <w:b/>
                <w:bCs/>
                <w:color w:val="000000"/>
                <w:sz w:val="16"/>
                <w:szCs w:val="16"/>
              </w:rPr>
            </w:pPr>
            <w:r w:rsidRPr="00CF7790">
              <w:rPr>
                <w:rFonts w:ascii="Open Sans Light" w:eastAsia="Times New Roman" w:hAnsi="Open Sans Light" w:cs="Open Sans Light"/>
                <w:b/>
                <w:bCs/>
                <w:color w:val="000000"/>
                <w:sz w:val="16"/>
                <w:szCs w:val="16"/>
              </w:rPr>
              <w:t>NACIONAL</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FABC900" w14:textId="77777777" w:rsidR="0009331B" w:rsidRPr="00CF7790" w:rsidRDefault="0009331B" w:rsidP="00D654C4">
            <w:pPr>
              <w:spacing w:after="0" w:line="240" w:lineRule="auto"/>
              <w:jc w:val="center"/>
              <w:rPr>
                <w:rFonts w:ascii="Open Sans Light" w:eastAsia="Times New Roman" w:hAnsi="Open Sans Light" w:cs="Open Sans Light"/>
                <w:b/>
                <w:bCs/>
                <w:color w:val="000000"/>
                <w:sz w:val="16"/>
                <w:szCs w:val="16"/>
              </w:rPr>
            </w:pPr>
            <w:r w:rsidRPr="00CF7790">
              <w:rPr>
                <w:rFonts w:ascii="Open Sans Light" w:eastAsia="Times New Roman" w:hAnsi="Open Sans Light" w:cs="Open Sans Light"/>
                <w:b/>
                <w:bCs/>
                <w:color w:val="000000"/>
                <w:sz w:val="16"/>
                <w:szCs w:val="16"/>
              </w:rPr>
              <w:t>17,152,925</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C4AF78F" w14:textId="77777777" w:rsidR="0009331B" w:rsidRPr="00CF7790" w:rsidRDefault="0009331B" w:rsidP="00D654C4">
            <w:pPr>
              <w:spacing w:after="0" w:line="240" w:lineRule="auto"/>
              <w:jc w:val="center"/>
              <w:rPr>
                <w:rFonts w:ascii="Open Sans Light" w:eastAsia="Times New Roman" w:hAnsi="Open Sans Light" w:cs="Open Sans Light"/>
                <w:b/>
                <w:bCs/>
                <w:color w:val="000000"/>
                <w:sz w:val="16"/>
                <w:szCs w:val="16"/>
              </w:rPr>
            </w:pPr>
            <w:r w:rsidRPr="00CF7790">
              <w:rPr>
                <w:rFonts w:ascii="Open Sans Light" w:eastAsia="Times New Roman" w:hAnsi="Open Sans Light" w:cs="Open Sans Light"/>
                <w:b/>
                <w:bCs/>
                <w:color w:val="000000"/>
                <w:sz w:val="16"/>
                <w:szCs w:val="16"/>
              </w:rPr>
              <w:t>28,621,786</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3080E7A" w14:textId="77777777" w:rsidR="0009331B" w:rsidRPr="00CF7790" w:rsidRDefault="0009331B" w:rsidP="00D654C4">
            <w:pPr>
              <w:spacing w:after="0" w:line="240" w:lineRule="auto"/>
              <w:jc w:val="center"/>
              <w:rPr>
                <w:rFonts w:ascii="Open Sans Light" w:eastAsia="Times New Roman" w:hAnsi="Open Sans Light" w:cs="Open Sans Light"/>
                <w:b/>
                <w:bCs/>
                <w:color w:val="000000"/>
                <w:sz w:val="16"/>
                <w:szCs w:val="16"/>
              </w:rPr>
            </w:pPr>
            <w:r w:rsidRPr="00CF7790">
              <w:rPr>
                <w:rFonts w:ascii="Open Sans Light" w:eastAsia="Times New Roman" w:hAnsi="Open Sans Light" w:cs="Open Sans Light"/>
                <w:b/>
                <w:bCs/>
                <w:color w:val="000000"/>
                <w:sz w:val="16"/>
                <w:szCs w:val="16"/>
              </w:rPr>
              <w:t>67%</w:t>
            </w:r>
          </w:p>
        </w:tc>
      </w:tr>
      <w:tr w:rsidR="0009331B" w:rsidRPr="00CF7790" w14:paraId="25768612"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CC666C" w14:textId="378DE891"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AMAZONAS</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E81F92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766,350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B41192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3,857,930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B6FA76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403%</w:t>
            </w:r>
          </w:p>
        </w:tc>
      </w:tr>
      <w:tr w:rsidR="0009331B" w:rsidRPr="00CF7790" w14:paraId="4B24260A"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021DFB" w14:textId="5A1FC549"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ANCASH</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F44FDE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4CE3B7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1,377,213</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6CC6AA5"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6261B5DB"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D42F44" w14:textId="0FE06DB8"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APURIMAC</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B26112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2,023,648</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E6DE48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2,920,450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78E41E0C"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44%</w:t>
            </w:r>
          </w:p>
        </w:tc>
      </w:tr>
      <w:tr w:rsidR="0009331B" w:rsidRPr="00CF7790" w14:paraId="17045B93"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8A8A5E" w14:textId="2FDDEA69"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AREQUIPA</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2EB22F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01AA6B3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240,191</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01E05AB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587EB414"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39D903" w14:textId="6F768B51"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AYACUCHO</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F47064C"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3,176,608</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72C980C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1,655,062</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75F279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-48%</w:t>
            </w:r>
          </w:p>
        </w:tc>
      </w:tr>
      <w:tr w:rsidR="0009331B" w:rsidRPr="00CF7790" w14:paraId="69F840D4"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CF5682" w14:textId="31CBA613"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CAJAMARCA</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0367AA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50BAF0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124,453</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0C45B9D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660FF806"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DBF44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CALLAO</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837643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00D828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015647D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4FA26C78"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AAD8FF" w14:textId="6CAF0649"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CUSCO</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E537345"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952,397</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27A069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1,565,737</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E5BB7A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64%</w:t>
            </w:r>
          </w:p>
        </w:tc>
      </w:tr>
      <w:tr w:rsidR="0009331B" w:rsidRPr="00CF7790" w14:paraId="1DC8EF43"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2824EB" w14:textId="11910121"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HUANCAVELICA</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01CFF60"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5,163,198</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37DBB9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1,121,974</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992BF7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-78%</w:t>
            </w:r>
          </w:p>
        </w:tc>
      </w:tr>
      <w:tr w:rsidR="0009331B" w:rsidRPr="00CF7790" w14:paraId="12496B8F"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8F9071" w14:textId="02E503F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HUANUCO</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EA5143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36,564</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7E067C8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367,835</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9E3C6A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906%</w:t>
            </w:r>
          </w:p>
        </w:tc>
      </w:tr>
      <w:tr w:rsidR="0009331B" w:rsidRPr="00CF7790" w14:paraId="660A6741"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B013D5" w14:textId="26D5DE51"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ICA</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EF5A5C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0E57D23"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EFE8A3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782100E6"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2816AF" w14:textId="75BE9D1F"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JUNIN</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74FB0AE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300,611</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DDDCC6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1,199,832</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0F87EB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299%</w:t>
            </w:r>
          </w:p>
        </w:tc>
      </w:tr>
      <w:tr w:rsidR="0009331B" w:rsidRPr="00CF7790" w14:paraId="714B2008"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2C6507" w14:textId="2C9E9AFC"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LA LIBERTAD</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32C7F8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D26456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041399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7BC9858C"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18CC5D" w14:textId="5BAC7E9A"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LAMBAYEQUE</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464F68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0539F9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445,527</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31D72C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4B73C674"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1547B6" w14:textId="0381B79C"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LIMA</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46D1B10"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8B3F7B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6,365,470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0B3355E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0AFE37A4"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911ED1" w14:textId="226D9119"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LORETO</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1580720"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403,463</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0916303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3,617,966</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345774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797%</w:t>
            </w:r>
          </w:p>
        </w:tc>
      </w:tr>
      <w:tr w:rsidR="0009331B" w:rsidRPr="00CF7790" w14:paraId="5B07D966"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A93551" w14:textId="6064331D"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MADRE DE DIOS</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76F3ABE"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10,483</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12D6E7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210,933</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6F3336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1912%</w:t>
            </w:r>
          </w:p>
        </w:tc>
      </w:tr>
      <w:tr w:rsidR="0009331B" w:rsidRPr="00CF7790" w14:paraId="30201CB1"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2BF5DF" w14:textId="7F09C0DD"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MOQUEGUA</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C84415B"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346,729</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08CC15A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866859A"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-100%</w:t>
            </w:r>
          </w:p>
        </w:tc>
      </w:tr>
      <w:tr w:rsidR="0009331B" w:rsidRPr="00CF7790" w14:paraId="212EC6A9"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F99189" w14:textId="3438DC9E"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PASCO</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351097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698,968</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6E3F14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239,045</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1ABA6E7"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-66%</w:t>
            </w:r>
          </w:p>
        </w:tc>
      </w:tr>
      <w:tr w:rsidR="0009331B" w:rsidRPr="00CF7790" w14:paraId="7F8AA47B"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87F399" w14:textId="04745678"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PIURA</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C9902E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5106AD3"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1DEE883"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516E09AF"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D4FA0C" w14:textId="7E25EE7D"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PUNO</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79895F78"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2,666,116</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62078E1"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1,498,549</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6CA13FF"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-44%</w:t>
            </w:r>
          </w:p>
        </w:tc>
      </w:tr>
      <w:tr w:rsidR="0009331B" w:rsidRPr="00CF7790" w14:paraId="69E52B36"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765592" w14:textId="103B3AC2"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SAN MARTIN</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7BD711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9A88242"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231,091</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099DDF7"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00D9D61D"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B7B8B2" w14:textId="4B49D601"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TACNA</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7E3544B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5C9A790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D21B2EC"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709B0AAE"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F7C9DD" w14:textId="6AA3C0AC"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TUMBES</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007E706"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6A3697E9"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4B6EB177"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0</w:t>
            </w:r>
          </w:p>
        </w:tc>
      </w:tr>
      <w:tr w:rsidR="0009331B" w:rsidRPr="00CF7790" w14:paraId="7D61D0A0" w14:textId="77777777" w:rsidTr="00D654C4">
        <w:trPr>
          <w:trHeight w:val="300"/>
          <w:jc w:val="center"/>
        </w:trPr>
        <w:tc>
          <w:tcPr>
            <w:tcW w:w="2440" w:type="dxa"/>
            <w:tcBorders>
              <w:top w:val="single" w:sz="4" w:space="0" w:color="auto"/>
              <w:left w:val="single" w:sz="4" w:space="0" w:color="auto"/>
              <w:bottom w:val="single" w:sz="4" w:space="0" w:color="auto"/>
              <w:right w:val="single" w:sz="4" w:space="0" w:color="auto"/>
            </w:tcBorders>
            <w:vAlign w:val="center"/>
            <w:hideMark/>
          </w:tcPr>
          <w:p w14:paraId="06F596FF" w14:textId="27237E4C"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UCAYALI</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16AE69C4"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607,790</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3C1C2F5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1,582,526</w:t>
            </w:r>
          </w:p>
        </w:tc>
        <w:tc>
          <w:tcPr>
            <w:tcW w:w="1220" w:type="dxa"/>
            <w:tcBorders>
              <w:top w:val="single" w:sz="4" w:space="0" w:color="auto"/>
              <w:left w:val="single" w:sz="4" w:space="0" w:color="auto"/>
              <w:bottom w:val="single" w:sz="4" w:space="0" w:color="auto"/>
              <w:right w:val="single" w:sz="4" w:space="0" w:color="auto"/>
            </w:tcBorders>
            <w:noWrap/>
            <w:vAlign w:val="center"/>
            <w:hideMark/>
          </w:tcPr>
          <w:p w14:paraId="2051CE3D" w14:textId="77777777" w:rsidR="0009331B" w:rsidRPr="00CF7790" w:rsidRDefault="0009331B" w:rsidP="00D654C4">
            <w:pPr>
              <w:spacing w:after="0" w:line="240" w:lineRule="auto"/>
              <w:jc w:val="center"/>
              <w:rPr>
                <w:rFonts w:ascii="Open Sans Light" w:eastAsia="Times New Roman" w:hAnsi="Open Sans Light" w:cs="Open Sans Light"/>
                <w:color w:val="000000"/>
                <w:sz w:val="16"/>
                <w:szCs w:val="16"/>
              </w:rPr>
            </w:pPr>
            <w:r w:rsidRPr="00CF7790">
              <w:rPr>
                <w:rFonts w:ascii="Open Sans Light" w:eastAsia="Times New Roman" w:hAnsi="Open Sans Light" w:cs="Open Sans Light"/>
                <w:color w:val="000000"/>
                <w:sz w:val="16"/>
                <w:szCs w:val="16"/>
              </w:rPr>
              <w:t>160%</w:t>
            </w:r>
          </w:p>
        </w:tc>
      </w:tr>
    </w:tbl>
    <w:p w14:paraId="2C8D7B7E" w14:textId="77777777" w:rsidR="0009331B" w:rsidRPr="00CF7790" w:rsidRDefault="0009331B" w:rsidP="0009331B">
      <w:pPr>
        <w:rPr>
          <w:rFonts w:ascii="Open Sans Light" w:hAnsi="Open Sans Light" w:cs="Open Sans Light"/>
          <w:sz w:val="28"/>
          <w:szCs w:val="28"/>
        </w:rPr>
      </w:pPr>
    </w:p>
    <w:p w14:paraId="2C657F64" w14:textId="35304A4E" w:rsidR="00F17F90" w:rsidRDefault="00F17F90"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17</w:t>
      </w:r>
      <w:r w:rsidR="00354646">
        <w:rPr>
          <w:noProof/>
        </w:rPr>
        <w:fldChar w:fldCharType="end"/>
      </w:r>
    </w:p>
    <w:tbl>
      <w:tblPr>
        <w:tblW w:w="8500" w:type="dxa"/>
        <w:tblInd w:w="5" w:type="dxa"/>
        <w:tblCellMar>
          <w:left w:w="70" w:type="dxa"/>
          <w:right w:w="70" w:type="dxa"/>
        </w:tblCellMar>
        <w:tblLook w:val="04A0" w:firstRow="1" w:lastRow="0" w:firstColumn="1" w:lastColumn="0" w:noHBand="0" w:noVBand="1"/>
      </w:tblPr>
      <w:tblGrid>
        <w:gridCol w:w="2122"/>
        <w:gridCol w:w="708"/>
        <w:gridCol w:w="5670"/>
      </w:tblGrid>
      <w:tr w:rsidR="00121B6F" w:rsidRPr="00CF7790" w14:paraId="120F40D6" w14:textId="77777777" w:rsidTr="0078363B">
        <w:trPr>
          <w:trHeight w:val="404"/>
          <w:tblHeader/>
        </w:trPr>
        <w:tc>
          <w:tcPr>
            <w:tcW w:w="2122" w:type="dxa"/>
            <w:shd w:val="clear" w:color="auto" w:fill="000000" w:themeFill="text1"/>
            <w:vAlign w:val="center"/>
          </w:tcPr>
          <w:p w14:paraId="627E4B19"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Open Sans Light" w:hAnsi="Open Sans Light" w:cs="Open Sans Light"/>
                <w:b/>
                <w:bCs/>
                <w:color w:val="FFFFFF" w:themeColor="background1"/>
                <w:sz w:val="16"/>
                <w:szCs w:val="16"/>
              </w:rPr>
              <w:t>CATEGORIAS</w:t>
            </w:r>
          </w:p>
        </w:tc>
        <w:tc>
          <w:tcPr>
            <w:tcW w:w="708" w:type="dxa"/>
            <w:shd w:val="clear" w:color="auto" w:fill="000000" w:themeFill="text1"/>
            <w:vAlign w:val="center"/>
          </w:tcPr>
          <w:p w14:paraId="2213E5DC"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Open Sans Light" w:hAnsi="Open Sans Light" w:cs="Open Sans Light"/>
                <w:b/>
                <w:bCs/>
                <w:color w:val="FFFFFF" w:themeColor="background1"/>
                <w:sz w:val="16"/>
                <w:szCs w:val="16"/>
              </w:rPr>
              <w:t>Nro.</w:t>
            </w:r>
          </w:p>
        </w:tc>
        <w:tc>
          <w:tcPr>
            <w:tcW w:w="5670" w:type="dxa"/>
            <w:shd w:val="clear" w:color="auto" w:fill="000000" w:themeFill="text1"/>
            <w:vAlign w:val="center"/>
          </w:tcPr>
          <w:p w14:paraId="7065F259" w14:textId="534F3679"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Open Sans Light" w:hAnsi="Open Sans Light" w:cs="Open Sans Light"/>
                <w:b/>
                <w:bCs/>
                <w:color w:val="FFFFFF" w:themeColor="background1"/>
                <w:sz w:val="16"/>
                <w:szCs w:val="16"/>
              </w:rPr>
              <w:t xml:space="preserve">ESTRATEGIAS DE IMPLEMENTACIÓN DEL </w:t>
            </w:r>
            <w:r w:rsidR="00D979D4" w:rsidRPr="00CF7790">
              <w:rPr>
                <w:rFonts w:ascii="Open Sans Light" w:eastAsia="Open Sans Light" w:hAnsi="Open Sans Light" w:cs="Open Sans Light"/>
                <w:b/>
                <w:bCs/>
                <w:color w:val="FFFFFF" w:themeColor="background1"/>
                <w:sz w:val="16"/>
                <w:szCs w:val="16"/>
              </w:rPr>
              <w:t>PNAIA 2012 – 2021</w:t>
            </w:r>
          </w:p>
        </w:tc>
      </w:tr>
      <w:tr w:rsidR="00121B6F" w:rsidRPr="00CF7790" w14:paraId="73C4069C" w14:textId="77777777" w:rsidTr="0078363B">
        <w:trPr>
          <w:trHeight w:val="640"/>
        </w:trPr>
        <w:tc>
          <w:tcPr>
            <w:tcW w:w="2122" w:type="dxa"/>
            <w:vMerge w:val="restart"/>
            <w:tcBorders>
              <w:top w:val="nil"/>
              <w:left w:val="single" w:sz="4" w:space="0" w:color="auto"/>
              <w:right w:val="single" w:sz="4" w:space="0" w:color="auto"/>
            </w:tcBorders>
            <w:shd w:val="clear" w:color="auto" w:fill="auto"/>
            <w:vAlign w:val="center"/>
            <w:hideMark/>
          </w:tcPr>
          <w:p w14:paraId="6E3718FF"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Acceso a servicios diferenciados en el ámbito de la salud</w:t>
            </w:r>
          </w:p>
        </w:tc>
        <w:tc>
          <w:tcPr>
            <w:tcW w:w="708" w:type="dxa"/>
            <w:tcBorders>
              <w:top w:val="nil"/>
              <w:left w:val="nil"/>
              <w:bottom w:val="single" w:sz="4" w:space="0" w:color="auto"/>
              <w:right w:val="single" w:sz="4" w:space="0" w:color="auto"/>
            </w:tcBorders>
            <w:shd w:val="clear" w:color="auto" w:fill="auto"/>
            <w:vAlign w:val="center"/>
            <w:hideMark/>
          </w:tcPr>
          <w:p w14:paraId="52C6E4DF"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p>
          <w:p w14:paraId="33473121"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w:t>
            </w:r>
          </w:p>
        </w:tc>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D348AF7" w14:textId="77777777" w:rsidR="00121B6F" w:rsidRPr="00CF7790" w:rsidRDefault="00121B6F" w:rsidP="00121B6F">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el acceso de adolescentes a servicios diferenciados para prevenir conductas de riesgo y alentar estilos de vida saludables.</w:t>
            </w:r>
          </w:p>
        </w:tc>
      </w:tr>
      <w:tr w:rsidR="00121B6F" w:rsidRPr="00CF7790" w14:paraId="597AC7BA" w14:textId="77777777" w:rsidTr="0078363B">
        <w:trPr>
          <w:trHeight w:val="640"/>
        </w:trPr>
        <w:tc>
          <w:tcPr>
            <w:tcW w:w="2122" w:type="dxa"/>
            <w:vMerge/>
            <w:tcBorders>
              <w:left w:val="single" w:sz="4" w:space="0" w:color="auto"/>
              <w:bottom w:val="single" w:sz="4" w:space="0" w:color="auto"/>
              <w:right w:val="single" w:sz="4" w:space="0" w:color="auto"/>
            </w:tcBorders>
            <w:shd w:val="clear" w:color="auto" w:fill="auto"/>
            <w:vAlign w:val="center"/>
          </w:tcPr>
          <w:p w14:paraId="423E898E"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p>
        </w:tc>
        <w:tc>
          <w:tcPr>
            <w:tcW w:w="708" w:type="dxa"/>
            <w:tcBorders>
              <w:top w:val="nil"/>
              <w:left w:val="nil"/>
              <w:bottom w:val="single" w:sz="4" w:space="0" w:color="auto"/>
              <w:right w:val="single" w:sz="4" w:space="0" w:color="auto"/>
            </w:tcBorders>
            <w:shd w:val="clear" w:color="auto" w:fill="auto"/>
            <w:vAlign w:val="center"/>
          </w:tcPr>
          <w:p w14:paraId="742FE23A"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w:t>
            </w:r>
          </w:p>
        </w:tc>
        <w:tc>
          <w:tcPr>
            <w:tcW w:w="5670" w:type="dxa"/>
            <w:tcBorders>
              <w:top w:val="nil"/>
              <w:left w:val="single" w:sz="4" w:space="0" w:color="auto"/>
              <w:bottom w:val="single" w:sz="4" w:space="0" w:color="auto"/>
              <w:right w:val="single" w:sz="4" w:space="0" w:color="auto"/>
            </w:tcBorders>
            <w:shd w:val="clear" w:color="auto" w:fill="FFFFFF" w:themeFill="background1"/>
            <w:vAlign w:val="center"/>
          </w:tcPr>
          <w:p w14:paraId="6C06BC82" w14:textId="77777777" w:rsidR="00121B6F" w:rsidRPr="00CF7790" w:rsidRDefault="00121B6F" w:rsidP="00121B6F">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Propiciar, desde el Ministerio de Salud, el acceso a información y métodos anticonceptivos oportunamente, así como la capacitación de las y los adolescentes para que puedan ejercer una actividad sexual responsable, prioricen su educación y posterguen la maternidad/paternidad hasta la edad adulta.</w:t>
            </w:r>
          </w:p>
        </w:tc>
      </w:tr>
      <w:tr w:rsidR="00121B6F" w:rsidRPr="00CF7790" w14:paraId="265E0F2F" w14:textId="77777777" w:rsidTr="0078363B">
        <w:trPr>
          <w:trHeight w:val="452"/>
        </w:trPr>
        <w:tc>
          <w:tcPr>
            <w:tcW w:w="2122" w:type="dxa"/>
            <w:vMerge w:val="restart"/>
            <w:tcBorders>
              <w:top w:val="nil"/>
              <w:left w:val="single" w:sz="4" w:space="0" w:color="auto"/>
              <w:right w:val="single" w:sz="4" w:space="0" w:color="auto"/>
            </w:tcBorders>
            <w:shd w:val="clear" w:color="auto" w:fill="auto"/>
            <w:vAlign w:val="center"/>
            <w:hideMark/>
          </w:tcPr>
          <w:p w14:paraId="564D1830"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Intervenciones en el ámbito educativo</w:t>
            </w:r>
          </w:p>
        </w:tc>
        <w:tc>
          <w:tcPr>
            <w:tcW w:w="708" w:type="dxa"/>
            <w:tcBorders>
              <w:top w:val="nil"/>
              <w:left w:val="nil"/>
              <w:bottom w:val="single" w:sz="4" w:space="0" w:color="auto"/>
              <w:right w:val="single" w:sz="4" w:space="0" w:color="auto"/>
            </w:tcBorders>
            <w:shd w:val="clear" w:color="auto" w:fill="auto"/>
            <w:vAlign w:val="center"/>
            <w:hideMark/>
          </w:tcPr>
          <w:p w14:paraId="66A5DFAC"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w:t>
            </w:r>
          </w:p>
        </w:tc>
        <w:tc>
          <w:tcPr>
            <w:tcW w:w="5670" w:type="dxa"/>
            <w:tcBorders>
              <w:top w:val="nil"/>
              <w:left w:val="nil"/>
              <w:bottom w:val="single" w:sz="4" w:space="0" w:color="auto"/>
              <w:right w:val="single" w:sz="4" w:space="0" w:color="auto"/>
            </w:tcBorders>
            <w:shd w:val="clear" w:color="auto" w:fill="FFFFFF" w:themeFill="background1"/>
            <w:vAlign w:val="bottom"/>
            <w:hideMark/>
          </w:tcPr>
          <w:p w14:paraId="0482BB74" w14:textId="77777777" w:rsidR="00121B6F" w:rsidRPr="00CF7790" w:rsidRDefault="00121B6F" w:rsidP="00121B6F">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Capacitar desde las instituciones educativas, a padres y madres de familia sobre</w:t>
            </w:r>
            <w:r w:rsidRPr="00CF7790">
              <w:rPr>
                <w:rFonts w:ascii="Open Sans Light" w:eastAsia="Times New Roman" w:hAnsi="Open Sans Light" w:cs="Open Sans Light"/>
                <w:color w:val="000000"/>
                <w:sz w:val="16"/>
                <w:szCs w:val="16"/>
                <w:lang w:val="es-PE"/>
              </w:rPr>
              <w:br/>
              <w:t>sexualidad con un enfoque de género.</w:t>
            </w:r>
          </w:p>
        </w:tc>
      </w:tr>
      <w:tr w:rsidR="00121B6F" w:rsidRPr="00CF7790" w14:paraId="20485039" w14:textId="77777777" w:rsidTr="0078363B">
        <w:trPr>
          <w:trHeight w:val="436"/>
        </w:trPr>
        <w:tc>
          <w:tcPr>
            <w:tcW w:w="2122" w:type="dxa"/>
            <w:vMerge/>
            <w:tcBorders>
              <w:left w:val="single" w:sz="4" w:space="0" w:color="auto"/>
              <w:right w:val="single" w:sz="4" w:space="0" w:color="auto"/>
            </w:tcBorders>
            <w:vAlign w:val="center"/>
            <w:hideMark/>
          </w:tcPr>
          <w:p w14:paraId="017940D7"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p>
        </w:tc>
        <w:tc>
          <w:tcPr>
            <w:tcW w:w="708" w:type="dxa"/>
            <w:tcBorders>
              <w:top w:val="nil"/>
              <w:left w:val="nil"/>
              <w:bottom w:val="single" w:sz="4" w:space="0" w:color="auto"/>
              <w:right w:val="single" w:sz="4" w:space="0" w:color="auto"/>
            </w:tcBorders>
            <w:shd w:val="clear" w:color="auto" w:fill="auto"/>
            <w:vAlign w:val="center"/>
            <w:hideMark/>
          </w:tcPr>
          <w:p w14:paraId="23B92584"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w:t>
            </w:r>
          </w:p>
        </w:tc>
        <w:tc>
          <w:tcPr>
            <w:tcW w:w="5670" w:type="dxa"/>
            <w:tcBorders>
              <w:top w:val="nil"/>
              <w:left w:val="nil"/>
              <w:bottom w:val="single" w:sz="4" w:space="0" w:color="auto"/>
              <w:right w:val="single" w:sz="4" w:space="0" w:color="auto"/>
            </w:tcBorders>
            <w:shd w:val="clear" w:color="auto" w:fill="FFFFFF" w:themeFill="background1"/>
            <w:vAlign w:val="bottom"/>
            <w:hideMark/>
          </w:tcPr>
          <w:p w14:paraId="10E0EF48" w14:textId="77777777" w:rsidR="00121B6F" w:rsidRPr="00CF7790" w:rsidRDefault="00121B6F" w:rsidP="00121B6F">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Capacitar a profesoras y profesores en sexualidad desde un enfoque de género y</w:t>
            </w:r>
            <w:r w:rsidRPr="00CF7790">
              <w:rPr>
                <w:rFonts w:ascii="Open Sans Light" w:eastAsia="Times New Roman" w:hAnsi="Open Sans Light" w:cs="Open Sans Light"/>
                <w:color w:val="000000"/>
                <w:sz w:val="16"/>
                <w:szCs w:val="16"/>
                <w:lang w:val="es-PE"/>
              </w:rPr>
              <w:br/>
              <w:t>de derechos humanos.</w:t>
            </w:r>
          </w:p>
        </w:tc>
      </w:tr>
      <w:tr w:rsidR="00121B6F" w:rsidRPr="00CF7790" w14:paraId="049AB06E" w14:textId="77777777" w:rsidTr="0078363B">
        <w:trPr>
          <w:trHeight w:val="141"/>
        </w:trPr>
        <w:tc>
          <w:tcPr>
            <w:tcW w:w="2122" w:type="dxa"/>
            <w:vMerge/>
            <w:tcBorders>
              <w:left w:val="single" w:sz="4" w:space="0" w:color="auto"/>
              <w:right w:val="single" w:sz="4" w:space="0" w:color="auto"/>
            </w:tcBorders>
            <w:vAlign w:val="center"/>
            <w:hideMark/>
          </w:tcPr>
          <w:p w14:paraId="113A593D"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p>
        </w:tc>
        <w:tc>
          <w:tcPr>
            <w:tcW w:w="708" w:type="dxa"/>
            <w:tcBorders>
              <w:top w:val="nil"/>
              <w:left w:val="nil"/>
              <w:bottom w:val="single" w:sz="4" w:space="0" w:color="auto"/>
              <w:right w:val="single" w:sz="4" w:space="0" w:color="auto"/>
            </w:tcBorders>
            <w:shd w:val="clear" w:color="auto" w:fill="auto"/>
            <w:vAlign w:val="center"/>
            <w:hideMark/>
          </w:tcPr>
          <w:p w14:paraId="067E2FAD"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w:t>
            </w:r>
          </w:p>
        </w:tc>
        <w:tc>
          <w:tcPr>
            <w:tcW w:w="5670" w:type="dxa"/>
            <w:tcBorders>
              <w:top w:val="nil"/>
              <w:left w:val="nil"/>
              <w:bottom w:val="single" w:sz="4" w:space="0" w:color="auto"/>
              <w:right w:val="single" w:sz="4" w:space="0" w:color="auto"/>
            </w:tcBorders>
            <w:shd w:val="clear" w:color="auto" w:fill="FFFFFF" w:themeFill="background1"/>
            <w:vAlign w:val="bottom"/>
            <w:hideMark/>
          </w:tcPr>
          <w:p w14:paraId="31F7A5A6" w14:textId="77777777" w:rsidR="00121B6F" w:rsidRPr="00CF7790" w:rsidRDefault="00121B6F" w:rsidP="00121B6F">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Incluir en los programas curriculares de educación primaria y secundaria, la formación en valores y crianza, así como educación sexual y reproductiva, de modo que las y los adolescentes conozcan las formas de protegerse de un embarazo no deseado y las responsabilidades que trae la concepción, gestación, nacimiento y crianza de una niña o niño.</w:t>
            </w:r>
          </w:p>
        </w:tc>
      </w:tr>
      <w:tr w:rsidR="00121B6F" w:rsidRPr="00CF7790" w14:paraId="5FDFCA7B" w14:textId="77777777" w:rsidTr="0078363B">
        <w:trPr>
          <w:trHeight w:val="141"/>
        </w:trPr>
        <w:tc>
          <w:tcPr>
            <w:tcW w:w="2122" w:type="dxa"/>
            <w:vMerge/>
            <w:tcBorders>
              <w:left w:val="single" w:sz="4" w:space="0" w:color="auto"/>
              <w:bottom w:val="single" w:sz="4" w:space="0" w:color="auto"/>
              <w:right w:val="single" w:sz="4" w:space="0" w:color="auto"/>
            </w:tcBorders>
            <w:vAlign w:val="center"/>
          </w:tcPr>
          <w:p w14:paraId="3D6F22FF"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p>
        </w:tc>
        <w:tc>
          <w:tcPr>
            <w:tcW w:w="708" w:type="dxa"/>
            <w:tcBorders>
              <w:top w:val="nil"/>
              <w:left w:val="nil"/>
              <w:bottom w:val="single" w:sz="4" w:space="0" w:color="auto"/>
              <w:right w:val="single" w:sz="4" w:space="0" w:color="auto"/>
            </w:tcBorders>
            <w:shd w:val="clear" w:color="auto" w:fill="auto"/>
            <w:vAlign w:val="center"/>
          </w:tcPr>
          <w:p w14:paraId="6B9E6737" w14:textId="77777777" w:rsidR="00121B6F" w:rsidRPr="00CF7790" w:rsidRDefault="00121B6F" w:rsidP="00121B6F">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w:t>
            </w:r>
          </w:p>
        </w:tc>
        <w:tc>
          <w:tcPr>
            <w:tcW w:w="5670" w:type="dxa"/>
            <w:tcBorders>
              <w:top w:val="nil"/>
              <w:left w:val="nil"/>
              <w:bottom w:val="single" w:sz="4" w:space="0" w:color="auto"/>
              <w:right w:val="single" w:sz="4" w:space="0" w:color="auto"/>
            </w:tcBorders>
            <w:shd w:val="clear" w:color="auto" w:fill="FFFFFF" w:themeFill="background1"/>
            <w:vAlign w:val="bottom"/>
          </w:tcPr>
          <w:p w14:paraId="36EA9195" w14:textId="77777777" w:rsidR="00121B6F" w:rsidRPr="00CF7790" w:rsidRDefault="00121B6F" w:rsidP="00121B6F">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Garantizar la intervención intersectorial continua para la prevención de embarazo en adolescentes priorizando el trabajo en las instituciones educativas.</w:t>
            </w:r>
          </w:p>
        </w:tc>
      </w:tr>
    </w:tbl>
    <w:p w14:paraId="03FBC7F1" w14:textId="77777777" w:rsidR="00121B6F" w:rsidRPr="00CF7790" w:rsidRDefault="00121B6F" w:rsidP="0009331B">
      <w:pPr>
        <w:rPr>
          <w:rFonts w:ascii="Open Sans Light" w:hAnsi="Open Sans Light" w:cs="Open Sans Light"/>
          <w:sz w:val="28"/>
          <w:szCs w:val="28"/>
        </w:rPr>
      </w:pPr>
    </w:p>
    <w:p w14:paraId="680BE691" w14:textId="69BDF5E1" w:rsidR="00383A25" w:rsidRDefault="00383A25"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18</w:t>
      </w:r>
      <w:r w:rsidR="00354646">
        <w:rPr>
          <w:noProof/>
        </w:rPr>
        <w:fldChar w:fldCharType="end"/>
      </w:r>
    </w:p>
    <w:tbl>
      <w:tblPr>
        <w:tblW w:w="9245" w:type="dxa"/>
        <w:jc w:val="center"/>
        <w:tblCellMar>
          <w:left w:w="70" w:type="dxa"/>
          <w:right w:w="70" w:type="dxa"/>
        </w:tblCellMar>
        <w:tblLook w:val="04A0" w:firstRow="1" w:lastRow="0" w:firstColumn="1" w:lastColumn="0" w:noHBand="0" w:noVBand="1"/>
      </w:tblPr>
      <w:tblGrid>
        <w:gridCol w:w="1600"/>
        <w:gridCol w:w="1530"/>
        <w:gridCol w:w="3257"/>
        <w:gridCol w:w="1420"/>
        <w:gridCol w:w="1438"/>
      </w:tblGrid>
      <w:tr w:rsidR="00121B6F" w:rsidRPr="00CF7790" w14:paraId="352053A6" w14:textId="77777777" w:rsidTr="00121B6F">
        <w:trPr>
          <w:trHeight w:val="198"/>
          <w:tblHeader/>
          <w:jc w:val="center"/>
        </w:trPr>
        <w:tc>
          <w:tcPr>
            <w:tcW w:w="1600" w:type="dxa"/>
            <w:tcBorders>
              <w:top w:val="single" w:sz="4" w:space="0" w:color="auto"/>
              <w:left w:val="single" w:sz="4" w:space="0" w:color="auto"/>
              <w:bottom w:val="single" w:sz="4" w:space="0" w:color="auto"/>
              <w:right w:val="single" w:sz="4" w:space="0" w:color="auto"/>
            </w:tcBorders>
            <w:shd w:val="clear" w:color="auto" w:fill="000000" w:themeFill="text1"/>
            <w:vAlign w:val="center"/>
          </w:tcPr>
          <w:p w14:paraId="769668A5" w14:textId="77777777" w:rsidR="00121B6F" w:rsidRPr="00CF7790" w:rsidRDefault="00121B6F"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EJE / CATEGORÍA</w:t>
            </w:r>
          </w:p>
        </w:tc>
        <w:tc>
          <w:tcPr>
            <w:tcW w:w="1530" w:type="dxa"/>
            <w:tcBorders>
              <w:top w:val="single" w:sz="4" w:space="0" w:color="auto"/>
              <w:left w:val="nil"/>
              <w:bottom w:val="single" w:sz="4" w:space="0" w:color="auto"/>
              <w:right w:val="single" w:sz="4" w:space="0" w:color="auto"/>
            </w:tcBorders>
            <w:shd w:val="clear" w:color="auto" w:fill="000000" w:themeFill="text1"/>
            <w:vAlign w:val="center"/>
          </w:tcPr>
          <w:p w14:paraId="03398B4A" w14:textId="77777777" w:rsidR="00121B6F" w:rsidRPr="00CF7790" w:rsidRDefault="00121B6F"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CUMPLIMIENTO DEL EJE</w:t>
            </w:r>
          </w:p>
        </w:tc>
        <w:tc>
          <w:tcPr>
            <w:tcW w:w="3257"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tcPr>
          <w:p w14:paraId="51A14769" w14:textId="77777777" w:rsidR="00121B6F" w:rsidRPr="00CF7790" w:rsidRDefault="00121B6F"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MEDIO DE VERIFICACIÓN</w:t>
            </w:r>
          </w:p>
        </w:tc>
        <w:tc>
          <w:tcPr>
            <w:tcW w:w="14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tcPr>
          <w:p w14:paraId="333D6376" w14:textId="77777777" w:rsidR="00121B6F" w:rsidRPr="00CF7790" w:rsidRDefault="00121B6F"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 xml:space="preserve">PRESUPUESTO EJECUTADO 2020 </w:t>
            </w:r>
          </w:p>
          <w:p w14:paraId="551D67F4" w14:textId="77777777" w:rsidR="00121B6F" w:rsidRPr="00CF7790" w:rsidRDefault="00121B6F"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(SOLES)</w:t>
            </w:r>
          </w:p>
        </w:tc>
        <w:tc>
          <w:tcPr>
            <w:tcW w:w="1438"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tcPr>
          <w:p w14:paraId="6429DD6C" w14:textId="77777777" w:rsidR="00121B6F" w:rsidRPr="00CF7790" w:rsidRDefault="00121B6F"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 VAR EJECUCIÓN PRESUPUESTAL 2012 - 2020</w:t>
            </w:r>
          </w:p>
        </w:tc>
      </w:tr>
      <w:tr w:rsidR="00121B6F" w:rsidRPr="00CF7790" w14:paraId="7F3D3F57" w14:textId="77777777" w:rsidTr="00121B6F">
        <w:trPr>
          <w:trHeight w:val="198"/>
          <w:jc w:val="center"/>
        </w:trPr>
        <w:tc>
          <w:tcPr>
            <w:tcW w:w="1600" w:type="dxa"/>
            <w:tcBorders>
              <w:top w:val="nil"/>
              <w:left w:val="single" w:sz="4" w:space="0" w:color="auto"/>
              <w:bottom w:val="single" w:sz="4" w:space="0" w:color="auto"/>
              <w:right w:val="single" w:sz="4" w:space="0" w:color="auto"/>
            </w:tcBorders>
            <w:shd w:val="clear" w:color="auto" w:fill="FFFFFF" w:themeFill="background1"/>
            <w:vAlign w:val="center"/>
          </w:tcPr>
          <w:p w14:paraId="3435D1DC" w14:textId="77777777" w:rsidR="00121B6F" w:rsidRPr="00CF7790" w:rsidRDefault="00121B6F"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Acceso a servicios diferenciados en el ámbito de la salud</w:t>
            </w:r>
          </w:p>
        </w:tc>
        <w:tc>
          <w:tcPr>
            <w:tcW w:w="1530" w:type="dxa"/>
            <w:tcBorders>
              <w:top w:val="single" w:sz="4" w:space="0" w:color="auto"/>
              <w:left w:val="nil"/>
              <w:bottom w:val="single" w:sz="4" w:space="0" w:color="auto"/>
              <w:right w:val="single" w:sz="4" w:space="0" w:color="auto"/>
            </w:tcBorders>
            <w:shd w:val="clear" w:color="auto" w:fill="FFFFFF" w:themeFill="background1"/>
            <w:vAlign w:val="center"/>
          </w:tcPr>
          <w:p w14:paraId="0FC0B480" w14:textId="77777777" w:rsidR="00121B6F" w:rsidRPr="00CF7790" w:rsidRDefault="00121B6F"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Se cumplió</w:t>
            </w:r>
            <w:r w:rsidRPr="00CF7790">
              <w:rPr>
                <w:rFonts w:ascii="Open Sans Light" w:eastAsia="Times New Roman" w:hAnsi="Open Sans Light" w:cs="Open Sans Light"/>
                <w:color w:val="000000"/>
                <w:sz w:val="16"/>
                <w:szCs w:val="16"/>
                <w:lang w:val="es-PE"/>
              </w:rPr>
              <w:t xml:space="preserve"> la implementación del eje</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9423A" w14:textId="77777777" w:rsidR="00121B6F" w:rsidRPr="00CF7790" w:rsidRDefault="00121B6F"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Programa Presupuestal de Salud Materno Neonatal – PP 0002: Producto “Adolescentes acceden a servicios de salud para prevención del embarazo”</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CE9FF6" w14:textId="77777777" w:rsidR="00121B6F" w:rsidRPr="00CF7790" w:rsidRDefault="00121B6F"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27,916,651</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DB61A1" w14:textId="77777777" w:rsidR="00121B6F" w:rsidRPr="00CF7790" w:rsidRDefault="00121B6F"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181%</w:t>
            </w:r>
          </w:p>
        </w:tc>
      </w:tr>
      <w:tr w:rsidR="00121B6F" w:rsidRPr="00CF7790" w14:paraId="6E45916F" w14:textId="77777777" w:rsidTr="00121B6F">
        <w:trPr>
          <w:trHeight w:val="198"/>
          <w:jc w:val="center"/>
        </w:trPr>
        <w:tc>
          <w:tcPr>
            <w:tcW w:w="1600" w:type="dxa"/>
            <w:tcBorders>
              <w:top w:val="nil"/>
              <w:left w:val="single" w:sz="4" w:space="0" w:color="auto"/>
              <w:bottom w:val="single" w:sz="4" w:space="0" w:color="auto"/>
              <w:right w:val="single" w:sz="4" w:space="0" w:color="auto"/>
            </w:tcBorders>
            <w:shd w:val="clear" w:color="auto" w:fill="FFFFFF" w:themeFill="background1"/>
            <w:vAlign w:val="center"/>
          </w:tcPr>
          <w:p w14:paraId="6BB3F559" w14:textId="77777777" w:rsidR="00121B6F" w:rsidRPr="00CF7790" w:rsidRDefault="00121B6F" w:rsidP="0078363B">
            <w:pPr>
              <w:spacing w:after="0" w:line="240" w:lineRule="auto"/>
              <w:jc w:val="center"/>
              <w:rPr>
                <w:rFonts w:ascii="Open Sans Light" w:eastAsia="Open Sans Light" w:hAnsi="Open Sans Light" w:cs="Open Sans Light"/>
                <w:color w:val="000000"/>
                <w:sz w:val="16"/>
                <w:szCs w:val="16"/>
              </w:rPr>
            </w:pPr>
            <w:r w:rsidRPr="00CF7790">
              <w:rPr>
                <w:rFonts w:ascii="Open Sans Light" w:eastAsia="Times New Roman" w:hAnsi="Open Sans Light" w:cs="Open Sans Light"/>
                <w:color w:val="000000"/>
                <w:sz w:val="16"/>
                <w:szCs w:val="16"/>
                <w:lang w:val="es-PE"/>
              </w:rPr>
              <w:t>Intervenciones en el ámbito educativo</w:t>
            </w:r>
          </w:p>
        </w:tc>
        <w:tc>
          <w:tcPr>
            <w:tcW w:w="1530" w:type="dxa"/>
            <w:tcBorders>
              <w:top w:val="single" w:sz="4" w:space="0" w:color="auto"/>
              <w:left w:val="nil"/>
              <w:bottom w:val="single" w:sz="4" w:space="0" w:color="auto"/>
              <w:right w:val="single" w:sz="4" w:space="0" w:color="auto"/>
            </w:tcBorders>
            <w:shd w:val="clear" w:color="auto" w:fill="FFFFFF" w:themeFill="background1"/>
            <w:vAlign w:val="center"/>
          </w:tcPr>
          <w:p w14:paraId="71D84433" w14:textId="77777777" w:rsidR="00121B6F" w:rsidRPr="00CF7790" w:rsidRDefault="00121B6F"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No se cumplió</w:t>
            </w:r>
            <w:r w:rsidRPr="00CF7790">
              <w:rPr>
                <w:rFonts w:ascii="Open Sans Light" w:eastAsia="Times New Roman" w:hAnsi="Open Sans Light" w:cs="Open Sans Light"/>
                <w:color w:val="000000"/>
                <w:sz w:val="16"/>
                <w:szCs w:val="16"/>
                <w:lang w:val="es-PE"/>
              </w:rPr>
              <w:t xml:space="preserve"> la implementación del eje al 2021</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BD55E3" w14:textId="77777777" w:rsidR="00121B6F" w:rsidRPr="00CF7790" w:rsidRDefault="00121B6F"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Programa de Salud Materno Neonatal – PP 0002, muestra en su producto “Instituciones educativas saludables promueven salud sexual y reproductiva”</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949498" w14:textId="77777777" w:rsidR="00121B6F" w:rsidRPr="00CF7790" w:rsidRDefault="00121B6F"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8"/>
                <w:szCs w:val="18"/>
                <w:lang w:val="es-PE"/>
              </w:rPr>
              <w:t>8,565,421</w:t>
            </w:r>
            <w:r w:rsidRPr="00CF7790">
              <w:rPr>
                <w:rStyle w:val="FootnoteReference"/>
                <w:rFonts w:ascii="Open Sans Light" w:eastAsia="Times New Roman" w:hAnsi="Open Sans Light" w:cs="Open Sans Light"/>
                <w:b/>
                <w:bCs/>
                <w:color w:val="000000"/>
                <w:sz w:val="18"/>
                <w:szCs w:val="18"/>
                <w:lang w:val="es-PE"/>
              </w:rPr>
              <w:footnoteReference w:id="6"/>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156EB9" w14:textId="77777777" w:rsidR="00121B6F" w:rsidRPr="00CF7790" w:rsidRDefault="00121B6F"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8"/>
                <w:szCs w:val="18"/>
                <w:lang w:val="es-PE"/>
              </w:rPr>
              <w:t>34%</w:t>
            </w:r>
            <w:r w:rsidRPr="00CF7790">
              <w:rPr>
                <w:rStyle w:val="FootnoteReference"/>
                <w:rFonts w:ascii="Open Sans Light" w:eastAsia="Times New Roman" w:hAnsi="Open Sans Light" w:cs="Open Sans Light"/>
                <w:b/>
                <w:bCs/>
                <w:color w:val="000000"/>
                <w:sz w:val="18"/>
                <w:szCs w:val="18"/>
                <w:lang w:val="es-PE"/>
              </w:rPr>
              <w:footnoteReference w:id="7"/>
            </w:r>
          </w:p>
        </w:tc>
      </w:tr>
    </w:tbl>
    <w:p w14:paraId="0E8CAFDF" w14:textId="7397C2CD" w:rsidR="0076744B" w:rsidRPr="00CF7790" w:rsidRDefault="0076744B" w:rsidP="006C5165">
      <w:pPr>
        <w:spacing w:after="0" w:line="240" w:lineRule="auto"/>
        <w:rPr>
          <w:rFonts w:ascii="Open Sans Light" w:eastAsia="Open Sans Light" w:hAnsi="Open Sans Light" w:cs="Open Sans Light"/>
          <w:color w:val="000000"/>
          <w:sz w:val="24"/>
          <w:szCs w:val="24"/>
        </w:rPr>
      </w:pPr>
    </w:p>
    <w:p w14:paraId="0BDD03EF" w14:textId="2380099A" w:rsidR="002A63C8" w:rsidRDefault="002A63C8"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19</w:t>
      </w:r>
      <w:r w:rsidR="00354646">
        <w:rPr>
          <w:noProof/>
        </w:rPr>
        <w:fldChar w:fldCharType="end"/>
      </w:r>
    </w:p>
    <w:tbl>
      <w:tblPr>
        <w:tblW w:w="8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40"/>
        <w:gridCol w:w="1220"/>
        <w:gridCol w:w="1220"/>
        <w:gridCol w:w="1220"/>
        <w:gridCol w:w="1220"/>
        <w:gridCol w:w="1220"/>
      </w:tblGrid>
      <w:tr w:rsidR="0076744B" w:rsidRPr="00CF7790" w14:paraId="5BE24C35" w14:textId="77777777" w:rsidTr="00D654C4">
        <w:trPr>
          <w:trHeight w:val="510"/>
          <w:tblHeader/>
        </w:trPr>
        <w:tc>
          <w:tcPr>
            <w:tcW w:w="2440" w:type="dxa"/>
            <w:shd w:val="clear" w:color="auto" w:fill="000000" w:themeFill="text1"/>
            <w:vAlign w:val="center"/>
            <w:hideMark/>
          </w:tcPr>
          <w:p w14:paraId="319A656F" w14:textId="77777777" w:rsidR="0076744B" w:rsidRPr="00CF7790" w:rsidRDefault="0076744B"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CATEGORIA</w:t>
            </w:r>
          </w:p>
        </w:tc>
        <w:tc>
          <w:tcPr>
            <w:tcW w:w="1220" w:type="dxa"/>
            <w:shd w:val="clear" w:color="auto" w:fill="000000" w:themeFill="text1"/>
            <w:noWrap/>
            <w:vAlign w:val="center"/>
            <w:hideMark/>
          </w:tcPr>
          <w:p w14:paraId="0B32174A" w14:textId="77777777" w:rsidR="0076744B" w:rsidRPr="00CF7790" w:rsidRDefault="0076744B"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2012</w:t>
            </w:r>
          </w:p>
        </w:tc>
        <w:tc>
          <w:tcPr>
            <w:tcW w:w="1220" w:type="dxa"/>
            <w:shd w:val="clear" w:color="auto" w:fill="000000" w:themeFill="text1"/>
            <w:noWrap/>
            <w:vAlign w:val="center"/>
            <w:hideMark/>
          </w:tcPr>
          <w:p w14:paraId="1BB41BB2" w14:textId="77777777" w:rsidR="0076744B" w:rsidRPr="00CF7790" w:rsidRDefault="0076744B"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2019</w:t>
            </w:r>
          </w:p>
        </w:tc>
        <w:tc>
          <w:tcPr>
            <w:tcW w:w="1220" w:type="dxa"/>
            <w:shd w:val="clear" w:color="auto" w:fill="000000" w:themeFill="text1"/>
            <w:noWrap/>
            <w:vAlign w:val="center"/>
            <w:hideMark/>
          </w:tcPr>
          <w:p w14:paraId="67973CC6" w14:textId="77777777" w:rsidR="0076744B" w:rsidRPr="00CF7790" w:rsidRDefault="0076744B"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2020</w:t>
            </w:r>
          </w:p>
        </w:tc>
        <w:tc>
          <w:tcPr>
            <w:tcW w:w="1220" w:type="dxa"/>
            <w:shd w:val="clear" w:color="auto" w:fill="000000" w:themeFill="text1"/>
            <w:vAlign w:val="center"/>
            <w:hideMark/>
          </w:tcPr>
          <w:p w14:paraId="30037237" w14:textId="77777777" w:rsidR="0076744B" w:rsidRPr="00CF7790" w:rsidRDefault="0076744B"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 VAR 2012-2019</w:t>
            </w:r>
          </w:p>
        </w:tc>
        <w:tc>
          <w:tcPr>
            <w:tcW w:w="1220" w:type="dxa"/>
            <w:shd w:val="clear" w:color="auto" w:fill="000000" w:themeFill="text1"/>
            <w:vAlign w:val="center"/>
            <w:hideMark/>
          </w:tcPr>
          <w:p w14:paraId="0F416C3E" w14:textId="77777777" w:rsidR="0076744B" w:rsidRPr="00CF7790" w:rsidRDefault="0076744B"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 VAR 2012-2020</w:t>
            </w:r>
          </w:p>
        </w:tc>
      </w:tr>
      <w:tr w:rsidR="0076744B" w:rsidRPr="00CF7790" w14:paraId="769263EB" w14:textId="77777777" w:rsidTr="00D654C4">
        <w:trPr>
          <w:trHeight w:val="300"/>
        </w:trPr>
        <w:tc>
          <w:tcPr>
            <w:tcW w:w="2440" w:type="dxa"/>
            <w:shd w:val="clear" w:color="auto" w:fill="FFFFFF" w:themeFill="background1"/>
            <w:vAlign w:val="center"/>
            <w:hideMark/>
          </w:tcPr>
          <w:p w14:paraId="13926440" w14:textId="77777777" w:rsidR="0076744B" w:rsidRPr="00CF7790" w:rsidRDefault="0076744B"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NACIONAL</w:t>
            </w:r>
          </w:p>
        </w:tc>
        <w:tc>
          <w:tcPr>
            <w:tcW w:w="1220" w:type="dxa"/>
            <w:shd w:val="clear" w:color="auto" w:fill="FFFFFF" w:themeFill="background1"/>
            <w:noWrap/>
            <w:vAlign w:val="center"/>
            <w:hideMark/>
          </w:tcPr>
          <w:p w14:paraId="721C9A4D" w14:textId="77777777" w:rsidR="0076744B" w:rsidRPr="00CF7790" w:rsidRDefault="0076744B"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9,949,741</w:t>
            </w:r>
          </w:p>
        </w:tc>
        <w:tc>
          <w:tcPr>
            <w:tcW w:w="1220" w:type="dxa"/>
            <w:shd w:val="clear" w:color="auto" w:fill="FFFFFF" w:themeFill="background1"/>
            <w:noWrap/>
            <w:vAlign w:val="center"/>
            <w:hideMark/>
          </w:tcPr>
          <w:p w14:paraId="4E587EDF" w14:textId="77777777" w:rsidR="0076744B" w:rsidRPr="00CF7790" w:rsidRDefault="0076744B"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31,951,613</w:t>
            </w:r>
          </w:p>
        </w:tc>
        <w:tc>
          <w:tcPr>
            <w:tcW w:w="1220" w:type="dxa"/>
            <w:shd w:val="clear" w:color="auto" w:fill="FFFFFF" w:themeFill="background1"/>
            <w:noWrap/>
            <w:vAlign w:val="center"/>
            <w:hideMark/>
          </w:tcPr>
          <w:p w14:paraId="34081771" w14:textId="77777777" w:rsidR="0076744B" w:rsidRPr="00CF7790" w:rsidRDefault="0076744B"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27,916,651</w:t>
            </w:r>
          </w:p>
        </w:tc>
        <w:tc>
          <w:tcPr>
            <w:tcW w:w="1220" w:type="dxa"/>
            <w:shd w:val="clear" w:color="auto" w:fill="FFFFFF" w:themeFill="background1"/>
            <w:noWrap/>
            <w:vAlign w:val="center"/>
            <w:hideMark/>
          </w:tcPr>
          <w:p w14:paraId="35780924" w14:textId="77777777" w:rsidR="0076744B" w:rsidRPr="00CF7790" w:rsidRDefault="0076744B"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221%</w:t>
            </w:r>
          </w:p>
        </w:tc>
        <w:tc>
          <w:tcPr>
            <w:tcW w:w="1220" w:type="dxa"/>
            <w:shd w:val="clear" w:color="auto" w:fill="FFFFFF" w:themeFill="background1"/>
            <w:noWrap/>
            <w:vAlign w:val="center"/>
            <w:hideMark/>
          </w:tcPr>
          <w:p w14:paraId="590381AB" w14:textId="77777777" w:rsidR="0076744B" w:rsidRPr="00CF7790" w:rsidRDefault="0076744B"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181%</w:t>
            </w:r>
          </w:p>
        </w:tc>
      </w:tr>
      <w:tr w:rsidR="0076744B" w:rsidRPr="00CF7790" w14:paraId="1FC55831" w14:textId="77777777" w:rsidTr="00D654C4">
        <w:trPr>
          <w:trHeight w:val="300"/>
        </w:trPr>
        <w:tc>
          <w:tcPr>
            <w:tcW w:w="2440" w:type="dxa"/>
            <w:shd w:val="clear" w:color="auto" w:fill="FFFFFF" w:themeFill="background1"/>
            <w:vAlign w:val="center"/>
            <w:hideMark/>
          </w:tcPr>
          <w:p w14:paraId="691036AA" w14:textId="17B0EE19"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AMAZONAS</w:t>
            </w:r>
          </w:p>
        </w:tc>
        <w:tc>
          <w:tcPr>
            <w:tcW w:w="1220" w:type="dxa"/>
            <w:shd w:val="clear" w:color="auto" w:fill="FFFFFF" w:themeFill="background1"/>
            <w:noWrap/>
            <w:vAlign w:val="center"/>
            <w:hideMark/>
          </w:tcPr>
          <w:p w14:paraId="2E0E012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121,022</w:t>
            </w:r>
          </w:p>
        </w:tc>
        <w:tc>
          <w:tcPr>
            <w:tcW w:w="1220" w:type="dxa"/>
            <w:shd w:val="clear" w:color="auto" w:fill="FFFFFF" w:themeFill="background1"/>
            <w:noWrap/>
            <w:vAlign w:val="center"/>
            <w:hideMark/>
          </w:tcPr>
          <w:p w14:paraId="6A50315A"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113,985</w:t>
            </w:r>
          </w:p>
        </w:tc>
        <w:tc>
          <w:tcPr>
            <w:tcW w:w="1220" w:type="dxa"/>
            <w:shd w:val="clear" w:color="auto" w:fill="FFFFFF" w:themeFill="background1"/>
            <w:noWrap/>
            <w:vAlign w:val="center"/>
            <w:hideMark/>
          </w:tcPr>
          <w:p w14:paraId="21823C43"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59,956</w:t>
            </w:r>
          </w:p>
        </w:tc>
        <w:tc>
          <w:tcPr>
            <w:tcW w:w="1220" w:type="dxa"/>
            <w:shd w:val="clear" w:color="auto" w:fill="FFFFFF" w:themeFill="background1"/>
            <w:noWrap/>
            <w:vAlign w:val="center"/>
            <w:hideMark/>
          </w:tcPr>
          <w:p w14:paraId="1C4EA5C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w:t>
            </w:r>
          </w:p>
        </w:tc>
        <w:tc>
          <w:tcPr>
            <w:tcW w:w="1220" w:type="dxa"/>
            <w:shd w:val="clear" w:color="auto" w:fill="FFFFFF" w:themeFill="background1"/>
            <w:noWrap/>
            <w:vAlign w:val="center"/>
            <w:hideMark/>
          </w:tcPr>
          <w:p w14:paraId="103A185D"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-50%</w:t>
            </w:r>
          </w:p>
        </w:tc>
      </w:tr>
      <w:tr w:rsidR="0076744B" w:rsidRPr="00CF7790" w14:paraId="0FD478D7" w14:textId="77777777" w:rsidTr="00D654C4">
        <w:trPr>
          <w:trHeight w:val="300"/>
        </w:trPr>
        <w:tc>
          <w:tcPr>
            <w:tcW w:w="2440" w:type="dxa"/>
            <w:shd w:val="clear" w:color="auto" w:fill="FFFFFF" w:themeFill="background1"/>
            <w:vAlign w:val="center"/>
            <w:hideMark/>
          </w:tcPr>
          <w:p w14:paraId="70D51050" w14:textId="79AAE94E"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ANCASH</w:t>
            </w:r>
          </w:p>
        </w:tc>
        <w:tc>
          <w:tcPr>
            <w:tcW w:w="1220" w:type="dxa"/>
            <w:shd w:val="clear" w:color="auto" w:fill="FFFFFF" w:themeFill="background1"/>
            <w:noWrap/>
            <w:vAlign w:val="center"/>
            <w:hideMark/>
          </w:tcPr>
          <w:p w14:paraId="38DFB5F6"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383,121</w:t>
            </w:r>
          </w:p>
        </w:tc>
        <w:tc>
          <w:tcPr>
            <w:tcW w:w="1220" w:type="dxa"/>
            <w:shd w:val="clear" w:color="auto" w:fill="FFFFFF" w:themeFill="background1"/>
            <w:noWrap/>
            <w:vAlign w:val="center"/>
            <w:hideMark/>
          </w:tcPr>
          <w:p w14:paraId="7954839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2,292,848</w:t>
            </w:r>
          </w:p>
        </w:tc>
        <w:tc>
          <w:tcPr>
            <w:tcW w:w="1220" w:type="dxa"/>
            <w:shd w:val="clear" w:color="auto" w:fill="FFFFFF" w:themeFill="background1"/>
            <w:noWrap/>
            <w:vAlign w:val="center"/>
            <w:hideMark/>
          </w:tcPr>
          <w:p w14:paraId="3A49474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726,301</w:t>
            </w:r>
          </w:p>
        </w:tc>
        <w:tc>
          <w:tcPr>
            <w:tcW w:w="1220" w:type="dxa"/>
            <w:shd w:val="clear" w:color="auto" w:fill="FFFFFF" w:themeFill="background1"/>
            <w:noWrap/>
            <w:vAlign w:val="center"/>
            <w:hideMark/>
          </w:tcPr>
          <w:p w14:paraId="283FEF0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498%</w:t>
            </w:r>
          </w:p>
        </w:tc>
        <w:tc>
          <w:tcPr>
            <w:tcW w:w="1220" w:type="dxa"/>
            <w:shd w:val="clear" w:color="auto" w:fill="FFFFFF" w:themeFill="background1"/>
            <w:noWrap/>
            <w:vAlign w:val="center"/>
            <w:hideMark/>
          </w:tcPr>
          <w:p w14:paraId="37C15B33"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90%</w:t>
            </w:r>
          </w:p>
        </w:tc>
      </w:tr>
      <w:tr w:rsidR="0076744B" w:rsidRPr="00CF7790" w14:paraId="2AD15398" w14:textId="77777777" w:rsidTr="00D654C4">
        <w:trPr>
          <w:trHeight w:val="300"/>
        </w:trPr>
        <w:tc>
          <w:tcPr>
            <w:tcW w:w="2440" w:type="dxa"/>
            <w:shd w:val="clear" w:color="auto" w:fill="FFFFFF" w:themeFill="background1"/>
            <w:vAlign w:val="center"/>
            <w:hideMark/>
          </w:tcPr>
          <w:p w14:paraId="652C8441" w14:textId="2CC54654"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APURIMAC</w:t>
            </w:r>
          </w:p>
        </w:tc>
        <w:tc>
          <w:tcPr>
            <w:tcW w:w="1220" w:type="dxa"/>
            <w:shd w:val="clear" w:color="auto" w:fill="FFFFFF" w:themeFill="background1"/>
            <w:noWrap/>
            <w:vAlign w:val="center"/>
            <w:hideMark/>
          </w:tcPr>
          <w:p w14:paraId="77DA9BA2"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1,492,319</w:t>
            </w:r>
          </w:p>
        </w:tc>
        <w:tc>
          <w:tcPr>
            <w:tcW w:w="1220" w:type="dxa"/>
            <w:shd w:val="clear" w:color="auto" w:fill="FFFFFF" w:themeFill="background1"/>
            <w:noWrap/>
            <w:vAlign w:val="center"/>
            <w:hideMark/>
          </w:tcPr>
          <w:p w14:paraId="189196E1"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2,026,001</w:t>
            </w:r>
          </w:p>
        </w:tc>
        <w:tc>
          <w:tcPr>
            <w:tcW w:w="1220" w:type="dxa"/>
            <w:shd w:val="clear" w:color="auto" w:fill="FFFFFF" w:themeFill="background1"/>
            <w:noWrap/>
            <w:vAlign w:val="center"/>
            <w:hideMark/>
          </w:tcPr>
          <w:p w14:paraId="2456077D"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2,111,035</w:t>
            </w:r>
          </w:p>
        </w:tc>
        <w:tc>
          <w:tcPr>
            <w:tcW w:w="1220" w:type="dxa"/>
            <w:shd w:val="clear" w:color="auto" w:fill="FFFFFF" w:themeFill="background1"/>
            <w:noWrap/>
            <w:vAlign w:val="center"/>
            <w:hideMark/>
          </w:tcPr>
          <w:p w14:paraId="136A006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36%</w:t>
            </w:r>
          </w:p>
        </w:tc>
        <w:tc>
          <w:tcPr>
            <w:tcW w:w="1220" w:type="dxa"/>
            <w:shd w:val="clear" w:color="auto" w:fill="FFFFFF" w:themeFill="background1"/>
            <w:noWrap/>
            <w:vAlign w:val="center"/>
            <w:hideMark/>
          </w:tcPr>
          <w:p w14:paraId="649E5FE2"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41%</w:t>
            </w:r>
          </w:p>
        </w:tc>
      </w:tr>
      <w:tr w:rsidR="0076744B" w:rsidRPr="00CF7790" w14:paraId="76EF9E06" w14:textId="77777777" w:rsidTr="00D654C4">
        <w:trPr>
          <w:trHeight w:val="300"/>
        </w:trPr>
        <w:tc>
          <w:tcPr>
            <w:tcW w:w="2440" w:type="dxa"/>
            <w:shd w:val="clear" w:color="auto" w:fill="FFFFFF" w:themeFill="background1"/>
            <w:vAlign w:val="center"/>
            <w:hideMark/>
          </w:tcPr>
          <w:p w14:paraId="3B80B6AD" w14:textId="2727DB0F"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AREQUIPA</w:t>
            </w:r>
          </w:p>
        </w:tc>
        <w:tc>
          <w:tcPr>
            <w:tcW w:w="1220" w:type="dxa"/>
            <w:shd w:val="clear" w:color="auto" w:fill="FFFFFF" w:themeFill="background1"/>
            <w:noWrap/>
            <w:vAlign w:val="center"/>
            <w:hideMark/>
          </w:tcPr>
          <w:p w14:paraId="53ECD720"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644,195</w:t>
            </w:r>
          </w:p>
        </w:tc>
        <w:tc>
          <w:tcPr>
            <w:tcW w:w="1220" w:type="dxa"/>
            <w:shd w:val="clear" w:color="auto" w:fill="FFFFFF" w:themeFill="background1"/>
            <w:noWrap/>
            <w:vAlign w:val="center"/>
            <w:hideMark/>
          </w:tcPr>
          <w:p w14:paraId="4005BD0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414,357</w:t>
            </w:r>
          </w:p>
        </w:tc>
        <w:tc>
          <w:tcPr>
            <w:tcW w:w="1220" w:type="dxa"/>
            <w:shd w:val="clear" w:color="auto" w:fill="FFFFFF" w:themeFill="background1"/>
            <w:noWrap/>
            <w:vAlign w:val="center"/>
            <w:hideMark/>
          </w:tcPr>
          <w:p w14:paraId="37312CDA"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472,435</w:t>
            </w:r>
          </w:p>
        </w:tc>
        <w:tc>
          <w:tcPr>
            <w:tcW w:w="1220" w:type="dxa"/>
            <w:shd w:val="clear" w:color="auto" w:fill="FFFFFF" w:themeFill="background1"/>
            <w:noWrap/>
            <w:vAlign w:val="center"/>
            <w:hideMark/>
          </w:tcPr>
          <w:p w14:paraId="74927E56"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-36%</w:t>
            </w:r>
          </w:p>
        </w:tc>
        <w:tc>
          <w:tcPr>
            <w:tcW w:w="1220" w:type="dxa"/>
            <w:shd w:val="clear" w:color="auto" w:fill="FFFFFF" w:themeFill="background1"/>
            <w:noWrap/>
            <w:vAlign w:val="center"/>
            <w:hideMark/>
          </w:tcPr>
          <w:p w14:paraId="33058C99"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-27%</w:t>
            </w:r>
          </w:p>
        </w:tc>
      </w:tr>
      <w:tr w:rsidR="0076744B" w:rsidRPr="00CF7790" w14:paraId="056ACC9E" w14:textId="77777777" w:rsidTr="00D654C4">
        <w:trPr>
          <w:trHeight w:val="300"/>
        </w:trPr>
        <w:tc>
          <w:tcPr>
            <w:tcW w:w="2440" w:type="dxa"/>
            <w:shd w:val="clear" w:color="auto" w:fill="FFFFFF" w:themeFill="background1"/>
            <w:vAlign w:val="center"/>
            <w:hideMark/>
          </w:tcPr>
          <w:p w14:paraId="618E4137" w14:textId="3F0BA06C"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AYACUCHO</w:t>
            </w:r>
          </w:p>
        </w:tc>
        <w:tc>
          <w:tcPr>
            <w:tcW w:w="1220" w:type="dxa"/>
            <w:shd w:val="clear" w:color="auto" w:fill="FFFFFF" w:themeFill="background1"/>
            <w:noWrap/>
            <w:vAlign w:val="center"/>
            <w:hideMark/>
          </w:tcPr>
          <w:p w14:paraId="2968D0B2"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360,805</w:t>
            </w:r>
          </w:p>
        </w:tc>
        <w:tc>
          <w:tcPr>
            <w:tcW w:w="1220" w:type="dxa"/>
            <w:shd w:val="clear" w:color="auto" w:fill="FFFFFF" w:themeFill="background1"/>
            <w:noWrap/>
            <w:vAlign w:val="center"/>
            <w:hideMark/>
          </w:tcPr>
          <w:p w14:paraId="351AFDDA"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1,268,131</w:t>
            </w:r>
          </w:p>
        </w:tc>
        <w:tc>
          <w:tcPr>
            <w:tcW w:w="1220" w:type="dxa"/>
            <w:shd w:val="clear" w:color="auto" w:fill="FFFFFF" w:themeFill="background1"/>
            <w:noWrap/>
            <w:vAlign w:val="center"/>
            <w:hideMark/>
          </w:tcPr>
          <w:p w14:paraId="67896F1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1,256,588</w:t>
            </w:r>
          </w:p>
        </w:tc>
        <w:tc>
          <w:tcPr>
            <w:tcW w:w="1220" w:type="dxa"/>
            <w:shd w:val="clear" w:color="auto" w:fill="FFFFFF" w:themeFill="background1"/>
            <w:noWrap/>
            <w:vAlign w:val="center"/>
            <w:hideMark/>
          </w:tcPr>
          <w:p w14:paraId="1E775F22"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251%</w:t>
            </w:r>
          </w:p>
        </w:tc>
        <w:tc>
          <w:tcPr>
            <w:tcW w:w="1220" w:type="dxa"/>
            <w:shd w:val="clear" w:color="auto" w:fill="FFFFFF" w:themeFill="background1"/>
            <w:noWrap/>
            <w:vAlign w:val="center"/>
            <w:hideMark/>
          </w:tcPr>
          <w:p w14:paraId="6489616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248%</w:t>
            </w:r>
          </w:p>
        </w:tc>
      </w:tr>
      <w:tr w:rsidR="0076744B" w:rsidRPr="00CF7790" w14:paraId="309AD59D" w14:textId="77777777" w:rsidTr="00D654C4">
        <w:trPr>
          <w:trHeight w:val="300"/>
        </w:trPr>
        <w:tc>
          <w:tcPr>
            <w:tcW w:w="2440" w:type="dxa"/>
            <w:shd w:val="clear" w:color="auto" w:fill="FFFFFF" w:themeFill="background1"/>
            <w:vAlign w:val="center"/>
            <w:hideMark/>
          </w:tcPr>
          <w:p w14:paraId="6D388A35" w14:textId="3C161E22"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CAJAMARCA</w:t>
            </w:r>
          </w:p>
        </w:tc>
        <w:tc>
          <w:tcPr>
            <w:tcW w:w="1220" w:type="dxa"/>
            <w:shd w:val="clear" w:color="auto" w:fill="FFFFFF" w:themeFill="background1"/>
            <w:noWrap/>
            <w:vAlign w:val="center"/>
            <w:hideMark/>
          </w:tcPr>
          <w:p w14:paraId="2D1B1807"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336,439</w:t>
            </w:r>
          </w:p>
        </w:tc>
        <w:tc>
          <w:tcPr>
            <w:tcW w:w="1220" w:type="dxa"/>
            <w:shd w:val="clear" w:color="auto" w:fill="FFFFFF" w:themeFill="background1"/>
            <w:noWrap/>
            <w:vAlign w:val="center"/>
            <w:hideMark/>
          </w:tcPr>
          <w:p w14:paraId="0375994A"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2,486,806</w:t>
            </w:r>
          </w:p>
        </w:tc>
        <w:tc>
          <w:tcPr>
            <w:tcW w:w="1220" w:type="dxa"/>
            <w:shd w:val="clear" w:color="auto" w:fill="FFFFFF" w:themeFill="background1"/>
            <w:noWrap/>
            <w:vAlign w:val="center"/>
            <w:hideMark/>
          </w:tcPr>
          <w:p w14:paraId="51867011"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696,940</w:t>
            </w:r>
          </w:p>
        </w:tc>
        <w:tc>
          <w:tcPr>
            <w:tcW w:w="1220" w:type="dxa"/>
            <w:shd w:val="clear" w:color="auto" w:fill="FFFFFF" w:themeFill="background1"/>
            <w:noWrap/>
            <w:vAlign w:val="center"/>
            <w:hideMark/>
          </w:tcPr>
          <w:p w14:paraId="2D862141"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639%</w:t>
            </w:r>
          </w:p>
        </w:tc>
        <w:tc>
          <w:tcPr>
            <w:tcW w:w="1220" w:type="dxa"/>
            <w:shd w:val="clear" w:color="auto" w:fill="FFFFFF" w:themeFill="background1"/>
            <w:noWrap/>
            <w:vAlign w:val="center"/>
            <w:hideMark/>
          </w:tcPr>
          <w:p w14:paraId="0DB695BB"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107%</w:t>
            </w:r>
          </w:p>
        </w:tc>
      </w:tr>
      <w:tr w:rsidR="0076744B" w:rsidRPr="00CF7790" w14:paraId="619F43F0" w14:textId="77777777" w:rsidTr="00D654C4">
        <w:trPr>
          <w:trHeight w:val="300"/>
        </w:trPr>
        <w:tc>
          <w:tcPr>
            <w:tcW w:w="2440" w:type="dxa"/>
            <w:shd w:val="clear" w:color="auto" w:fill="FFFFFF" w:themeFill="background1"/>
            <w:vAlign w:val="center"/>
            <w:hideMark/>
          </w:tcPr>
          <w:p w14:paraId="3F01C81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CALLAO</w:t>
            </w:r>
          </w:p>
        </w:tc>
        <w:tc>
          <w:tcPr>
            <w:tcW w:w="1220" w:type="dxa"/>
            <w:shd w:val="clear" w:color="auto" w:fill="FFFFFF" w:themeFill="background1"/>
            <w:noWrap/>
            <w:vAlign w:val="center"/>
            <w:hideMark/>
          </w:tcPr>
          <w:p w14:paraId="42661550"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48,409</w:t>
            </w:r>
          </w:p>
        </w:tc>
        <w:tc>
          <w:tcPr>
            <w:tcW w:w="1220" w:type="dxa"/>
            <w:shd w:val="clear" w:color="auto" w:fill="FFFFFF" w:themeFill="background1"/>
            <w:noWrap/>
            <w:vAlign w:val="center"/>
            <w:hideMark/>
          </w:tcPr>
          <w:p w14:paraId="614C7AAC"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438,821</w:t>
            </w:r>
          </w:p>
        </w:tc>
        <w:tc>
          <w:tcPr>
            <w:tcW w:w="1220" w:type="dxa"/>
            <w:shd w:val="clear" w:color="auto" w:fill="FFFFFF" w:themeFill="background1"/>
            <w:noWrap/>
            <w:vAlign w:val="center"/>
            <w:hideMark/>
          </w:tcPr>
          <w:p w14:paraId="4E0B05CE"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728,678</w:t>
            </w:r>
          </w:p>
        </w:tc>
        <w:tc>
          <w:tcPr>
            <w:tcW w:w="1220" w:type="dxa"/>
            <w:shd w:val="clear" w:color="auto" w:fill="FFFFFF" w:themeFill="background1"/>
            <w:noWrap/>
            <w:vAlign w:val="center"/>
            <w:hideMark/>
          </w:tcPr>
          <w:p w14:paraId="17EA8A3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806%</w:t>
            </w:r>
          </w:p>
        </w:tc>
        <w:tc>
          <w:tcPr>
            <w:tcW w:w="1220" w:type="dxa"/>
            <w:shd w:val="clear" w:color="auto" w:fill="FFFFFF" w:themeFill="background1"/>
            <w:noWrap/>
            <w:vAlign w:val="center"/>
            <w:hideMark/>
          </w:tcPr>
          <w:p w14:paraId="1BC4A29E"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1405%</w:t>
            </w:r>
          </w:p>
        </w:tc>
      </w:tr>
      <w:tr w:rsidR="0076744B" w:rsidRPr="00CF7790" w14:paraId="4CE02DAE" w14:textId="77777777" w:rsidTr="00D654C4">
        <w:trPr>
          <w:trHeight w:val="300"/>
        </w:trPr>
        <w:tc>
          <w:tcPr>
            <w:tcW w:w="2440" w:type="dxa"/>
            <w:shd w:val="clear" w:color="auto" w:fill="FFFFFF" w:themeFill="background1"/>
            <w:vAlign w:val="center"/>
            <w:hideMark/>
          </w:tcPr>
          <w:p w14:paraId="35FE4566" w14:textId="378EE275"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CUSCO</w:t>
            </w:r>
          </w:p>
        </w:tc>
        <w:tc>
          <w:tcPr>
            <w:tcW w:w="1220" w:type="dxa"/>
            <w:shd w:val="clear" w:color="auto" w:fill="FFFFFF" w:themeFill="background1"/>
            <w:noWrap/>
            <w:vAlign w:val="center"/>
            <w:hideMark/>
          </w:tcPr>
          <w:p w14:paraId="76B9338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1,002,876</w:t>
            </w:r>
          </w:p>
        </w:tc>
        <w:tc>
          <w:tcPr>
            <w:tcW w:w="1220" w:type="dxa"/>
            <w:shd w:val="clear" w:color="auto" w:fill="FFFFFF" w:themeFill="background1"/>
            <w:noWrap/>
            <w:vAlign w:val="center"/>
            <w:hideMark/>
          </w:tcPr>
          <w:p w14:paraId="39FA4A83"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757,627</w:t>
            </w:r>
          </w:p>
        </w:tc>
        <w:tc>
          <w:tcPr>
            <w:tcW w:w="1220" w:type="dxa"/>
            <w:shd w:val="clear" w:color="auto" w:fill="FFFFFF" w:themeFill="background1"/>
            <w:noWrap/>
            <w:vAlign w:val="center"/>
            <w:hideMark/>
          </w:tcPr>
          <w:p w14:paraId="52094B4C"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878,411</w:t>
            </w:r>
          </w:p>
        </w:tc>
        <w:tc>
          <w:tcPr>
            <w:tcW w:w="1220" w:type="dxa"/>
            <w:shd w:val="clear" w:color="auto" w:fill="FFFFFF" w:themeFill="background1"/>
            <w:noWrap/>
            <w:vAlign w:val="center"/>
            <w:hideMark/>
          </w:tcPr>
          <w:p w14:paraId="499A75EE"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-24%</w:t>
            </w:r>
          </w:p>
        </w:tc>
        <w:tc>
          <w:tcPr>
            <w:tcW w:w="1220" w:type="dxa"/>
            <w:shd w:val="clear" w:color="auto" w:fill="FFFFFF" w:themeFill="background1"/>
            <w:noWrap/>
            <w:vAlign w:val="center"/>
            <w:hideMark/>
          </w:tcPr>
          <w:p w14:paraId="45AB04B3"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w:t>
            </w:r>
          </w:p>
        </w:tc>
      </w:tr>
      <w:tr w:rsidR="0076744B" w:rsidRPr="00CF7790" w14:paraId="72EFE377" w14:textId="77777777" w:rsidTr="00D654C4">
        <w:trPr>
          <w:trHeight w:val="300"/>
        </w:trPr>
        <w:tc>
          <w:tcPr>
            <w:tcW w:w="2440" w:type="dxa"/>
            <w:shd w:val="clear" w:color="auto" w:fill="FFFFFF" w:themeFill="background1"/>
            <w:vAlign w:val="center"/>
            <w:hideMark/>
          </w:tcPr>
          <w:p w14:paraId="4F454034" w14:textId="7F926FC0"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HUANCAVELICA</w:t>
            </w:r>
          </w:p>
        </w:tc>
        <w:tc>
          <w:tcPr>
            <w:tcW w:w="1220" w:type="dxa"/>
            <w:shd w:val="clear" w:color="auto" w:fill="FFFFFF" w:themeFill="background1"/>
            <w:noWrap/>
            <w:vAlign w:val="center"/>
            <w:hideMark/>
          </w:tcPr>
          <w:p w14:paraId="2EBCFC7C"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163,336</w:t>
            </w:r>
          </w:p>
        </w:tc>
        <w:tc>
          <w:tcPr>
            <w:tcW w:w="1220" w:type="dxa"/>
            <w:shd w:val="clear" w:color="auto" w:fill="FFFFFF" w:themeFill="background1"/>
            <w:noWrap/>
            <w:vAlign w:val="center"/>
            <w:hideMark/>
          </w:tcPr>
          <w:p w14:paraId="232EE29C"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913,927</w:t>
            </w:r>
          </w:p>
        </w:tc>
        <w:tc>
          <w:tcPr>
            <w:tcW w:w="1220" w:type="dxa"/>
            <w:shd w:val="clear" w:color="auto" w:fill="FFFFFF" w:themeFill="background1"/>
            <w:noWrap/>
            <w:vAlign w:val="center"/>
            <w:hideMark/>
          </w:tcPr>
          <w:p w14:paraId="58B85209"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941,103</w:t>
            </w:r>
          </w:p>
        </w:tc>
        <w:tc>
          <w:tcPr>
            <w:tcW w:w="1220" w:type="dxa"/>
            <w:shd w:val="clear" w:color="auto" w:fill="FFFFFF" w:themeFill="background1"/>
            <w:noWrap/>
            <w:vAlign w:val="center"/>
            <w:hideMark/>
          </w:tcPr>
          <w:p w14:paraId="32301B8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460%</w:t>
            </w:r>
          </w:p>
        </w:tc>
        <w:tc>
          <w:tcPr>
            <w:tcW w:w="1220" w:type="dxa"/>
            <w:shd w:val="clear" w:color="auto" w:fill="FFFFFF" w:themeFill="background1"/>
            <w:noWrap/>
            <w:vAlign w:val="center"/>
            <w:hideMark/>
          </w:tcPr>
          <w:p w14:paraId="7A9CF856"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476%</w:t>
            </w:r>
          </w:p>
        </w:tc>
      </w:tr>
      <w:tr w:rsidR="0076744B" w:rsidRPr="00CF7790" w14:paraId="24488294" w14:textId="77777777" w:rsidTr="00D654C4">
        <w:trPr>
          <w:trHeight w:val="300"/>
        </w:trPr>
        <w:tc>
          <w:tcPr>
            <w:tcW w:w="2440" w:type="dxa"/>
            <w:shd w:val="clear" w:color="auto" w:fill="FFFFFF" w:themeFill="background1"/>
            <w:vAlign w:val="center"/>
            <w:hideMark/>
          </w:tcPr>
          <w:p w14:paraId="77F63F8B" w14:textId="2FD6235E"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HUANUCO</w:t>
            </w:r>
          </w:p>
        </w:tc>
        <w:tc>
          <w:tcPr>
            <w:tcW w:w="1220" w:type="dxa"/>
            <w:shd w:val="clear" w:color="auto" w:fill="FFFFFF" w:themeFill="background1"/>
            <w:noWrap/>
            <w:vAlign w:val="center"/>
            <w:hideMark/>
          </w:tcPr>
          <w:p w14:paraId="3CF0A651"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16,510</w:t>
            </w:r>
          </w:p>
        </w:tc>
        <w:tc>
          <w:tcPr>
            <w:tcW w:w="1220" w:type="dxa"/>
            <w:shd w:val="clear" w:color="auto" w:fill="FFFFFF" w:themeFill="background1"/>
            <w:noWrap/>
            <w:vAlign w:val="center"/>
            <w:hideMark/>
          </w:tcPr>
          <w:p w14:paraId="77293DC6"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233,467</w:t>
            </w:r>
          </w:p>
        </w:tc>
        <w:tc>
          <w:tcPr>
            <w:tcW w:w="1220" w:type="dxa"/>
            <w:shd w:val="clear" w:color="auto" w:fill="FFFFFF" w:themeFill="background1"/>
            <w:noWrap/>
            <w:vAlign w:val="center"/>
            <w:hideMark/>
          </w:tcPr>
          <w:p w14:paraId="0433D8A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244,825</w:t>
            </w:r>
          </w:p>
        </w:tc>
        <w:tc>
          <w:tcPr>
            <w:tcW w:w="1220" w:type="dxa"/>
            <w:shd w:val="clear" w:color="auto" w:fill="FFFFFF" w:themeFill="background1"/>
            <w:noWrap/>
            <w:vAlign w:val="center"/>
            <w:hideMark/>
          </w:tcPr>
          <w:p w14:paraId="540B651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1314%</w:t>
            </w:r>
          </w:p>
        </w:tc>
        <w:tc>
          <w:tcPr>
            <w:tcW w:w="1220" w:type="dxa"/>
            <w:shd w:val="clear" w:color="auto" w:fill="FFFFFF" w:themeFill="background1"/>
            <w:noWrap/>
            <w:vAlign w:val="center"/>
            <w:hideMark/>
          </w:tcPr>
          <w:p w14:paraId="54322F2C"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1383%</w:t>
            </w:r>
          </w:p>
        </w:tc>
      </w:tr>
      <w:tr w:rsidR="0076744B" w:rsidRPr="00CF7790" w14:paraId="1D89EC06" w14:textId="77777777" w:rsidTr="00D654C4">
        <w:trPr>
          <w:trHeight w:val="300"/>
        </w:trPr>
        <w:tc>
          <w:tcPr>
            <w:tcW w:w="2440" w:type="dxa"/>
            <w:shd w:val="clear" w:color="auto" w:fill="FFFFFF" w:themeFill="background1"/>
            <w:vAlign w:val="center"/>
            <w:hideMark/>
          </w:tcPr>
          <w:p w14:paraId="0CC62835" w14:textId="4517A87C"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ICA</w:t>
            </w:r>
          </w:p>
        </w:tc>
        <w:tc>
          <w:tcPr>
            <w:tcW w:w="1220" w:type="dxa"/>
            <w:shd w:val="clear" w:color="auto" w:fill="FFFFFF" w:themeFill="background1"/>
            <w:noWrap/>
            <w:vAlign w:val="center"/>
            <w:hideMark/>
          </w:tcPr>
          <w:p w14:paraId="290134D3"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182,272</w:t>
            </w:r>
          </w:p>
        </w:tc>
        <w:tc>
          <w:tcPr>
            <w:tcW w:w="1220" w:type="dxa"/>
            <w:shd w:val="clear" w:color="auto" w:fill="FFFFFF" w:themeFill="background1"/>
            <w:noWrap/>
            <w:vAlign w:val="center"/>
            <w:hideMark/>
          </w:tcPr>
          <w:p w14:paraId="2E5445A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994,097</w:t>
            </w:r>
          </w:p>
        </w:tc>
        <w:tc>
          <w:tcPr>
            <w:tcW w:w="1220" w:type="dxa"/>
            <w:shd w:val="clear" w:color="auto" w:fill="FFFFFF" w:themeFill="background1"/>
            <w:noWrap/>
            <w:vAlign w:val="center"/>
            <w:hideMark/>
          </w:tcPr>
          <w:p w14:paraId="720066E3"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1,296,593</w:t>
            </w:r>
          </w:p>
        </w:tc>
        <w:tc>
          <w:tcPr>
            <w:tcW w:w="1220" w:type="dxa"/>
            <w:shd w:val="clear" w:color="auto" w:fill="FFFFFF" w:themeFill="background1"/>
            <w:noWrap/>
            <w:vAlign w:val="center"/>
            <w:hideMark/>
          </w:tcPr>
          <w:p w14:paraId="14780927"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445%</w:t>
            </w:r>
          </w:p>
        </w:tc>
        <w:tc>
          <w:tcPr>
            <w:tcW w:w="1220" w:type="dxa"/>
            <w:shd w:val="clear" w:color="auto" w:fill="FFFFFF" w:themeFill="background1"/>
            <w:noWrap/>
            <w:vAlign w:val="center"/>
            <w:hideMark/>
          </w:tcPr>
          <w:p w14:paraId="5C03EC37"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611%</w:t>
            </w:r>
          </w:p>
        </w:tc>
      </w:tr>
      <w:tr w:rsidR="0076744B" w:rsidRPr="00CF7790" w14:paraId="0E6389CC" w14:textId="77777777" w:rsidTr="00D654C4">
        <w:trPr>
          <w:trHeight w:val="300"/>
        </w:trPr>
        <w:tc>
          <w:tcPr>
            <w:tcW w:w="2440" w:type="dxa"/>
            <w:shd w:val="clear" w:color="auto" w:fill="FFFFFF" w:themeFill="background1"/>
            <w:vAlign w:val="center"/>
            <w:hideMark/>
          </w:tcPr>
          <w:p w14:paraId="4F306730" w14:textId="37A786FF"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lastRenderedPageBreak/>
              <w:t>JUNIN</w:t>
            </w:r>
          </w:p>
        </w:tc>
        <w:tc>
          <w:tcPr>
            <w:tcW w:w="1220" w:type="dxa"/>
            <w:shd w:val="clear" w:color="auto" w:fill="FFFFFF" w:themeFill="background1"/>
            <w:noWrap/>
            <w:vAlign w:val="center"/>
            <w:hideMark/>
          </w:tcPr>
          <w:p w14:paraId="0EF38172"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135,471</w:t>
            </w:r>
          </w:p>
        </w:tc>
        <w:tc>
          <w:tcPr>
            <w:tcW w:w="1220" w:type="dxa"/>
            <w:shd w:val="clear" w:color="auto" w:fill="FFFFFF" w:themeFill="background1"/>
            <w:noWrap/>
            <w:vAlign w:val="center"/>
            <w:hideMark/>
          </w:tcPr>
          <w:p w14:paraId="2EB9A032"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1,023,732</w:t>
            </w:r>
          </w:p>
        </w:tc>
        <w:tc>
          <w:tcPr>
            <w:tcW w:w="1220" w:type="dxa"/>
            <w:shd w:val="clear" w:color="auto" w:fill="FFFFFF" w:themeFill="background1"/>
            <w:noWrap/>
            <w:vAlign w:val="center"/>
            <w:hideMark/>
          </w:tcPr>
          <w:p w14:paraId="2243775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746,986</w:t>
            </w:r>
          </w:p>
        </w:tc>
        <w:tc>
          <w:tcPr>
            <w:tcW w:w="1220" w:type="dxa"/>
            <w:shd w:val="clear" w:color="auto" w:fill="FFFFFF" w:themeFill="background1"/>
            <w:noWrap/>
            <w:vAlign w:val="center"/>
            <w:hideMark/>
          </w:tcPr>
          <w:p w14:paraId="1145B13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656%</w:t>
            </w:r>
          </w:p>
        </w:tc>
        <w:tc>
          <w:tcPr>
            <w:tcW w:w="1220" w:type="dxa"/>
            <w:shd w:val="clear" w:color="auto" w:fill="FFFFFF" w:themeFill="background1"/>
            <w:noWrap/>
            <w:vAlign w:val="center"/>
            <w:hideMark/>
          </w:tcPr>
          <w:p w14:paraId="39ABC9A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451%</w:t>
            </w:r>
          </w:p>
        </w:tc>
      </w:tr>
      <w:tr w:rsidR="0076744B" w:rsidRPr="00CF7790" w14:paraId="0C0260A9" w14:textId="77777777" w:rsidTr="00D654C4">
        <w:trPr>
          <w:trHeight w:val="300"/>
        </w:trPr>
        <w:tc>
          <w:tcPr>
            <w:tcW w:w="2440" w:type="dxa"/>
            <w:shd w:val="clear" w:color="auto" w:fill="FFFFFF" w:themeFill="background1"/>
            <w:vAlign w:val="center"/>
            <w:hideMark/>
          </w:tcPr>
          <w:p w14:paraId="1BAA1C32" w14:textId="30F2B855"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LA LIBERTAD</w:t>
            </w:r>
          </w:p>
        </w:tc>
        <w:tc>
          <w:tcPr>
            <w:tcW w:w="1220" w:type="dxa"/>
            <w:shd w:val="clear" w:color="auto" w:fill="FFFFFF" w:themeFill="background1"/>
            <w:noWrap/>
            <w:vAlign w:val="center"/>
            <w:hideMark/>
          </w:tcPr>
          <w:p w14:paraId="68086FC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263,041</w:t>
            </w:r>
          </w:p>
        </w:tc>
        <w:tc>
          <w:tcPr>
            <w:tcW w:w="1220" w:type="dxa"/>
            <w:shd w:val="clear" w:color="auto" w:fill="FFFFFF" w:themeFill="background1"/>
            <w:noWrap/>
            <w:vAlign w:val="center"/>
            <w:hideMark/>
          </w:tcPr>
          <w:p w14:paraId="26B4CEF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4,035,978</w:t>
            </w:r>
          </w:p>
        </w:tc>
        <w:tc>
          <w:tcPr>
            <w:tcW w:w="1220" w:type="dxa"/>
            <w:shd w:val="clear" w:color="auto" w:fill="FFFFFF" w:themeFill="background1"/>
            <w:noWrap/>
            <w:vAlign w:val="center"/>
            <w:hideMark/>
          </w:tcPr>
          <w:p w14:paraId="0174402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4,421,156</w:t>
            </w:r>
          </w:p>
        </w:tc>
        <w:tc>
          <w:tcPr>
            <w:tcW w:w="1220" w:type="dxa"/>
            <w:shd w:val="clear" w:color="auto" w:fill="FFFFFF" w:themeFill="background1"/>
            <w:noWrap/>
            <w:vAlign w:val="center"/>
            <w:hideMark/>
          </w:tcPr>
          <w:p w14:paraId="63CF00D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1434%</w:t>
            </w:r>
          </w:p>
        </w:tc>
        <w:tc>
          <w:tcPr>
            <w:tcW w:w="1220" w:type="dxa"/>
            <w:shd w:val="clear" w:color="auto" w:fill="FFFFFF" w:themeFill="background1"/>
            <w:noWrap/>
            <w:vAlign w:val="center"/>
            <w:hideMark/>
          </w:tcPr>
          <w:p w14:paraId="176154E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1581%</w:t>
            </w:r>
          </w:p>
        </w:tc>
      </w:tr>
      <w:tr w:rsidR="0076744B" w:rsidRPr="00CF7790" w14:paraId="441F737F" w14:textId="77777777" w:rsidTr="00D654C4">
        <w:trPr>
          <w:trHeight w:val="300"/>
        </w:trPr>
        <w:tc>
          <w:tcPr>
            <w:tcW w:w="2440" w:type="dxa"/>
            <w:shd w:val="clear" w:color="auto" w:fill="FFFFFF" w:themeFill="background1"/>
            <w:vAlign w:val="center"/>
            <w:hideMark/>
          </w:tcPr>
          <w:p w14:paraId="5242DEDA" w14:textId="6A966A98"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LAMBAYEQUE</w:t>
            </w:r>
          </w:p>
        </w:tc>
        <w:tc>
          <w:tcPr>
            <w:tcW w:w="1220" w:type="dxa"/>
            <w:shd w:val="clear" w:color="auto" w:fill="FFFFFF" w:themeFill="background1"/>
            <w:noWrap/>
            <w:vAlign w:val="center"/>
            <w:hideMark/>
          </w:tcPr>
          <w:p w14:paraId="6A6C388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155,594</w:t>
            </w:r>
          </w:p>
        </w:tc>
        <w:tc>
          <w:tcPr>
            <w:tcW w:w="1220" w:type="dxa"/>
            <w:shd w:val="clear" w:color="auto" w:fill="FFFFFF" w:themeFill="background1"/>
            <w:noWrap/>
            <w:vAlign w:val="center"/>
            <w:hideMark/>
          </w:tcPr>
          <w:p w14:paraId="54C132A9"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1,252,383</w:t>
            </w:r>
          </w:p>
        </w:tc>
        <w:tc>
          <w:tcPr>
            <w:tcW w:w="1220" w:type="dxa"/>
            <w:shd w:val="clear" w:color="auto" w:fill="FFFFFF" w:themeFill="background1"/>
            <w:noWrap/>
            <w:vAlign w:val="center"/>
            <w:hideMark/>
          </w:tcPr>
          <w:p w14:paraId="12C17043"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1,171,192</w:t>
            </w:r>
          </w:p>
        </w:tc>
        <w:tc>
          <w:tcPr>
            <w:tcW w:w="1220" w:type="dxa"/>
            <w:shd w:val="clear" w:color="auto" w:fill="FFFFFF" w:themeFill="background1"/>
            <w:noWrap/>
            <w:vAlign w:val="center"/>
            <w:hideMark/>
          </w:tcPr>
          <w:p w14:paraId="21FC7F47"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705%</w:t>
            </w:r>
          </w:p>
        </w:tc>
        <w:tc>
          <w:tcPr>
            <w:tcW w:w="1220" w:type="dxa"/>
            <w:shd w:val="clear" w:color="auto" w:fill="FFFFFF" w:themeFill="background1"/>
            <w:noWrap/>
            <w:vAlign w:val="center"/>
            <w:hideMark/>
          </w:tcPr>
          <w:p w14:paraId="6EAB7E76"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653%</w:t>
            </w:r>
          </w:p>
        </w:tc>
      </w:tr>
      <w:tr w:rsidR="0076744B" w:rsidRPr="00CF7790" w14:paraId="5E85A6CE" w14:textId="77777777" w:rsidTr="00D654C4">
        <w:trPr>
          <w:trHeight w:val="300"/>
        </w:trPr>
        <w:tc>
          <w:tcPr>
            <w:tcW w:w="2440" w:type="dxa"/>
            <w:shd w:val="clear" w:color="auto" w:fill="FFFFFF" w:themeFill="background1"/>
            <w:vAlign w:val="center"/>
            <w:hideMark/>
          </w:tcPr>
          <w:p w14:paraId="059EA815" w14:textId="278441A1"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LIMA</w:t>
            </w:r>
          </w:p>
        </w:tc>
        <w:tc>
          <w:tcPr>
            <w:tcW w:w="1220" w:type="dxa"/>
            <w:shd w:val="clear" w:color="auto" w:fill="FFFFFF" w:themeFill="background1"/>
            <w:noWrap/>
            <w:vAlign w:val="center"/>
            <w:hideMark/>
          </w:tcPr>
          <w:p w14:paraId="32A2D20C"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2,105,165</w:t>
            </w:r>
          </w:p>
        </w:tc>
        <w:tc>
          <w:tcPr>
            <w:tcW w:w="1220" w:type="dxa"/>
            <w:shd w:val="clear" w:color="auto" w:fill="FFFFFF" w:themeFill="background1"/>
            <w:noWrap/>
            <w:vAlign w:val="center"/>
            <w:hideMark/>
          </w:tcPr>
          <w:p w14:paraId="2B60D47A"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6,708,032</w:t>
            </w:r>
          </w:p>
        </w:tc>
        <w:tc>
          <w:tcPr>
            <w:tcW w:w="1220" w:type="dxa"/>
            <w:shd w:val="clear" w:color="auto" w:fill="FFFFFF" w:themeFill="background1"/>
            <w:noWrap/>
            <w:vAlign w:val="center"/>
            <w:hideMark/>
          </w:tcPr>
          <w:p w14:paraId="3CC4160D"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5,900,578</w:t>
            </w:r>
          </w:p>
        </w:tc>
        <w:tc>
          <w:tcPr>
            <w:tcW w:w="1220" w:type="dxa"/>
            <w:shd w:val="clear" w:color="auto" w:fill="FFFFFF" w:themeFill="background1"/>
            <w:noWrap/>
            <w:vAlign w:val="center"/>
            <w:hideMark/>
          </w:tcPr>
          <w:p w14:paraId="498EC05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219%</w:t>
            </w:r>
          </w:p>
        </w:tc>
        <w:tc>
          <w:tcPr>
            <w:tcW w:w="1220" w:type="dxa"/>
            <w:shd w:val="clear" w:color="auto" w:fill="FFFFFF" w:themeFill="background1"/>
            <w:noWrap/>
            <w:vAlign w:val="center"/>
            <w:hideMark/>
          </w:tcPr>
          <w:p w14:paraId="0476D99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180%</w:t>
            </w:r>
          </w:p>
        </w:tc>
      </w:tr>
      <w:tr w:rsidR="0076744B" w:rsidRPr="00CF7790" w14:paraId="04881C69" w14:textId="77777777" w:rsidTr="00D654C4">
        <w:trPr>
          <w:trHeight w:val="300"/>
        </w:trPr>
        <w:tc>
          <w:tcPr>
            <w:tcW w:w="2440" w:type="dxa"/>
            <w:shd w:val="clear" w:color="auto" w:fill="FFFFFF" w:themeFill="background1"/>
            <w:vAlign w:val="center"/>
            <w:hideMark/>
          </w:tcPr>
          <w:p w14:paraId="485D14D6" w14:textId="17D6935C"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LORETO</w:t>
            </w:r>
          </w:p>
        </w:tc>
        <w:tc>
          <w:tcPr>
            <w:tcW w:w="1220" w:type="dxa"/>
            <w:shd w:val="clear" w:color="auto" w:fill="FFFFFF" w:themeFill="background1"/>
            <w:noWrap/>
            <w:vAlign w:val="center"/>
            <w:hideMark/>
          </w:tcPr>
          <w:p w14:paraId="35F5341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555,875</w:t>
            </w:r>
          </w:p>
        </w:tc>
        <w:tc>
          <w:tcPr>
            <w:tcW w:w="1220" w:type="dxa"/>
            <w:shd w:val="clear" w:color="auto" w:fill="FFFFFF" w:themeFill="background1"/>
            <w:noWrap/>
            <w:vAlign w:val="center"/>
            <w:hideMark/>
          </w:tcPr>
          <w:p w14:paraId="1ADBB10B"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1,120,243</w:t>
            </w:r>
          </w:p>
        </w:tc>
        <w:tc>
          <w:tcPr>
            <w:tcW w:w="1220" w:type="dxa"/>
            <w:shd w:val="clear" w:color="auto" w:fill="FFFFFF" w:themeFill="background1"/>
            <w:noWrap/>
            <w:vAlign w:val="center"/>
            <w:hideMark/>
          </w:tcPr>
          <w:p w14:paraId="7923BB4C"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272,575</w:t>
            </w:r>
          </w:p>
        </w:tc>
        <w:tc>
          <w:tcPr>
            <w:tcW w:w="1220" w:type="dxa"/>
            <w:shd w:val="clear" w:color="auto" w:fill="FFFFFF" w:themeFill="background1"/>
            <w:noWrap/>
            <w:vAlign w:val="center"/>
            <w:hideMark/>
          </w:tcPr>
          <w:p w14:paraId="6AD55DAD"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102%</w:t>
            </w:r>
          </w:p>
        </w:tc>
        <w:tc>
          <w:tcPr>
            <w:tcW w:w="1220" w:type="dxa"/>
            <w:shd w:val="clear" w:color="auto" w:fill="FFFFFF" w:themeFill="background1"/>
            <w:noWrap/>
            <w:vAlign w:val="center"/>
            <w:hideMark/>
          </w:tcPr>
          <w:p w14:paraId="1677947C"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-51%</w:t>
            </w:r>
          </w:p>
        </w:tc>
      </w:tr>
      <w:tr w:rsidR="0076744B" w:rsidRPr="00CF7790" w14:paraId="1D957957" w14:textId="77777777" w:rsidTr="00D654C4">
        <w:trPr>
          <w:trHeight w:val="300"/>
        </w:trPr>
        <w:tc>
          <w:tcPr>
            <w:tcW w:w="2440" w:type="dxa"/>
            <w:shd w:val="clear" w:color="auto" w:fill="FFFFFF" w:themeFill="background1"/>
            <w:vAlign w:val="center"/>
            <w:hideMark/>
          </w:tcPr>
          <w:p w14:paraId="74B6A6EE" w14:textId="1DDFEA0B"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MADRE DE DIOS</w:t>
            </w:r>
          </w:p>
        </w:tc>
        <w:tc>
          <w:tcPr>
            <w:tcW w:w="1220" w:type="dxa"/>
            <w:shd w:val="clear" w:color="auto" w:fill="FFFFFF" w:themeFill="background1"/>
            <w:noWrap/>
            <w:vAlign w:val="center"/>
            <w:hideMark/>
          </w:tcPr>
          <w:p w14:paraId="1E2F00E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14,335</w:t>
            </w:r>
          </w:p>
        </w:tc>
        <w:tc>
          <w:tcPr>
            <w:tcW w:w="1220" w:type="dxa"/>
            <w:shd w:val="clear" w:color="auto" w:fill="FFFFFF" w:themeFill="background1"/>
            <w:noWrap/>
            <w:vAlign w:val="center"/>
            <w:hideMark/>
          </w:tcPr>
          <w:p w14:paraId="0C42954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135,653</w:t>
            </w:r>
          </w:p>
        </w:tc>
        <w:tc>
          <w:tcPr>
            <w:tcW w:w="1220" w:type="dxa"/>
            <w:shd w:val="clear" w:color="auto" w:fill="FFFFFF" w:themeFill="background1"/>
            <w:noWrap/>
            <w:vAlign w:val="center"/>
            <w:hideMark/>
          </w:tcPr>
          <w:p w14:paraId="7165AC31"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32,369</w:t>
            </w:r>
          </w:p>
        </w:tc>
        <w:tc>
          <w:tcPr>
            <w:tcW w:w="1220" w:type="dxa"/>
            <w:shd w:val="clear" w:color="auto" w:fill="FFFFFF" w:themeFill="background1"/>
            <w:noWrap/>
            <w:vAlign w:val="center"/>
            <w:hideMark/>
          </w:tcPr>
          <w:p w14:paraId="648BC71D"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846%</w:t>
            </w:r>
          </w:p>
        </w:tc>
        <w:tc>
          <w:tcPr>
            <w:tcW w:w="1220" w:type="dxa"/>
            <w:shd w:val="clear" w:color="auto" w:fill="FFFFFF" w:themeFill="background1"/>
            <w:noWrap/>
            <w:vAlign w:val="center"/>
            <w:hideMark/>
          </w:tcPr>
          <w:p w14:paraId="6162925A"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126%</w:t>
            </w:r>
          </w:p>
        </w:tc>
      </w:tr>
      <w:tr w:rsidR="0076744B" w:rsidRPr="00CF7790" w14:paraId="22BFF532" w14:textId="77777777" w:rsidTr="00D654C4">
        <w:trPr>
          <w:trHeight w:val="300"/>
        </w:trPr>
        <w:tc>
          <w:tcPr>
            <w:tcW w:w="2440" w:type="dxa"/>
            <w:shd w:val="clear" w:color="auto" w:fill="FFFFFF" w:themeFill="background1"/>
            <w:vAlign w:val="center"/>
            <w:hideMark/>
          </w:tcPr>
          <w:p w14:paraId="0A5CAEA3" w14:textId="3222759F"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MOQUEGUA</w:t>
            </w:r>
          </w:p>
        </w:tc>
        <w:tc>
          <w:tcPr>
            <w:tcW w:w="1220" w:type="dxa"/>
            <w:shd w:val="clear" w:color="auto" w:fill="FFFFFF" w:themeFill="background1"/>
            <w:noWrap/>
            <w:vAlign w:val="center"/>
            <w:hideMark/>
          </w:tcPr>
          <w:p w14:paraId="20A46741"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52,612</w:t>
            </w:r>
          </w:p>
        </w:tc>
        <w:tc>
          <w:tcPr>
            <w:tcW w:w="1220" w:type="dxa"/>
            <w:shd w:val="clear" w:color="auto" w:fill="FFFFFF" w:themeFill="background1"/>
            <w:noWrap/>
            <w:vAlign w:val="center"/>
            <w:hideMark/>
          </w:tcPr>
          <w:p w14:paraId="5E19D96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33,203</w:t>
            </w:r>
          </w:p>
        </w:tc>
        <w:tc>
          <w:tcPr>
            <w:tcW w:w="1220" w:type="dxa"/>
            <w:shd w:val="clear" w:color="auto" w:fill="FFFFFF" w:themeFill="background1"/>
            <w:noWrap/>
            <w:vAlign w:val="center"/>
            <w:hideMark/>
          </w:tcPr>
          <w:p w14:paraId="20B5B4A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1,978</w:t>
            </w:r>
          </w:p>
        </w:tc>
        <w:tc>
          <w:tcPr>
            <w:tcW w:w="1220" w:type="dxa"/>
            <w:shd w:val="clear" w:color="auto" w:fill="FFFFFF" w:themeFill="background1"/>
            <w:noWrap/>
            <w:vAlign w:val="center"/>
            <w:hideMark/>
          </w:tcPr>
          <w:p w14:paraId="75E171DE"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-37%</w:t>
            </w:r>
          </w:p>
        </w:tc>
        <w:tc>
          <w:tcPr>
            <w:tcW w:w="1220" w:type="dxa"/>
            <w:shd w:val="clear" w:color="auto" w:fill="FFFFFF" w:themeFill="background1"/>
            <w:noWrap/>
            <w:vAlign w:val="center"/>
            <w:hideMark/>
          </w:tcPr>
          <w:p w14:paraId="64DA38B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-96%</w:t>
            </w:r>
          </w:p>
        </w:tc>
      </w:tr>
      <w:tr w:rsidR="0076744B" w:rsidRPr="00CF7790" w14:paraId="09A17842" w14:textId="77777777" w:rsidTr="00D654C4">
        <w:trPr>
          <w:trHeight w:val="300"/>
        </w:trPr>
        <w:tc>
          <w:tcPr>
            <w:tcW w:w="2440" w:type="dxa"/>
            <w:shd w:val="clear" w:color="auto" w:fill="FFFFFF" w:themeFill="background1"/>
            <w:vAlign w:val="center"/>
            <w:hideMark/>
          </w:tcPr>
          <w:p w14:paraId="392E31AB" w14:textId="6F07357E"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PASCO</w:t>
            </w:r>
          </w:p>
        </w:tc>
        <w:tc>
          <w:tcPr>
            <w:tcW w:w="1220" w:type="dxa"/>
            <w:shd w:val="clear" w:color="auto" w:fill="FFFFFF" w:themeFill="background1"/>
            <w:noWrap/>
            <w:vAlign w:val="center"/>
            <w:hideMark/>
          </w:tcPr>
          <w:p w14:paraId="3C3430E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46,205</w:t>
            </w:r>
          </w:p>
        </w:tc>
        <w:tc>
          <w:tcPr>
            <w:tcW w:w="1220" w:type="dxa"/>
            <w:shd w:val="clear" w:color="auto" w:fill="FFFFFF" w:themeFill="background1"/>
            <w:noWrap/>
            <w:vAlign w:val="center"/>
            <w:hideMark/>
          </w:tcPr>
          <w:p w14:paraId="39460310"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389,820</w:t>
            </w:r>
          </w:p>
        </w:tc>
        <w:tc>
          <w:tcPr>
            <w:tcW w:w="1220" w:type="dxa"/>
            <w:shd w:val="clear" w:color="auto" w:fill="FFFFFF" w:themeFill="background1"/>
            <w:noWrap/>
            <w:vAlign w:val="center"/>
            <w:hideMark/>
          </w:tcPr>
          <w:p w14:paraId="4DF0462B"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477,728</w:t>
            </w:r>
          </w:p>
        </w:tc>
        <w:tc>
          <w:tcPr>
            <w:tcW w:w="1220" w:type="dxa"/>
            <w:shd w:val="clear" w:color="auto" w:fill="FFFFFF" w:themeFill="background1"/>
            <w:noWrap/>
            <w:vAlign w:val="center"/>
            <w:hideMark/>
          </w:tcPr>
          <w:p w14:paraId="15C0B2CB"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744%</w:t>
            </w:r>
          </w:p>
        </w:tc>
        <w:tc>
          <w:tcPr>
            <w:tcW w:w="1220" w:type="dxa"/>
            <w:shd w:val="clear" w:color="auto" w:fill="FFFFFF" w:themeFill="background1"/>
            <w:noWrap/>
            <w:vAlign w:val="center"/>
            <w:hideMark/>
          </w:tcPr>
          <w:p w14:paraId="1C97E10D"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934%</w:t>
            </w:r>
          </w:p>
        </w:tc>
      </w:tr>
      <w:tr w:rsidR="0076744B" w:rsidRPr="00CF7790" w14:paraId="1A81BCDB" w14:textId="77777777" w:rsidTr="00D654C4">
        <w:trPr>
          <w:trHeight w:val="300"/>
        </w:trPr>
        <w:tc>
          <w:tcPr>
            <w:tcW w:w="2440" w:type="dxa"/>
            <w:shd w:val="clear" w:color="auto" w:fill="FFFFFF" w:themeFill="background1"/>
            <w:vAlign w:val="center"/>
            <w:hideMark/>
          </w:tcPr>
          <w:p w14:paraId="128F28DD" w14:textId="029C0FB9"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PIURA</w:t>
            </w:r>
          </w:p>
        </w:tc>
        <w:tc>
          <w:tcPr>
            <w:tcW w:w="1220" w:type="dxa"/>
            <w:shd w:val="clear" w:color="auto" w:fill="FFFFFF" w:themeFill="background1"/>
            <w:noWrap/>
            <w:vAlign w:val="center"/>
            <w:hideMark/>
          </w:tcPr>
          <w:p w14:paraId="191F5232"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171,457</w:t>
            </w:r>
          </w:p>
        </w:tc>
        <w:tc>
          <w:tcPr>
            <w:tcW w:w="1220" w:type="dxa"/>
            <w:shd w:val="clear" w:color="auto" w:fill="FFFFFF" w:themeFill="background1"/>
            <w:noWrap/>
            <w:vAlign w:val="center"/>
            <w:hideMark/>
          </w:tcPr>
          <w:p w14:paraId="61A10C92"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1,128,784</w:t>
            </w:r>
          </w:p>
        </w:tc>
        <w:tc>
          <w:tcPr>
            <w:tcW w:w="1220" w:type="dxa"/>
            <w:shd w:val="clear" w:color="auto" w:fill="FFFFFF" w:themeFill="background1"/>
            <w:noWrap/>
            <w:vAlign w:val="center"/>
            <w:hideMark/>
          </w:tcPr>
          <w:p w14:paraId="7A6C370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1,303,980</w:t>
            </w:r>
          </w:p>
        </w:tc>
        <w:tc>
          <w:tcPr>
            <w:tcW w:w="1220" w:type="dxa"/>
            <w:shd w:val="clear" w:color="auto" w:fill="FFFFFF" w:themeFill="background1"/>
            <w:noWrap/>
            <w:vAlign w:val="center"/>
            <w:hideMark/>
          </w:tcPr>
          <w:p w14:paraId="2487AFEE"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558%</w:t>
            </w:r>
          </w:p>
        </w:tc>
        <w:tc>
          <w:tcPr>
            <w:tcW w:w="1220" w:type="dxa"/>
            <w:shd w:val="clear" w:color="auto" w:fill="FFFFFF" w:themeFill="background1"/>
            <w:noWrap/>
            <w:vAlign w:val="center"/>
            <w:hideMark/>
          </w:tcPr>
          <w:p w14:paraId="047513B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661%</w:t>
            </w:r>
          </w:p>
        </w:tc>
      </w:tr>
      <w:tr w:rsidR="0076744B" w:rsidRPr="00CF7790" w14:paraId="62B14D8D" w14:textId="77777777" w:rsidTr="00D654C4">
        <w:trPr>
          <w:trHeight w:val="300"/>
        </w:trPr>
        <w:tc>
          <w:tcPr>
            <w:tcW w:w="2440" w:type="dxa"/>
            <w:shd w:val="clear" w:color="auto" w:fill="FFFFFF" w:themeFill="background1"/>
            <w:vAlign w:val="center"/>
            <w:hideMark/>
          </w:tcPr>
          <w:p w14:paraId="7E36D693" w14:textId="3813E3E1"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PUNO</w:t>
            </w:r>
          </w:p>
        </w:tc>
        <w:tc>
          <w:tcPr>
            <w:tcW w:w="1220" w:type="dxa"/>
            <w:shd w:val="clear" w:color="auto" w:fill="FFFFFF" w:themeFill="background1"/>
            <w:noWrap/>
            <w:vAlign w:val="center"/>
            <w:hideMark/>
          </w:tcPr>
          <w:p w14:paraId="18D2CE60"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1,357,793</w:t>
            </w:r>
          </w:p>
        </w:tc>
        <w:tc>
          <w:tcPr>
            <w:tcW w:w="1220" w:type="dxa"/>
            <w:shd w:val="clear" w:color="auto" w:fill="FFFFFF" w:themeFill="background1"/>
            <w:noWrap/>
            <w:vAlign w:val="center"/>
            <w:hideMark/>
          </w:tcPr>
          <w:p w14:paraId="6A43EDD9"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1,744,454</w:t>
            </w:r>
          </w:p>
        </w:tc>
        <w:tc>
          <w:tcPr>
            <w:tcW w:w="1220" w:type="dxa"/>
            <w:shd w:val="clear" w:color="auto" w:fill="FFFFFF" w:themeFill="background1"/>
            <w:noWrap/>
            <w:vAlign w:val="center"/>
            <w:hideMark/>
          </w:tcPr>
          <w:p w14:paraId="4B0887C8"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1,720,359</w:t>
            </w:r>
          </w:p>
        </w:tc>
        <w:tc>
          <w:tcPr>
            <w:tcW w:w="1220" w:type="dxa"/>
            <w:shd w:val="clear" w:color="auto" w:fill="FFFFFF" w:themeFill="background1"/>
            <w:noWrap/>
            <w:vAlign w:val="center"/>
            <w:hideMark/>
          </w:tcPr>
          <w:p w14:paraId="214DD75A"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28%</w:t>
            </w:r>
          </w:p>
        </w:tc>
        <w:tc>
          <w:tcPr>
            <w:tcW w:w="1220" w:type="dxa"/>
            <w:shd w:val="clear" w:color="auto" w:fill="FFFFFF" w:themeFill="background1"/>
            <w:noWrap/>
            <w:vAlign w:val="center"/>
            <w:hideMark/>
          </w:tcPr>
          <w:p w14:paraId="424B6D6A"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27%</w:t>
            </w:r>
          </w:p>
        </w:tc>
      </w:tr>
      <w:tr w:rsidR="0076744B" w:rsidRPr="00CF7790" w14:paraId="093ACE99" w14:textId="77777777" w:rsidTr="00D654C4">
        <w:trPr>
          <w:trHeight w:val="300"/>
        </w:trPr>
        <w:tc>
          <w:tcPr>
            <w:tcW w:w="2440" w:type="dxa"/>
            <w:shd w:val="clear" w:color="auto" w:fill="FFFFFF" w:themeFill="background1"/>
            <w:vAlign w:val="center"/>
            <w:hideMark/>
          </w:tcPr>
          <w:p w14:paraId="46F91674" w14:textId="6E1A0701"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SAN MARTIN</w:t>
            </w:r>
          </w:p>
        </w:tc>
        <w:tc>
          <w:tcPr>
            <w:tcW w:w="1220" w:type="dxa"/>
            <w:shd w:val="clear" w:color="auto" w:fill="FFFFFF" w:themeFill="background1"/>
            <w:noWrap/>
            <w:vAlign w:val="center"/>
            <w:hideMark/>
          </w:tcPr>
          <w:p w14:paraId="5CDF401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161,096</w:t>
            </w:r>
          </w:p>
        </w:tc>
        <w:tc>
          <w:tcPr>
            <w:tcW w:w="1220" w:type="dxa"/>
            <w:shd w:val="clear" w:color="auto" w:fill="FFFFFF" w:themeFill="background1"/>
            <w:noWrap/>
            <w:vAlign w:val="center"/>
            <w:hideMark/>
          </w:tcPr>
          <w:p w14:paraId="7BABD93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2,203,204</w:t>
            </w:r>
          </w:p>
        </w:tc>
        <w:tc>
          <w:tcPr>
            <w:tcW w:w="1220" w:type="dxa"/>
            <w:shd w:val="clear" w:color="auto" w:fill="FFFFFF" w:themeFill="background1"/>
            <w:noWrap/>
            <w:vAlign w:val="center"/>
            <w:hideMark/>
          </w:tcPr>
          <w:p w14:paraId="0ABA4CFC"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2,092,052</w:t>
            </w:r>
          </w:p>
        </w:tc>
        <w:tc>
          <w:tcPr>
            <w:tcW w:w="1220" w:type="dxa"/>
            <w:shd w:val="clear" w:color="auto" w:fill="FFFFFF" w:themeFill="background1"/>
            <w:noWrap/>
            <w:vAlign w:val="center"/>
            <w:hideMark/>
          </w:tcPr>
          <w:p w14:paraId="2828263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1268%</w:t>
            </w:r>
          </w:p>
        </w:tc>
        <w:tc>
          <w:tcPr>
            <w:tcW w:w="1220" w:type="dxa"/>
            <w:shd w:val="clear" w:color="auto" w:fill="FFFFFF" w:themeFill="background1"/>
            <w:noWrap/>
            <w:vAlign w:val="center"/>
            <w:hideMark/>
          </w:tcPr>
          <w:p w14:paraId="274E7DB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1199%</w:t>
            </w:r>
          </w:p>
        </w:tc>
      </w:tr>
      <w:tr w:rsidR="0076744B" w:rsidRPr="00CF7790" w14:paraId="5C89A84F" w14:textId="77777777" w:rsidTr="00D654C4">
        <w:trPr>
          <w:trHeight w:val="300"/>
        </w:trPr>
        <w:tc>
          <w:tcPr>
            <w:tcW w:w="2440" w:type="dxa"/>
            <w:shd w:val="clear" w:color="auto" w:fill="FFFFFF" w:themeFill="background1"/>
            <w:vAlign w:val="center"/>
            <w:hideMark/>
          </w:tcPr>
          <w:p w14:paraId="30147EA0" w14:textId="778BA12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TACNA</w:t>
            </w:r>
          </w:p>
        </w:tc>
        <w:tc>
          <w:tcPr>
            <w:tcW w:w="1220" w:type="dxa"/>
            <w:shd w:val="clear" w:color="auto" w:fill="FFFFFF" w:themeFill="background1"/>
            <w:noWrap/>
            <w:vAlign w:val="center"/>
            <w:hideMark/>
          </w:tcPr>
          <w:p w14:paraId="1D4A9F10"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44,018</w:t>
            </w:r>
          </w:p>
        </w:tc>
        <w:tc>
          <w:tcPr>
            <w:tcW w:w="1220" w:type="dxa"/>
            <w:shd w:val="clear" w:color="auto" w:fill="FFFFFF" w:themeFill="background1"/>
            <w:noWrap/>
            <w:vAlign w:val="center"/>
            <w:hideMark/>
          </w:tcPr>
          <w:p w14:paraId="52C4E19B"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43,692</w:t>
            </w:r>
          </w:p>
        </w:tc>
        <w:tc>
          <w:tcPr>
            <w:tcW w:w="1220" w:type="dxa"/>
            <w:shd w:val="clear" w:color="auto" w:fill="FFFFFF" w:themeFill="background1"/>
            <w:noWrap/>
            <w:vAlign w:val="center"/>
            <w:hideMark/>
          </w:tcPr>
          <w:p w14:paraId="660FEB5F"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18,243</w:t>
            </w:r>
          </w:p>
        </w:tc>
        <w:tc>
          <w:tcPr>
            <w:tcW w:w="1220" w:type="dxa"/>
            <w:shd w:val="clear" w:color="auto" w:fill="FFFFFF" w:themeFill="background1"/>
            <w:noWrap/>
            <w:vAlign w:val="center"/>
            <w:hideMark/>
          </w:tcPr>
          <w:p w14:paraId="0BC58337"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w:t>
            </w:r>
          </w:p>
        </w:tc>
        <w:tc>
          <w:tcPr>
            <w:tcW w:w="1220" w:type="dxa"/>
            <w:shd w:val="clear" w:color="auto" w:fill="FFFFFF" w:themeFill="background1"/>
            <w:noWrap/>
            <w:vAlign w:val="center"/>
            <w:hideMark/>
          </w:tcPr>
          <w:p w14:paraId="33479771"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-59%</w:t>
            </w:r>
          </w:p>
        </w:tc>
      </w:tr>
      <w:tr w:rsidR="0076744B" w:rsidRPr="00CF7790" w14:paraId="2D6AD593" w14:textId="77777777" w:rsidTr="00D654C4">
        <w:trPr>
          <w:trHeight w:val="300"/>
        </w:trPr>
        <w:tc>
          <w:tcPr>
            <w:tcW w:w="2440" w:type="dxa"/>
            <w:shd w:val="clear" w:color="auto" w:fill="FFFFFF" w:themeFill="background1"/>
            <w:vAlign w:val="center"/>
            <w:hideMark/>
          </w:tcPr>
          <w:p w14:paraId="280ACBDF" w14:textId="42B255AC"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TUMBES</w:t>
            </w:r>
          </w:p>
        </w:tc>
        <w:tc>
          <w:tcPr>
            <w:tcW w:w="1220" w:type="dxa"/>
            <w:shd w:val="clear" w:color="auto" w:fill="FFFFFF" w:themeFill="background1"/>
            <w:noWrap/>
            <w:vAlign w:val="center"/>
            <w:hideMark/>
          </w:tcPr>
          <w:p w14:paraId="413BF670"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1,107</w:t>
            </w:r>
          </w:p>
        </w:tc>
        <w:tc>
          <w:tcPr>
            <w:tcW w:w="1220" w:type="dxa"/>
            <w:shd w:val="clear" w:color="auto" w:fill="FFFFFF" w:themeFill="background1"/>
            <w:noWrap/>
            <w:vAlign w:val="center"/>
            <w:hideMark/>
          </w:tcPr>
          <w:p w14:paraId="346A0B04"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15,642</w:t>
            </w:r>
          </w:p>
        </w:tc>
        <w:tc>
          <w:tcPr>
            <w:tcW w:w="1220" w:type="dxa"/>
            <w:shd w:val="clear" w:color="auto" w:fill="FFFFFF" w:themeFill="background1"/>
            <w:noWrap/>
            <w:vAlign w:val="center"/>
            <w:hideMark/>
          </w:tcPr>
          <w:p w14:paraId="63357A9B"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5,200</w:t>
            </w:r>
          </w:p>
        </w:tc>
        <w:tc>
          <w:tcPr>
            <w:tcW w:w="1220" w:type="dxa"/>
            <w:shd w:val="clear" w:color="auto" w:fill="FFFFFF" w:themeFill="background1"/>
            <w:noWrap/>
            <w:vAlign w:val="center"/>
            <w:hideMark/>
          </w:tcPr>
          <w:p w14:paraId="15AD8A91"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1313%</w:t>
            </w:r>
          </w:p>
        </w:tc>
        <w:tc>
          <w:tcPr>
            <w:tcW w:w="1220" w:type="dxa"/>
            <w:shd w:val="clear" w:color="auto" w:fill="FFFFFF" w:themeFill="background1"/>
            <w:noWrap/>
            <w:vAlign w:val="center"/>
            <w:hideMark/>
          </w:tcPr>
          <w:p w14:paraId="3DA992A0"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370%</w:t>
            </w:r>
          </w:p>
        </w:tc>
      </w:tr>
      <w:tr w:rsidR="0076744B" w:rsidRPr="00CF7790" w14:paraId="4878CBA6" w14:textId="77777777" w:rsidTr="00D654C4">
        <w:trPr>
          <w:trHeight w:val="300"/>
        </w:trPr>
        <w:tc>
          <w:tcPr>
            <w:tcW w:w="2440" w:type="dxa"/>
            <w:shd w:val="clear" w:color="auto" w:fill="FFFFFF" w:themeFill="background1"/>
            <w:vAlign w:val="center"/>
            <w:hideMark/>
          </w:tcPr>
          <w:p w14:paraId="76902CE2" w14:textId="4E8D6EBE"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UCAYALI</w:t>
            </w:r>
          </w:p>
        </w:tc>
        <w:tc>
          <w:tcPr>
            <w:tcW w:w="1220" w:type="dxa"/>
            <w:shd w:val="clear" w:color="auto" w:fill="FFFFFF" w:themeFill="background1"/>
            <w:noWrap/>
            <w:vAlign w:val="center"/>
            <w:hideMark/>
          </w:tcPr>
          <w:p w14:paraId="1416DB0E"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134,670</w:t>
            </w:r>
          </w:p>
        </w:tc>
        <w:tc>
          <w:tcPr>
            <w:tcW w:w="1220" w:type="dxa"/>
            <w:shd w:val="clear" w:color="auto" w:fill="FFFFFF" w:themeFill="background1"/>
            <w:noWrap/>
            <w:vAlign w:val="center"/>
            <w:hideMark/>
          </w:tcPr>
          <w:p w14:paraId="4BDE72CA"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176,725</w:t>
            </w:r>
          </w:p>
        </w:tc>
        <w:tc>
          <w:tcPr>
            <w:tcW w:w="1220" w:type="dxa"/>
            <w:shd w:val="clear" w:color="auto" w:fill="FFFFFF" w:themeFill="background1"/>
            <w:noWrap/>
            <w:vAlign w:val="center"/>
            <w:hideMark/>
          </w:tcPr>
          <w:p w14:paraId="2FE68CE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339,390</w:t>
            </w:r>
          </w:p>
        </w:tc>
        <w:tc>
          <w:tcPr>
            <w:tcW w:w="1220" w:type="dxa"/>
            <w:shd w:val="clear" w:color="auto" w:fill="FFFFFF" w:themeFill="background1"/>
            <w:noWrap/>
            <w:vAlign w:val="center"/>
            <w:hideMark/>
          </w:tcPr>
          <w:p w14:paraId="3AB7FB0B"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31%</w:t>
            </w:r>
          </w:p>
        </w:tc>
        <w:tc>
          <w:tcPr>
            <w:tcW w:w="1220" w:type="dxa"/>
            <w:shd w:val="clear" w:color="auto" w:fill="FFFFFF" w:themeFill="background1"/>
            <w:noWrap/>
            <w:vAlign w:val="center"/>
            <w:hideMark/>
          </w:tcPr>
          <w:p w14:paraId="3F26A445" w14:textId="77777777" w:rsidR="0076744B" w:rsidRPr="00CF7790" w:rsidRDefault="0076744B"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152%</w:t>
            </w:r>
          </w:p>
        </w:tc>
      </w:tr>
    </w:tbl>
    <w:p w14:paraId="1367B7C3" w14:textId="77777777" w:rsidR="00805456" w:rsidRPr="00CF7790" w:rsidRDefault="00805456" w:rsidP="0076744B">
      <w:pPr>
        <w:rPr>
          <w:rFonts w:ascii="Open Sans Light" w:eastAsia="Open Sans Light" w:hAnsi="Open Sans Light" w:cs="Open Sans Light"/>
          <w:sz w:val="24"/>
          <w:szCs w:val="24"/>
        </w:rPr>
      </w:pPr>
    </w:p>
    <w:p w14:paraId="4CBEF359" w14:textId="0DA38B76" w:rsidR="002A63C8" w:rsidRDefault="002A63C8"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20</w:t>
      </w:r>
      <w:r w:rsidR="00354646">
        <w:rPr>
          <w:noProof/>
        </w:rPr>
        <w:fldChar w:fldCharType="end"/>
      </w:r>
    </w:p>
    <w:tbl>
      <w:tblPr>
        <w:tblW w:w="6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40"/>
        <w:gridCol w:w="1220"/>
        <w:gridCol w:w="1220"/>
        <w:gridCol w:w="1220"/>
      </w:tblGrid>
      <w:tr w:rsidR="00E00D59" w:rsidRPr="00CF7790" w14:paraId="125CC7DA" w14:textId="77777777" w:rsidTr="00D654C4">
        <w:trPr>
          <w:trHeight w:val="300"/>
          <w:tblHeader/>
          <w:jc w:val="center"/>
        </w:trPr>
        <w:tc>
          <w:tcPr>
            <w:tcW w:w="2440" w:type="dxa"/>
            <w:shd w:val="clear" w:color="auto" w:fill="000000" w:themeFill="text1"/>
            <w:vAlign w:val="center"/>
          </w:tcPr>
          <w:p w14:paraId="5D0C32AA"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b/>
                <w:bCs/>
                <w:color w:val="FFFFFF"/>
                <w:sz w:val="18"/>
                <w:szCs w:val="18"/>
                <w:lang w:val="es-PE"/>
              </w:rPr>
              <w:t>CATEGORIA</w:t>
            </w:r>
          </w:p>
        </w:tc>
        <w:tc>
          <w:tcPr>
            <w:tcW w:w="1220" w:type="dxa"/>
            <w:shd w:val="clear" w:color="auto" w:fill="000000" w:themeFill="text1"/>
            <w:noWrap/>
            <w:vAlign w:val="center"/>
          </w:tcPr>
          <w:p w14:paraId="38008F6E"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b/>
                <w:bCs/>
                <w:color w:val="FFFFFF"/>
                <w:sz w:val="18"/>
                <w:szCs w:val="18"/>
                <w:lang w:val="es-PE"/>
              </w:rPr>
              <w:t>2012</w:t>
            </w:r>
          </w:p>
        </w:tc>
        <w:tc>
          <w:tcPr>
            <w:tcW w:w="1220" w:type="dxa"/>
            <w:shd w:val="clear" w:color="auto" w:fill="000000" w:themeFill="text1"/>
            <w:noWrap/>
            <w:vAlign w:val="center"/>
          </w:tcPr>
          <w:p w14:paraId="088B497A"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b/>
                <w:bCs/>
                <w:color w:val="FFFFFF"/>
                <w:sz w:val="18"/>
                <w:szCs w:val="18"/>
                <w:lang w:val="es-PE"/>
              </w:rPr>
              <w:t>2017</w:t>
            </w:r>
          </w:p>
        </w:tc>
        <w:tc>
          <w:tcPr>
            <w:tcW w:w="1220" w:type="dxa"/>
            <w:shd w:val="clear" w:color="auto" w:fill="000000" w:themeFill="text1"/>
            <w:noWrap/>
            <w:vAlign w:val="center"/>
          </w:tcPr>
          <w:p w14:paraId="628E90FB"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b/>
                <w:bCs/>
                <w:color w:val="FFFFFF"/>
                <w:sz w:val="18"/>
                <w:szCs w:val="18"/>
                <w:lang w:val="es-PE"/>
              </w:rPr>
              <w:t>% VAR 2012-2017</w:t>
            </w:r>
          </w:p>
        </w:tc>
      </w:tr>
      <w:tr w:rsidR="00E00D59" w:rsidRPr="00CF7790" w14:paraId="67E17D87" w14:textId="77777777" w:rsidTr="00D654C4">
        <w:trPr>
          <w:trHeight w:val="300"/>
          <w:jc w:val="center"/>
        </w:trPr>
        <w:tc>
          <w:tcPr>
            <w:tcW w:w="2440" w:type="dxa"/>
            <w:shd w:val="clear" w:color="auto" w:fill="FFFFFF" w:themeFill="background1"/>
            <w:vAlign w:val="center"/>
            <w:hideMark/>
          </w:tcPr>
          <w:p w14:paraId="0C6BA16F" w14:textId="77777777" w:rsidR="00E00D59" w:rsidRPr="00CF7790" w:rsidRDefault="00E00D59" w:rsidP="00D654C4">
            <w:pPr>
              <w:spacing w:after="0" w:line="240" w:lineRule="auto"/>
              <w:jc w:val="center"/>
              <w:rPr>
                <w:rFonts w:ascii="Open Sans Light" w:eastAsia="Times New Roman" w:hAnsi="Open Sans Light" w:cs="Open Sans Light"/>
                <w:b/>
                <w:bCs/>
                <w:color w:val="000000"/>
                <w:sz w:val="18"/>
                <w:szCs w:val="18"/>
                <w:lang w:val="es-PE"/>
              </w:rPr>
            </w:pPr>
            <w:r w:rsidRPr="00CF7790">
              <w:rPr>
                <w:rFonts w:ascii="Open Sans Light" w:eastAsia="Times New Roman" w:hAnsi="Open Sans Light" w:cs="Open Sans Light"/>
                <w:b/>
                <w:bCs/>
                <w:color w:val="000000"/>
                <w:sz w:val="18"/>
                <w:szCs w:val="18"/>
                <w:lang w:val="es-PE"/>
              </w:rPr>
              <w:t>NACIONAL</w:t>
            </w:r>
          </w:p>
        </w:tc>
        <w:tc>
          <w:tcPr>
            <w:tcW w:w="1220" w:type="dxa"/>
            <w:shd w:val="clear" w:color="auto" w:fill="FFFFFF" w:themeFill="background1"/>
            <w:noWrap/>
            <w:vAlign w:val="center"/>
            <w:hideMark/>
          </w:tcPr>
          <w:p w14:paraId="181CCB63" w14:textId="77777777" w:rsidR="00E00D59" w:rsidRPr="00CF7790" w:rsidRDefault="00E00D59" w:rsidP="00D654C4">
            <w:pPr>
              <w:spacing w:after="0" w:line="240" w:lineRule="auto"/>
              <w:jc w:val="center"/>
              <w:rPr>
                <w:rFonts w:ascii="Open Sans Light" w:eastAsia="Times New Roman" w:hAnsi="Open Sans Light" w:cs="Open Sans Light"/>
                <w:b/>
                <w:bCs/>
                <w:color w:val="000000"/>
                <w:sz w:val="18"/>
                <w:szCs w:val="18"/>
                <w:lang w:val="es-PE"/>
              </w:rPr>
            </w:pPr>
            <w:r w:rsidRPr="00CF7790">
              <w:rPr>
                <w:rFonts w:ascii="Open Sans Light" w:eastAsia="Times New Roman" w:hAnsi="Open Sans Light" w:cs="Open Sans Light"/>
                <w:b/>
                <w:bCs/>
                <w:color w:val="000000"/>
                <w:sz w:val="18"/>
                <w:szCs w:val="18"/>
                <w:lang w:val="es-PE"/>
              </w:rPr>
              <w:t>6,412,515</w:t>
            </w:r>
          </w:p>
        </w:tc>
        <w:tc>
          <w:tcPr>
            <w:tcW w:w="1220" w:type="dxa"/>
            <w:shd w:val="clear" w:color="auto" w:fill="FFFFFF" w:themeFill="background1"/>
            <w:noWrap/>
            <w:vAlign w:val="center"/>
            <w:hideMark/>
          </w:tcPr>
          <w:p w14:paraId="23B340F3" w14:textId="77777777" w:rsidR="00E00D59" w:rsidRPr="00CF7790" w:rsidRDefault="00E00D59" w:rsidP="00D654C4">
            <w:pPr>
              <w:spacing w:after="0" w:line="240" w:lineRule="auto"/>
              <w:jc w:val="center"/>
              <w:rPr>
                <w:rFonts w:ascii="Open Sans Light" w:eastAsia="Times New Roman" w:hAnsi="Open Sans Light" w:cs="Open Sans Light"/>
                <w:b/>
                <w:bCs/>
                <w:color w:val="000000"/>
                <w:sz w:val="18"/>
                <w:szCs w:val="18"/>
                <w:lang w:val="es-PE"/>
              </w:rPr>
            </w:pPr>
            <w:r w:rsidRPr="00CF7790">
              <w:rPr>
                <w:rFonts w:ascii="Open Sans Light" w:eastAsia="Times New Roman" w:hAnsi="Open Sans Light" w:cs="Open Sans Light"/>
                <w:b/>
                <w:bCs/>
                <w:color w:val="000000"/>
                <w:sz w:val="18"/>
                <w:szCs w:val="18"/>
                <w:lang w:val="es-PE"/>
              </w:rPr>
              <w:t>8,565,421</w:t>
            </w:r>
          </w:p>
        </w:tc>
        <w:tc>
          <w:tcPr>
            <w:tcW w:w="1220" w:type="dxa"/>
            <w:shd w:val="clear" w:color="auto" w:fill="FFFFFF" w:themeFill="background1"/>
            <w:noWrap/>
            <w:vAlign w:val="center"/>
            <w:hideMark/>
          </w:tcPr>
          <w:p w14:paraId="2ECF75A8" w14:textId="77777777" w:rsidR="00E00D59" w:rsidRPr="00CF7790" w:rsidRDefault="00E00D59" w:rsidP="00D654C4">
            <w:pPr>
              <w:spacing w:after="0" w:line="240" w:lineRule="auto"/>
              <w:jc w:val="center"/>
              <w:rPr>
                <w:rFonts w:ascii="Open Sans Light" w:eastAsia="Times New Roman" w:hAnsi="Open Sans Light" w:cs="Open Sans Light"/>
                <w:b/>
                <w:bCs/>
                <w:color w:val="000000"/>
                <w:sz w:val="18"/>
                <w:szCs w:val="18"/>
                <w:lang w:val="es-PE"/>
              </w:rPr>
            </w:pPr>
            <w:r w:rsidRPr="00CF7790">
              <w:rPr>
                <w:rFonts w:ascii="Open Sans Light" w:eastAsia="Times New Roman" w:hAnsi="Open Sans Light" w:cs="Open Sans Light"/>
                <w:b/>
                <w:bCs/>
                <w:color w:val="000000"/>
                <w:sz w:val="18"/>
                <w:szCs w:val="18"/>
                <w:lang w:val="es-PE"/>
              </w:rPr>
              <w:t>34%</w:t>
            </w:r>
          </w:p>
        </w:tc>
      </w:tr>
      <w:tr w:rsidR="00E00D59" w:rsidRPr="00CF7790" w14:paraId="1A60715E" w14:textId="77777777" w:rsidTr="00D654C4">
        <w:trPr>
          <w:trHeight w:val="300"/>
          <w:jc w:val="center"/>
        </w:trPr>
        <w:tc>
          <w:tcPr>
            <w:tcW w:w="2440" w:type="dxa"/>
            <w:shd w:val="clear" w:color="auto" w:fill="FFFFFF" w:themeFill="background1"/>
            <w:vAlign w:val="center"/>
            <w:hideMark/>
          </w:tcPr>
          <w:p w14:paraId="50999988" w14:textId="22DE3EE6"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AMAZONAS</w:t>
            </w:r>
          </w:p>
        </w:tc>
        <w:tc>
          <w:tcPr>
            <w:tcW w:w="1220" w:type="dxa"/>
            <w:shd w:val="clear" w:color="auto" w:fill="FFFFFF" w:themeFill="background1"/>
            <w:noWrap/>
            <w:vAlign w:val="center"/>
            <w:hideMark/>
          </w:tcPr>
          <w:p w14:paraId="2FA3C90E"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2,622</w:t>
            </w:r>
          </w:p>
        </w:tc>
        <w:tc>
          <w:tcPr>
            <w:tcW w:w="1220" w:type="dxa"/>
            <w:shd w:val="clear" w:color="auto" w:fill="FFFFFF" w:themeFill="background1"/>
            <w:noWrap/>
            <w:vAlign w:val="center"/>
            <w:hideMark/>
          </w:tcPr>
          <w:p w14:paraId="3964DEF9"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18,815</w:t>
            </w:r>
          </w:p>
        </w:tc>
        <w:tc>
          <w:tcPr>
            <w:tcW w:w="1220" w:type="dxa"/>
            <w:shd w:val="clear" w:color="auto" w:fill="FFFFFF" w:themeFill="background1"/>
            <w:noWrap/>
            <w:vAlign w:val="center"/>
            <w:hideMark/>
          </w:tcPr>
          <w:p w14:paraId="6DCADBD5"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618%</w:t>
            </w:r>
          </w:p>
        </w:tc>
      </w:tr>
      <w:tr w:rsidR="00E00D59" w:rsidRPr="00CF7790" w14:paraId="018FF39B" w14:textId="77777777" w:rsidTr="00D654C4">
        <w:trPr>
          <w:trHeight w:val="300"/>
          <w:jc w:val="center"/>
        </w:trPr>
        <w:tc>
          <w:tcPr>
            <w:tcW w:w="2440" w:type="dxa"/>
            <w:shd w:val="clear" w:color="auto" w:fill="FFFFFF" w:themeFill="background1"/>
            <w:vAlign w:val="center"/>
            <w:hideMark/>
          </w:tcPr>
          <w:p w14:paraId="00E9E7B6" w14:textId="431FC928"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ANCASH</w:t>
            </w:r>
          </w:p>
        </w:tc>
        <w:tc>
          <w:tcPr>
            <w:tcW w:w="1220" w:type="dxa"/>
            <w:shd w:val="clear" w:color="auto" w:fill="FFFFFF" w:themeFill="background1"/>
            <w:noWrap/>
            <w:vAlign w:val="center"/>
            <w:hideMark/>
          </w:tcPr>
          <w:p w14:paraId="286AEC50"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191,369</w:t>
            </w:r>
          </w:p>
        </w:tc>
        <w:tc>
          <w:tcPr>
            <w:tcW w:w="1220" w:type="dxa"/>
            <w:shd w:val="clear" w:color="auto" w:fill="FFFFFF" w:themeFill="background1"/>
            <w:noWrap/>
            <w:vAlign w:val="center"/>
            <w:hideMark/>
          </w:tcPr>
          <w:p w14:paraId="28F87F93"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322,443</w:t>
            </w:r>
          </w:p>
        </w:tc>
        <w:tc>
          <w:tcPr>
            <w:tcW w:w="1220" w:type="dxa"/>
            <w:shd w:val="clear" w:color="auto" w:fill="FFFFFF" w:themeFill="background1"/>
            <w:noWrap/>
            <w:vAlign w:val="center"/>
            <w:hideMark/>
          </w:tcPr>
          <w:p w14:paraId="6042E675"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68%</w:t>
            </w:r>
          </w:p>
        </w:tc>
      </w:tr>
      <w:tr w:rsidR="00E00D59" w:rsidRPr="00CF7790" w14:paraId="27D75ECF" w14:textId="77777777" w:rsidTr="00D654C4">
        <w:trPr>
          <w:trHeight w:val="300"/>
          <w:jc w:val="center"/>
        </w:trPr>
        <w:tc>
          <w:tcPr>
            <w:tcW w:w="2440" w:type="dxa"/>
            <w:shd w:val="clear" w:color="auto" w:fill="FFFFFF" w:themeFill="background1"/>
            <w:vAlign w:val="center"/>
            <w:hideMark/>
          </w:tcPr>
          <w:p w14:paraId="0A813C0E" w14:textId="3574E7F0"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APURIMAC</w:t>
            </w:r>
          </w:p>
        </w:tc>
        <w:tc>
          <w:tcPr>
            <w:tcW w:w="1220" w:type="dxa"/>
            <w:shd w:val="clear" w:color="auto" w:fill="FFFFFF" w:themeFill="background1"/>
            <w:noWrap/>
            <w:vAlign w:val="center"/>
            <w:hideMark/>
          </w:tcPr>
          <w:p w14:paraId="1AE9A827"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292,800</w:t>
            </w:r>
          </w:p>
        </w:tc>
        <w:tc>
          <w:tcPr>
            <w:tcW w:w="1220" w:type="dxa"/>
            <w:shd w:val="clear" w:color="auto" w:fill="FFFFFF" w:themeFill="background1"/>
            <w:noWrap/>
            <w:vAlign w:val="center"/>
            <w:hideMark/>
          </w:tcPr>
          <w:p w14:paraId="10E48E97"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544,552</w:t>
            </w:r>
          </w:p>
        </w:tc>
        <w:tc>
          <w:tcPr>
            <w:tcW w:w="1220" w:type="dxa"/>
            <w:shd w:val="clear" w:color="auto" w:fill="FFFFFF" w:themeFill="background1"/>
            <w:noWrap/>
            <w:vAlign w:val="center"/>
            <w:hideMark/>
          </w:tcPr>
          <w:p w14:paraId="2B3EEB58"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86%</w:t>
            </w:r>
          </w:p>
        </w:tc>
      </w:tr>
      <w:tr w:rsidR="00E00D59" w:rsidRPr="00CF7790" w14:paraId="7B1F8C90" w14:textId="77777777" w:rsidTr="00D654C4">
        <w:trPr>
          <w:trHeight w:val="300"/>
          <w:jc w:val="center"/>
        </w:trPr>
        <w:tc>
          <w:tcPr>
            <w:tcW w:w="2440" w:type="dxa"/>
            <w:shd w:val="clear" w:color="auto" w:fill="FFFFFF" w:themeFill="background1"/>
            <w:vAlign w:val="center"/>
            <w:hideMark/>
          </w:tcPr>
          <w:p w14:paraId="0C5CE024" w14:textId="60F2A4F2"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AREQUIPA</w:t>
            </w:r>
          </w:p>
        </w:tc>
        <w:tc>
          <w:tcPr>
            <w:tcW w:w="1220" w:type="dxa"/>
            <w:shd w:val="clear" w:color="auto" w:fill="FFFFFF" w:themeFill="background1"/>
            <w:noWrap/>
            <w:vAlign w:val="center"/>
            <w:hideMark/>
          </w:tcPr>
          <w:p w14:paraId="620F71FF"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1,459,943</w:t>
            </w:r>
          </w:p>
        </w:tc>
        <w:tc>
          <w:tcPr>
            <w:tcW w:w="1220" w:type="dxa"/>
            <w:shd w:val="clear" w:color="auto" w:fill="FFFFFF" w:themeFill="background1"/>
            <w:noWrap/>
            <w:vAlign w:val="center"/>
            <w:hideMark/>
          </w:tcPr>
          <w:p w14:paraId="05952C94"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206,501</w:t>
            </w:r>
          </w:p>
        </w:tc>
        <w:tc>
          <w:tcPr>
            <w:tcW w:w="1220" w:type="dxa"/>
            <w:shd w:val="clear" w:color="auto" w:fill="FFFFFF" w:themeFill="background1"/>
            <w:noWrap/>
            <w:vAlign w:val="center"/>
            <w:hideMark/>
          </w:tcPr>
          <w:p w14:paraId="46DBD8F8"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-86%</w:t>
            </w:r>
          </w:p>
        </w:tc>
      </w:tr>
      <w:tr w:rsidR="00E00D59" w:rsidRPr="00CF7790" w14:paraId="2CA53A7F" w14:textId="77777777" w:rsidTr="00D654C4">
        <w:trPr>
          <w:trHeight w:val="300"/>
          <w:jc w:val="center"/>
        </w:trPr>
        <w:tc>
          <w:tcPr>
            <w:tcW w:w="2440" w:type="dxa"/>
            <w:shd w:val="clear" w:color="auto" w:fill="FFFFFF" w:themeFill="background1"/>
            <w:vAlign w:val="center"/>
            <w:hideMark/>
          </w:tcPr>
          <w:p w14:paraId="046074CA" w14:textId="57AED20C"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AYACUCHO</w:t>
            </w:r>
          </w:p>
        </w:tc>
        <w:tc>
          <w:tcPr>
            <w:tcW w:w="1220" w:type="dxa"/>
            <w:shd w:val="clear" w:color="auto" w:fill="FFFFFF" w:themeFill="background1"/>
            <w:noWrap/>
            <w:vAlign w:val="center"/>
            <w:hideMark/>
          </w:tcPr>
          <w:p w14:paraId="036D2242"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219,305</w:t>
            </w:r>
          </w:p>
        </w:tc>
        <w:tc>
          <w:tcPr>
            <w:tcW w:w="1220" w:type="dxa"/>
            <w:shd w:val="clear" w:color="auto" w:fill="FFFFFF" w:themeFill="background1"/>
            <w:noWrap/>
            <w:vAlign w:val="center"/>
            <w:hideMark/>
          </w:tcPr>
          <w:p w14:paraId="0CC7EC49"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296,475</w:t>
            </w:r>
          </w:p>
        </w:tc>
        <w:tc>
          <w:tcPr>
            <w:tcW w:w="1220" w:type="dxa"/>
            <w:shd w:val="clear" w:color="auto" w:fill="FFFFFF" w:themeFill="background1"/>
            <w:noWrap/>
            <w:vAlign w:val="center"/>
            <w:hideMark/>
          </w:tcPr>
          <w:p w14:paraId="6CC069BC"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35%</w:t>
            </w:r>
          </w:p>
        </w:tc>
      </w:tr>
      <w:tr w:rsidR="00E00D59" w:rsidRPr="00CF7790" w14:paraId="2CA037BB" w14:textId="77777777" w:rsidTr="00D654C4">
        <w:trPr>
          <w:trHeight w:val="300"/>
          <w:jc w:val="center"/>
        </w:trPr>
        <w:tc>
          <w:tcPr>
            <w:tcW w:w="2440" w:type="dxa"/>
            <w:shd w:val="clear" w:color="auto" w:fill="FFFFFF" w:themeFill="background1"/>
            <w:vAlign w:val="center"/>
            <w:hideMark/>
          </w:tcPr>
          <w:p w14:paraId="59C1F4E0" w14:textId="68BCF30B"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CAJAMARCA</w:t>
            </w:r>
          </w:p>
        </w:tc>
        <w:tc>
          <w:tcPr>
            <w:tcW w:w="1220" w:type="dxa"/>
            <w:shd w:val="clear" w:color="auto" w:fill="FFFFFF" w:themeFill="background1"/>
            <w:noWrap/>
            <w:vAlign w:val="center"/>
            <w:hideMark/>
          </w:tcPr>
          <w:p w14:paraId="00DC0DF2"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284,155</w:t>
            </w:r>
          </w:p>
        </w:tc>
        <w:tc>
          <w:tcPr>
            <w:tcW w:w="1220" w:type="dxa"/>
            <w:shd w:val="clear" w:color="auto" w:fill="FFFFFF" w:themeFill="background1"/>
            <w:noWrap/>
            <w:vAlign w:val="center"/>
            <w:hideMark/>
          </w:tcPr>
          <w:p w14:paraId="150FA4DB"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1,055,124</w:t>
            </w:r>
          </w:p>
        </w:tc>
        <w:tc>
          <w:tcPr>
            <w:tcW w:w="1220" w:type="dxa"/>
            <w:shd w:val="clear" w:color="auto" w:fill="FFFFFF" w:themeFill="background1"/>
            <w:noWrap/>
            <w:vAlign w:val="center"/>
            <w:hideMark/>
          </w:tcPr>
          <w:p w14:paraId="143411EC"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271%</w:t>
            </w:r>
          </w:p>
        </w:tc>
      </w:tr>
      <w:tr w:rsidR="00E00D59" w:rsidRPr="00CF7790" w14:paraId="638A29A7" w14:textId="77777777" w:rsidTr="00D654C4">
        <w:trPr>
          <w:trHeight w:val="300"/>
          <w:jc w:val="center"/>
        </w:trPr>
        <w:tc>
          <w:tcPr>
            <w:tcW w:w="2440" w:type="dxa"/>
            <w:shd w:val="clear" w:color="auto" w:fill="FFFFFF" w:themeFill="background1"/>
            <w:vAlign w:val="center"/>
            <w:hideMark/>
          </w:tcPr>
          <w:p w14:paraId="1986CA7A"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CALLAO</w:t>
            </w:r>
          </w:p>
        </w:tc>
        <w:tc>
          <w:tcPr>
            <w:tcW w:w="1220" w:type="dxa"/>
            <w:shd w:val="clear" w:color="auto" w:fill="FFFFFF" w:themeFill="background1"/>
            <w:noWrap/>
            <w:vAlign w:val="center"/>
            <w:hideMark/>
          </w:tcPr>
          <w:p w14:paraId="63127BBA"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176,971</w:t>
            </w:r>
          </w:p>
        </w:tc>
        <w:tc>
          <w:tcPr>
            <w:tcW w:w="1220" w:type="dxa"/>
            <w:shd w:val="clear" w:color="auto" w:fill="FFFFFF" w:themeFill="background1"/>
            <w:noWrap/>
            <w:vAlign w:val="center"/>
            <w:hideMark/>
          </w:tcPr>
          <w:p w14:paraId="5721891D"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1,995</w:t>
            </w:r>
          </w:p>
        </w:tc>
        <w:tc>
          <w:tcPr>
            <w:tcW w:w="1220" w:type="dxa"/>
            <w:shd w:val="clear" w:color="auto" w:fill="FFFFFF" w:themeFill="background1"/>
            <w:noWrap/>
            <w:vAlign w:val="center"/>
            <w:hideMark/>
          </w:tcPr>
          <w:p w14:paraId="3C960D54"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-99%</w:t>
            </w:r>
          </w:p>
        </w:tc>
      </w:tr>
      <w:tr w:rsidR="00E00D59" w:rsidRPr="00CF7790" w14:paraId="53161DE0" w14:textId="77777777" w:rsidTr="00D654C4">
        <w:trPr>
          <w:trHeight w:val="300"/>
          <w:jc w:val="center"/>
        </w:trPr>
        <w:tc>
          <w:tcPr>
            <w:tcW w:w="2440" w:type="dxa"/>
            <w:shd w:val="clear" w:color="auto" w:fill="FFFFFF" w:themeFill="background1"/>
            <w:vAlign w:val="center"/>
            <w:hideMark/>
          </w:tcPr>
          <w:p w14:paraId="466CD937" w14:textId="33C4E149"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CUSCO</w:t>
            </w:r>
          </w:p>
        </w:tc>
        <w:tc>
          <w:tcPr>
            <w:tcW w:w="1220" w:type="dxa"/>
            <w:shd w:val="clear" w:color="auto" w:fill="FFFFFF" w:themeFill="background1"/>
            <w:noWrap/>
            <w:vAlign w:val="center"/>
            <w:hideMark/>
          </w:tcPr>
          <w:p w14:paraId="58D5DBE2"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240,506</w:t>
            </w:r>
          </w:p>
        </w:tc>
        <w:tc>
          <w:tcPr>
            <w:tcW w:w="1220" w:type="dxa"/>
            <w:shd w:val="clear" w:color="auto" w:fill="FFFFFF" w:themeFill="background1"/>
            <w:noWrap/>
            <w:vAlign w:val="center"/>
            <w:hideMark/>
          </w:tcPr>
          <w:p w14:paraId="1F616331"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447,050</w:t>
            </w:r>
          </w:p>
        </w:tc>
        <w:tc>
          <w:tcPr>
            <w:tcW w:w="1220" w:type="dxa"/>
            <w:shd w:val="clear" w:color="auto" w:fill="FFFFFF" w:themeFill="background1"/>
            <w:noWrap/>
            <w:vAlign w:val="center"/>
            <w:hideMark/>
          </w:tcPr>
          <w:p w14:paraId="76270C77"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86%</w:t>
            </w:r>
          </w:p>
        </w:tc>
      </w:tr>
      <w:tr w:rsidR="00E00D59" w:rsidRPr="00CF7790" w14:paraId="1AA6B4ED" w14:textId="77777777" w:rsidTr="00D654C4">
        <w:trPr>
          <w:trHeight w:val="300"/>
          <w:jc w:val="center"/>
        </w:trPr>
        <w:tc>
          <w:tcPr>
            <w:tcW w:w="2440" w:type="dxa"/>
            <w:shd w:val="clear" w:color="auto" w:fill="FFFFFF" w:themeFill="background1"/>
            <w:vAlign w:val="center"/>
            <w:hideMark/>
          </w:tcPr>
          <w:p w14:paraId="128502E7" w14:textId="230383C4"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HUANCAVELICA</w:t>
            </w:r>
          </w:p>
        </w:tc>
        <w:tc>
          <w:tcPr>
            <w:tcW w:w="1220" w:type="dxa"/>
            <w:shd w:val="clear" w:color="auto" w:fill="FFFFFF" w:themeFill="background1"/>
            <w:noWrap/>
            <w:vAlign w:val="center"/>
            <w:hideMark/>
          </w:tcPr>
          <w:p w14:paraId="13CD1A4F"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36,393</w:t>
            </w:r>
          </w:p>
        </w:tc>
        <w:tc>
          <w:tcPr>
            <w:tcW w:w="1220" w:type="dxa"/>
            <w:shd w:val="clear" w:color="auto" w:fill="FFFFFF" w:themeFill="background1"/>
            <w:noWrap/>
            <w:vAlign w:val="center"/>
            <w:hideMark/>
          </w:tcPr>
          <w:p w14:paraId="3E76F9A1"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69,452</w:t>
            </w:r>
          </w:p>
        </w:tc>
        <w:tc>
          <w:tcPr>
            <w:tcW w:w="1220" w:type="dxa"/>
            <w:shd w:val="clear" w:color="auto" w:fill="FFFFFF" w:themeFill="background1"/>
            <w:noWrap/>
            <w:vAlign w:val="center"/>
            <w:hideMark/>
          </w:tcPr>
          <w:p w14:paraId="7553606A"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91%</w:t>
            </w:r>
          </w:p>
        </w:tc>
      </w:tr>
      <w:tr w:rsidR="00E00D59" w:rsidRPr="00CF7790" w14:paraId="0B937FF4" w14:textId="77777777" w:rsidTr="00D654C4">
        <w:trPr>
          <w:trHeight w:val="300"/>
          <w:jc w:val="center"/>
        </w:trPr>
        <w:tc>
          <w:tcPr>
            <w:tcW w:w="2440" w:type="dxa"/>
            <w:shd w:val="clear" w:color="auto" w:fill="FFFFFF" w:themeFill="background1"/>
            <w:vAlign w:val="center"/>
            <w:hideMark/>
          </w:tcPr>
          <w:p w14:paraId="0877A9AA" w14:textId="58E2AC4D"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HUANUCO</w:t>
            </w:r>
          </w:p>
        </w:tc>
        <w:tc>
          <w:tcPr>
            <w:tcW w:w="1220" w:type="dxa"/>
            <w:shd w:val="clear" w:color="auto" w:fill="FFFFFF" w:themeFill="background1"/>
            <w:noWrap/>
            <w:vAlign w:val="center"/>
            <w:hideMark/>
          </w:tcPr>
          <w:p w14:paraId="71B48FC2"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18,404</w:t>
            </w:r>
          </w:p>
        </w:tc>
        <w:tc>
          <w:tcPr>
            <w:tcW w:w="1220" w:type="dxa"/>
            <w:shd w:val="clear" w:color="auto" w:fill="FFFFFF" w:themeFill="background1"/>
            <w:noWrap/>
            <w:vAlign w:val="center"/>
            <w:hideMark/>
          </w:tcPr>
          <w:p w14:paraId="36FBFDBD"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14,408</w:t>
            </w:r>
          </w:p>
        </w:tc>
        <w:tc>
          <w:tcPr>
            <w:tcW w:w="1220" w:type="dxa"/>
            <w:shd w:val="clear" w:color="auto" w:fill="FFFFFF" w:themeFill="background1"/>
            <w:noWrap/>
            <w:vAlign w:val="center"/>
            <w:hideMark/>
          </w:tcPr>
          <w:p w14:paraId="7C4203AA"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-22%</w:t>
            </w:r>
          </w:p>
        </w:tc>
      </w:tr>
      <w:tr w:rsidR="00E00D59" w:rsidRPr="00CF7790" w14:paraId="3DF47CFC" w14:textId="77777777" w:rsidTr="00D654C4">
        <w:trPr>
          <w:trHeight w:val="300"/>
          <w:jc w:val="center"/>
        </w:trPr>
        <w:tc>
          <w:tcPr>
            <w:tcW w:w="2440" w:type="dxa"/>
            <w:shd w:val="clear" w:color="auto" w:fill="FFFFFF" w:themeFill="background1"/>
            <w:vAlign w:val="center"/>
            <w:hideMark/>
          </w:tcPr>
          <w:p w14:paraId="34A07C66" w14:textId="0AF8E55C"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ICA</w:t>
            </w:r>
          </w:p>
        </w:tc>
        <w:tc>
          <w:tcPr>
            <w:tcW w:w="1220" w:type="dxa"/>
            <w:shd w:val="clear" w:color="auto" w:fill="FFFFFF" w:themeFill="background1"/>
            <w:noWrap/>
            <w:vAlign w:val="center"/>
            <w:hideMark/>
          </w:tcPr>
          <w:p w14:paraId="0BD116D8"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204,923</w:t>
            </w:r>
          </w:p>
        </w:tc>
        <w:tc>
          <w:tcPr>
            <w:tcW w:w="1220" w:type="dxa"/>
            <w:shd w:val="clear" w:color="auto" w:fill="FFFFFF" w:themeFill="background1"/>
            <w:noWrap/>
            <w:vAlign w:val="center"/>
            <w:hideMark/>
          </w:tcPr>
          <w:p w14:paraId="6F662260"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252,024</w:t>
            </w:r>
          </w:p>
        </w:tc>
        <w:tc>
          <w:tcPr>
            <w:tcW w:w="1220" w:type="dxa"/>
            <w:shd w:val="clear" w:color="auto" w:fill="FFFFFF" w:themeFill="background1"/>
            <w:noWrap/>
            <w:vAlign w:val="center"/>
            <w:hideMark/>
          </w:tcPr>
          <w:p w14:paraId="3C41A8C6"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23%</w:t>
            </w:r>
          </w:p>
        </w:tc>
      </w:tr>
      <w:tr w:rsidR="00E00D59" w:rsidRPr="00CF7790" w14:paraId="584B5557" w14:textId="77777777" w:rsidTr="00D654C4">
        <w:trPr>
          <w:trHeight w:val="300"/>
          <w:jc w:val="center"/>
        </w:trPr>
        <w:tc>
          <w:tcPr>
            <w:tcW w:w="2440" w:type="dxa"/>
            <w:shd w:val="clear" w:color="auto" w:fill="FFFFFF" w:themeFill="background1"/>
            <w:vAlign w:val="center"/>
            <w:hideMark/>
          </w:tcPr>
          <w:p w14:paraId="676BAD35" w14:textId="0983B6AB"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JUNIN</w:t>
            </w:r>
          </w:p>
        </w:tc>
        <w:tc>
          <w:tcPr>
            <w:tcW w:w="1220" w:type="dxa"/>
            <w:shd w:val="clear" w:color="auto" w:fill="FFFFFF" w:themeFill="background1"/>
            <w:noWrap/>
            <w:vAlign w:val="center"/>
            <w:hideMark/>
          </w:tcPr>
          <w:p w14:paraId="28E0A60B"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238,365</w:t>
            </w:r>
          </w:p>
        </w:tc>
        <w:tc>
          <w:tcPr>
            <w:tcW w:w="1220" w:type="dxa"/>
            <w:shd w:val="clear" w:color="auto" w:fill="FFFFFF" w:themeFill="background1"/>
            <w:noWrap/>
            <w:vAlign w:val="center"/>
            <w:hideMark/>
          </w:tcPr>
          <w:p w14:paraId="4D4EBB07"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479,416</w:t>
            </w:r>
          </w:p>
        </w:tc>
        <w:tc>
          <w:tcPr>
            <w:tcW w:w="1220" w:type="dxa"/>
            <w:shd w:val="clear" w:color="auto" w:fill="FFFFFF" w:themeFill="background1"/>
            <w:noWrap/>
            <w:vAlign w:val="center"/>
            <w:hideMark/>
          </w:tcPr>
          <w:p w14:paraId="6069DCE0"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101%</w:t>
            </w:r>
          </w:p>
        </w:tc>
      </w:tr>
      <w:tr w:rsidR="00E00D59" w:rsidRPr="00CF7790" w14:paraId="1B8D8E44" w14:textId="77777777" w:rsidTr="00D654C4">
        <w:trPr>
          <w:trHeight w:val="300"/>
          <w:jc w:val="center"/>
        </w:trPr>
        <w:tc>
          <w:tcPr>
            <w:tcW w:w="2440" w:type="dxa"/>
            <w:shd w:val="clear" w:color="auto" w:fill="FFFFFF" w:themeFill="background1"/>
            <w:vAlign w:val="center"/>
            <w:hideMark/>
          </w:tcPr>
          <w:p w14:paraId="5D15CDE2" w14:textId="1D037319"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LA LIBERTAD</w:t>
            </w:r>
          </w:p>
        </w:tc>
        <w:tc>
          <w:tcPr>
            <w:tcW w:w="1220" w:type="dxa"/>
            <w:shd w:val="clear" w:color="auto" w:fill="FFFFFF" w:themeFill="background1"/>
            <w:noWrap/>
            <w:vAlign w:val="center"/>
            <w:hideMark/>
          </w:tcPr>
          <w:p w14:paraId="28884ACB"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0</w:t>
            </w:r>
          </w:p>
        </w:tc>
        <w:tc>
          <w:tcPr>
            <w:tcW w:w="1220" w:type="dxa"/>
            <w:shd w:val="clear" w:color="auto" w:fill="FFFFFF" w:themeFill="background1"/>
            <w:noWrap/>
            <w:vAlign w:val="center"/>
            <w:hideMark/>
          </w:tcPr>
          <w:p w14:paraId="0FAA129C"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21,941</w:t>
            </w:r>
          </w:p>
        </w:tc>
        <w:tc>
          <w:tcPr>
            <w:tcW w:w="1220" w:type="dxa"/>
            <w:shd w:val="clear" w:color="auto" w:fill="FFFFFF" w:themeFill="background1"/>
            <w:noWrap/>
            <w:vAlign w:val="center"/>
            <w:hideMark/>
          </w:tcPr>
          <w:p w14:paraId="0A989B61"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w:t>
            </w:r>
          </w:p>
        </w:tc>
      </w:tr>
      <w:tr w:rsidR="00E00D59" w:rsidRPr="00CF7790" w14:paraId="5CFD53FB" w14:textId="77777777" w:rsidTr="00D654C4">
        <w:trPr>
          <w:trHeight w:val="300"/>
          <w:jc w:val="center"/>
        </w:trPr>
        <w:tc>
          <w:tcPr>
            <w:tcW w:w="2440" w:type="dxa"/>
            <w:shd w:val="clear" w:color="auto" w:fill="FFFFFF" w:themeFill="background1"/>
            <w:vAlign w:val="center"/>
            <w:hideMark/>
          </w:tcPr>
          <w:p w14:paraId="209778C2" w14:textId="286349AB"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LAMBAYEQUE</w:t>
            </w:r>
          </w:p>
        </w:tc>
        <w:tc>
          <w:tcPr>
            <w:tcW w:w="1220" w:type="dxa"/>
            <w:shd w:val="clear" w:color="auto" w:fill="FFFFFF" w:themeFill="background1"/>
            <w:noWrap/>
            <w:vAlign w:val="center"/>
            <w:hideMark/>
          </w:tcPr>
          <w:p w14:paraId="6E006AD6"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562,479</w:t>
            </w:r>
          </w:p>
        </w:tc>
        <w:tc>
          <w:tcPr>
            <w:tcW w:w="1220" w:type="dxa"/>
            <w:shd w:val="clear" w:color="auto" w:fill="FFFFFF" w:themeFill="background1"/>
            <w:noWrap/>
            <w:vAlign w:val="center"/>
            <w:hideMark/>
          </w:tcPr>
          <w:p w14:paraId="210F9512"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576,691</w:t>
            </w:r>
          </w:p>
        </w:tc>
        <w:tc>
          <w:tcPr>
            <w:tcW w:w="1220" w:type="dxa"/>
            <w:shd w:val="clear" w:color="auto" w:fill="FFFFFF" w:themeFill="background1"/>
            <w:noWrap/>
            <w:vAlign w:val="center"/>
            <w:hideMark/>
          </w:tcPr>
          <w:p w14:paraId="6DD69ACB"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3%</w:t>
            </w:r>
          </w:p>
        </w:tc>
      </w:tr>
      <w:tr w:rsidR="00E00D59" w:rsidRPr="00CF7790" w14:paraId="5FC502CD" w14:textId="77777777" w:rsidTr="00D654C4">
        <w:trPr>
          <w:trHeight w:val="300"/>
          <w:jc w:val="center"/>
        </w:trPr>
        <w:tc>
          <w:tcPr>
            <w:tcW w:w="2440" w:type="dxa"/>
            <w:shd w:val="clear" w:color="auto" w:fill="FFFFFF" w:themeFill="background1"/>
            <w:vAlign w:val="center"/>
            <w:hideMark/>
          </w:tcPr>
          <w:p w14:paraId="7D8BB64C" w14:textId="040DF8D2"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LIMA</w:t>
            </w:r>
          </w:p>
        </w:tc>
        <w:tc>
          <w:tcPr>
            <w:tcW w:w="1220" w:type="dxa"/>
            <w:shd w:val="clear" w:color="auto" w:fill="FFFFFF" w:themeFill="background1"/>
            <w:noWrap/>
            <w:vAlign w:val="center"/>
            <w:hideMark/>
          </w:tcPr>
          <w:p w14:paraId="73DD73F2"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1,679,113</w:t>
            </w:r>
          </w:p>
        </w:tc>
        <w:tc>
          <w:tcPr>
            <w:tcW w:w="1220" w:type="dxa"/>
            <w:shd w:val="clear" w:color="auto" w:fill="FFFFFF" w:themeFill="background1"/>
            <w:noWrap/>
            <w:vAlign w:val="center"/>
            <w:hideMark/>
          </w:tcPr>
          <w:p w14:paraId="11B61250"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2,612,278</w:t>
            </w:r>
          </w:p>
        </w:tc>
        <w:tc>
          <w:tcPr>
            <w:tcW w:w="1220" w:type="dxa"/>
            <w:shd w:val="clear" w:color="auto" w:fill="FFFFFF" w:themeFill="background1"/>
            <w:noWrap/>
            <w:vAlign w:val="center"/>
            <w:hideMark/>
          </w:tcPr>
          <w:p w14:paraId="10E9433C"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56%</w:t>
            </w:r>
          </w:p>
        </w:tc>
      </w:tr>
      <w:tr w:rsidR="00E00D59" w:rsidRPr="00CF7790" w14:paraId="7942F1A3" w14:textId="77777777" w:rsidTr="00D654C4">
        <w:trPr>
          <w:trHeight w:val="300"/>
          <w:jc w:val="center"/>
        </w:trPr>
        <w:tc>
          <w:tcPr>
            <w:tcW w:w="2440" w:type="dxa"/>
            <w:shd w:val="clear" w:color="auto" w:fill="FFFFFF" w:themeFill="background1"/>
            <w:vAlign w:val="center"/>
            <w:hideMark/>
          </w:tcPr>
          <w:p w14:paraId="2409608B" w14:textId="270F3FA5"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LORETO</w:t>
            </w:r>
          </w:p>
        </w:tc>
        <w:tc>
          <w:tcPr>
            <w:tcW w:w="1220" w:type="dxa"/>
            <w:shd w:val="clear" w:color="auto" w:fill="FFFFFF" w:themeFill="background1"/>
            <w:noWrap/>
            <w:vAlign w:val="center"/>
            <w:hideMark/>
          </w:tcPr>
          <w:p w14:paraId="16C987D2"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52,452</w:t>
            </w:r>
          </w:p>
        </w:tc>
        <w:tc>
          <w:tcPr>
            <w:tcW w:w="1220" w:type="dxa"/>
            <w:shd w:val="clear" w:color="auto" w:fill="FFFFFF" w:themeFill="background1"/>
            <w:noWrap/>
            <w:vAlign w:val="center"/>
            <w:hideMark/>
          </w:tcPr>
          <w:p w14:paraId="4C6C362A"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67,723</w:t>
            </w:r>
          </w:p>
        </w:tc>
        <w:tc>
          <w:tcPr>
            <w:tcW w:w="1220" w:type="dxa"/>
            <w:shd w:val="clear" w:color="auto" w:fill="FFFFFF" w:themeFill="background1"/>
            <w:noWrap/>
            <w:vAlign w:val="center"/>
            <w:hideMark/>
          </w:tcPr>
          <w:p w14:paraId="6E66CFE8"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29%</w:t>
            </w:r>
          </w:p>
        </w:tc>
      </w:tr>
      <w:tr w:rsidR="00E00D59" w:rsidRPr="00CF7790" w14:paraId="7B26E7AB" w14:textId="77777777" w:rsidTr="00D654C4">
        <w:trPr>
          <w:trHeight w:val="300"/>
          <w:jc w:val="center"/>
        </w:trPr>
        <w:tc>
          <w:tcPr>
            <w:tcW w:w="2440" w:type="dxa"/>
            <w:shd w:val="clear" w:color="auto" w:fill="FFFFFF" w:themeFill="background1"/>
            <w:vAlign w:val="center"/>
            <w:hideMark/>
          </w:tcPr>
          <w:p w14:paraId="183CEBE2" w14:textId="0F096EFE"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MADRE DE DIOS</w:t>
            </w:r>
          </w:p>
        </w:tc>
        <w:tc>
          <w:tcPr>
            <w:tcW w:w="1220" w:type="dxa"/>
            <w:shd w:val="clear" w:color="auto" w:fill="FFFFFF" w:themeFill="background1"/>
            <w:noWrap/>
            <w:vAlign w:val="center"/>
            <w:hideMark/>
          </w:tcPr>
          <w:p w14:paraId="743205B4"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120,304</w:t>
            </w:r>
          </w:p>
        </w:tc>
        <w:tc>
          <w:tcPr>
            <w:tcW w:w="1220" w:type="dxa"/>
            <w:shd w:val="clear" w:color="auto" w:fill="FFFFFF" w:themeFill="background1"/>
            <w:noWrap/>
            <w:vAlign w:val="center"/>
            <w:hideMark/>
          </w:tcPr>
          <w:p w14:paraId="3E11CAF8"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624,742</w:t>
            </w:r>
          </w:p>
        </w:tc>
        <w:tc>
          <w:tcPr>
            <w:tcW w:w="1220" w:type="dxa"/>
            <w:shd w:val="clear" w:color="auto" w:fill="FFFFFF" w:themeFill="background1"/>
            <w:noWrap/>
            <w:vAlign w:val="center"/>
            <w:hideMark/>
          </w:tcPr>
          <w:p w14:paraId="4BA45A3E"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419%</w:t>
            </w:r>
          </w:p>
        </w:tc>
      </w:tr>
      <w:tr w:rsidR="00E00D59" w:rsidRPr="00CF7790" w14:paraId="0D8564B2" w14:textId="77777777" w:rsidTr="00D654C4">
        <w:trPr>
          <w:trHeight w:val="300"/>
          <w:jc w:val="center"/>
        </w:trPr>
        <w:tc>
          <w:tcPr>
            <w:tcW w:w="2440" w:type="dxa"/>
            <w:shd w:val="clear" w:color="auto" w:fill="FFFFFF" w:themeFill="background1"/>
            <w:vAlign w:val="center"/>
            <w:hideMark/>
          </w:tcPr>
          <w:p w14:paraId="1E928196" w14:textId="77F3B5C6"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MOQUEGUA</w:t>
            </w:r>
          </w:p>
        </w:tc>
        <w:tc>
          <w:tcPr>
            <w:tcW w:w="1220" w:type="dxa"/>
            <w:shd w:val="clear" w:color="auto" w:fill="FFFFFF" w:themeFill="background1"/>
            <w:noWrap/>
            <w:vAlign w:val="center"/>
            <w:hideMark/>
          </w:tcPr>
          <w:p w14:paraId="758211B5"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5,304</w:t>
            </w:r>
          </w:p>
        </w:tc>
        <w:tc>
          <w:tcPr>
            <w:tcW w:w="1220" w:type="dxa"/>
            <w:shd w:val="clear" w:color="auto" w:fill="FFFFFF" w:themeFill="background1"/>
            <w:noWrap/>
            <w:vAlign w:val="center"/>
            <w:hideMark/>
          </w:tcPr>
          <w:p w14:paraId="19EE5221"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5,570</w:t>
            </w:r>
          </w:p>
        </w:tc>
        <w:tc>
          <w:tcPr>
            <w:tcW w:w="1220" w:type="dxa"/>
            <w:shd w:val="clear" w:color="auto" w:fill="FFFFFF" w:themeFill="background1"/>
            <w:noWrap/>
            <w:vAlign w:val="center"/>
            <w:hideMark/>
          </w:tcPr>
          <w:p w14:paraId="66D17BC0"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w:t>
            </w:r>
          </w:p>
        </w:tc>
      </w:tr>
      <w:tr w:rsidR="00E00D59" w:rsidRPr="00CF7790" w14:paraId="76F5B432" w14:textId="77777777" w:rsidTr="00D654C4">
        <w:trPr>
          <w:trHeight w:val="300"/>
          <w:jc w:val="center"/>
        </w:trPr>
        <w:tc>
          <w:tcPr>
            <w:tcW w:w="2440" w:type="dxa"/>
            <w:shd w:val="clear" w:color="auto" w:fill="FFFFFF" w:themeFill="background1"/>
            <w:vAlign w:val="center"/>
            <w:hideMark/>
          </w:tcPr>
          <w:p w14:paraId="5174C260" w14:textId="5B917346"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PASCO</w:t>
            </w:r>
          </w:p>
        </w:tc>
        <w:tc>
          <w:tcPr>
            <w:tcW w:w="1220" w:type="dxa"/>
            <w:shd w:val="clear" w:color="auto" w:fill="FFFFFF" w:themeFill="background1"/>
            <w:noWrap/>
            <w:vAlign w:val="center"/>
            <w:hideMark/>
          </w:tcPr>
          <w:p w14:paraId="0751C22F"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3,686</w:t>
            </w:r>
          </w:p>
        </w:tc>
        <w:tc>
          <w:tcPr>
            <w:tcW w:w="1220" w:type="dxa"/>
            <w:shd w:val="clear" w:color="auto" w:fill="FFFFFF" w:themeFill="background1"/>
            <w:noWrap/>
            <w:vAlign w:val="center"/>
            <w:hideMark/>
          </w:tcPr>
          <w:p w14:paraId="6693285D"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5,881</w:t>
            </w:r>
          </w:p>
        </w:tc>
        <w:tc>
          <w:tcPr>
            <w:tcW w:w="1220" w:type="dxa"/>
            <w:shd w:val="clear" w:color="auto" w:fill="FFFFFF" w:themeFill="background1"/>
            <w:noWrap/>
            <w:vAlign w:val="center"/>
            <w:hideMark/>
          </w:tcPr>
          <w:p w14:paraId="368066D4"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60%</w:t>
            </w:r>
          </w:p>
        </w:tc>
      </w:tr>
      <w:tr w:rsidR="00E00D59" w:rsidRPr="00CF7790" w14:paraId="38BD6C95" w14:textId="77777777" w:rsidTr="00D654C4">
        <w:trPr>
          <w:trHeight w:val="300"/>
          <w:jc w:val="center"/>
        </w:trPr>
        <w:tc>
          <w:tcPr>
            <w:tcW w:w="2440" w:type="dxa"/>
            <w:shd w:val="clear" w:color="auto" w:fill="FFFFFF" w:themeFill="background1"/>
            <w:vAlign w:val="center"/>
            <w:hideMark/>
          </w:tcPr>
          <w:p w14:paraId="4B0ED28E" w14:textId="7600387E"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PIURA</w:t>
            </w:r>
          </w:p>
        </w:tc>
        <w:tc>
          <w:tcPr>
            <w:tcW w:w="1220" w:type="dxa"/>
            <w:shd w:val="clear" w:color="auto" w:fill="FFFFFF" w:themeFill="background1"/>
            <w:noWrap/>
            <w:vAlign w:val="center"/>
            <w:hideMark/>
          </w:tcPr>
          <w:p w14:paraId="12B07D1C"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168,904</w:t>
            </w:r>
          </w:p>
        </w:tc>
        <w:tc>
          <w:tcPr>
            <w:tcW w:w="1220" w:type="dxa"/>
            <w:shd w:val="clear" w:color="auto" w:fill="FFFFFF" w:themeFill="background1"/>
            <w:noWrap/>
            <w:vAlign w:val="center"/>
            <w:hideMark/>
          </w:tcPr>
          <w:p w14:paraId="17BC67C0"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70,847</w:t>
            </w:r>
          </w:p>
        </w:tc>
        <w:tc>
          <w:tcPr>
            <w:tcW w:w="1220" w:type="dxa"/>
            <w:shd w:val="clear" w:color="auto" w:fill="FFFFFF" w:themeFill="background1"/>
            <w:noWrap/>
            <w:vAlign w:val="center"/>
            <w:hideMark/>
          </w:tcPr>
          <w:p w14:paraId="31E4FCA7"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-58%</w:t>
            </w:r>
          </w:p>
        </w:tc>
      </w:tr>
      <w:tr w:rsidR="00E00D59" w:rsidRPr="00CF7790" w14:paraId="0B2B2444" w14:textId="77777777" w:rsidTr="00D654C4">
        <w:trPr>
          <w:trHeight w:val="300"/>
          <w:jc w:val="center"/>
        </w:trPr>
        <w:tc>
          <w:tcPr>
            <w:tcW w:w="2440" w:type="dxa"/>
            <w:shd w:val="clear" w:color="auto" w:fill="FFFFFF" w:themeFill="background1"/>
            <w:vAlign w:val="center"/>
            <w:hideMark/>
          </w:tcPr>
          <w:p w14:paraId="55FB68C5" w14:textId="0184217A"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PUNO</w:t>
            </w:r>
          </w:p>
        </w:tc>
        <w:tc>
          <w:tcPr>
            <w:tcW w:w="1220" w:type="dxa"/>
            <w:shd w:val="clear" w:color="auto" w:fill="FFFFFF" w:themeFill="background1"/>
            <w:noWrap/>
            <w:vAlign w:val="center"/>
            <w:hideMark/>
          </w:tcPr>
          <w:p w14:paraId="28EF22D6"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341,166</w:t>
            </w:r>
          </w:p>
        </w:tc>
        <w:tc>
          <w:tcPr>
            <w:tcW w:w="1220" w:type="dxa"/>
            <w:shd w:val="clear" w:color="auto" w:fill="FFFFFF" w:themeFill="background1"/>
            <w:noWrap/>
            <w:vAlign w:val="center"/>
            <w:hideMark/>
          </w:tcPr>
          <w:p w14:paraId="79183A57"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628,351</w:t>
            </w:r>
          </w:p>
        </w:tc>
        <w:tc>
          <w:tcPr>
            <w:tcW w:w="1220" w:type="dxa"/>
            <w:shd w:val="clear" w:color="auto" w:fill="FFFFFF" w:themeFill="background1"/>
            <w:noWrap/>
            <w:vAlign w:val="center"/>
            <w:hideMark/>
          </w:tcPr>
          <w:p w14:paraId="31830A33"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84%</w:t>
            </w:r>
          </w:p>
        </w:tc>
      </w:tr>
      <w:tr w:rsidR="00E00D59" w:rsidRPr="00CF7790" w14:paraId="72B78B29" w14:textId="77777777" w:rsidTr="00D654C4">
        <w:trPr>
          <w:trHeight w:val="300"/>
          <w:jc w:val="center"/>
        </w:trPr>
        <w:tc>
          <w:tcPr>
            <w:tcW w:w="2440" w:type="dxa"/>
            <w:shd w:val="clear" w:color="auto" w:fill="FFFFFF" w:themeFill="background1"/>
            <w:vAlign w:val="center"/>
            <w:hideMark/>
          </w:tcPr>
          <w:p w14:paraId="111B0119" w14:textId="450507C8"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lastRenderedPageBreak/>
              <w:t>SAN MARTIN</w:t>
            </w:r>
          </w:p>
        </w:tc>
        <w:tc>
          <w:tcPr>
            <w:tcW w:w="1220" w:type="dxa"/>
            <w:shd w:val="clear" w:color="auto" w:fill="FFFFFF" w:themeFill="background1"/>
            <w:noWrap/>
            <w:vAlign w:val="center"/>
            <w:hideMark/>
          </w:tcPr>
          <w:p w14:paraId="5405DEFE"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93,521</w:t>
            </w:r>
          </w:p>
        </w:tc>
        <w:tc>
          <w:tcPr>
            <w:tcW w:w="1220" w:type="dxa"/>
            <w:shd w:val="clear" w:color="auto" w:fill="FFFFFF" w:themeFill="background1"/>
            <w:noWrap/>
            <w:vAlign w:val="center"/>
            <w:hideMark/>
          </w:tcPr>
          <w:p w14:paraId="004897FC"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212,727</w:t>
            </w:r>
          </w:p>
        </w:tc>
        <w:tc>
          <w:tcPr>
            <w:tcW w:w="1220" w:type="dxa"/>
            <w:shd w:val="clear" w:color="auto" w:fill="FFFFFF" w:themeFill="background1"/>
            <w:noWrap/>
            <w:vAlign w:val="center"/>
            <w:hideMark/>
          </w:tcPr>
          <w:p w14:paraId="7BFB4CA0"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127%</w:t>
            </w:r>
          </w:p>
        </w:tc>
      </w:tr>
      <w:tr w:rsidR="00E00D59" w:rsidRPr="00CF7790" w14:paraId="3D38B6C3" w14:textId="77777777" w:rsidTr="00D654C4">
        <w:trPr>
          <w:trHeight w:val="300"/>
          <w:jc w:val="center"/>
        </w:trPr>
        <w:tc>
          <w:tcPr>
            <w:tcW w:w="2440" w:type="dxa"/>
            <w:shd w:val="clear" w:color="auto" w:fill="FFFFFF" w:themeFill="background1"/>
            <w:vAlign w:val="center"/>
            <w:hideMark/>
          </w:tcPr>
          <w:p w14:paraId="0662A7D9" w14:textId="6D0861EA"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TACNA</w:t>
            </w:r>
          </w:p>
        </w:tc>
        <w:tc>
          <w:tcPr>
            <w:tcW w:w="1220" w:type="dxa"/>
            <w:shd w:val="clear" w:color="auto" w:fill="FFFFFF" w:themeFill="background1"/>
            <w:noWrap/>
            <w:vAlign w:val="center"/>
            <w:hideMark/>
          </w:tcPr>
          <w:p w14:paraId="11CDDE5E"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0</w:t>
            </w:r>
          </w:p>
        </w:tc>
        <w:tc>
          <w:tcPr>
            <w:tcW w:w="1220" w:type="dxa"/>
            <w:shd w:val="clear" w:color="auto" w:fill="FFFFFF" w:themeFill="background1"/>
            <w:noWrap/>
            <w:vAlign w:val="center"/>
            <w:hideMark/>
          </w:tcPr>
          <w:p w14:paraId="21D867E9"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10,494</w:t>
            </w:r>
          </w:p>
        </w:tc>
        <w:tc>
          <w:tcPr>
            <w:tcW w:w="1220" w:type="dxa"/>
            <w:shd w:val="clear" w:color="auto" w:fill="FFFFFF" w:themeFill="background1"/>
            <w:noWrap/>
            <w:vAlign w:val="center"/>
          </w:tcPr>
          <w:p w14:paraId="06170C1F"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w:t>
            </w:r>
          </w:p>
        </w:tc>
      </w:tr>
      <w:tr w:rsidR="00E00D59" w:rsidRPr="00CF7790" w14:paraId="27D80253" w14:textId="77777777" w:rsidTr="00D654C4">
        <w:trPr>
          <w:trHeight w:val="300"/>
          <w:jc w:val="center"/>
        </w:trPr>
        <w:tc>
          <w:tcPr>
            <w:tcW w:w="2440" w:type="dxa"/>
            <w:shd w:val="clear" w:color="auto" w:fill="FFFFFF" w:themeFill="background1"/>
            <w:vAlign w:val="center"/>
            <w:hideMark/>
          </w:tcPr>
          <w:p w14:paraId="43C824D7" w14:textId="75A146A4"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TUMBES</w:t>
            </w:r>
          </w:p>
        </w:tc>
        <w:tc>
          <w:tcPr>
            <w:tcW w:w="1220" w:type="dxa"/>
            <w:shd w:val="clear" w:color="auto" w:fill="FFFFFF" w:themeFill="background1"/>
            <w:noWrap/>
            <w:vAlign w:val="center"/>
            <w:hideMark/>
          </w:tcPr>
          <w:p w14:paraId="703A2950"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0</w:t>
            </w:r>
          </w:p>
        </w:tc>
        <w:tc>
          <w:tcPr>
            <w:tcW w:w="1220" w:type="dxa"/>
            <w:shd w:val="clear" w:color="auto" w:fill="FFFFFF" w:themeFill="background1"/>
            <w:noWrap/>
            <w:vAlign w:val="center"/>
            <w:hideMark/>
          </w:tcPr>
          <w:p w14:paraId="024FE0C5"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10,699</w:t>
            </w:r>
          </w:p>
        </w:tc>
        <w:tc>
          <w:tcPr>
            <w:tcW w:w="1220" w:type="dxa"/>
            <w:shd w:val="clear" w:color="auto" w:fill="FFFFFF" w:themeFill="background1"/>
            <w:noWrap/>
            <w:vAlign w:val="center"/>
          </w:tcPr>
          <w:p w14:paraId="4D6E9F09"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w:t>
            </w:r>
          </w:p>
        </w:tc>
      </w:tr>
      <w:tr w:rsidR="00E00D59" w:rsidRPr="00CF7790" w14:paraId="4813FCB3" w14:textId="77777777" w:rsidTr="00D654C4">
        <w:trPr>
          <w:trHeight w:val="300"/>
          <w:jc w:val="center"/>
        </w:trPr>
        <w:tc>
          <w:tcPr>
            <w:tcW w:w="2440" w:type="dxa"/>
            <w:shd w:val="clear" w:color="auto" w:fill="FFFFFF" w:themeFill="background1"/>
            <w:vAlign w:val="center"/>
            <w:hideMark/>
          </w:tcPr>
          <w:p w14:paraId="24DE03C5" w14:textId="471FEC80"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UCAYALI</w:t>
            </w:r>
          </w:p>
        </w:tc>
        <w:tc>
          <w:tcPr>
            <w:tcW w:w="1220" w:type="dxa"/>
            <w:shd w:val="clear" w:color="auto" w:fill="FFFFFF" w:themeFill="background1"/>
            <w:noWrap/>
            <w:vAlign w:val="center"/>
            <w:hideMark/>
          </w:tcPr>
          <w:p w14:paraId="74435955"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19,829</w:t>
            </w:r>
          </w:p>
        </w:tc>
        <w:tc>
          <w:tcPr>
            <w:tcW w:w="1220" w:type="dxa"/>
            <w:shd w:val="clear" w:color="auto" w:fill="FFFFFF" w:themeFill="background1"/>
            <w:noWrap/>
            <w:vAlign w:val="center"/>
            <w:hideMark/>
          </w:tcPr>
          <w:p w14:paraId="56C6F7A1"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9,222</w:t>
            </w:r>
          </w:p>
        </w:tc>
        <w:tc>
          <w:tcPr>
            <w:tcW w:w="1220" w:type="dxa"/>
            <w:shd w:val="clear" w:color="auto" w:fill="FFFFFF" w:themeFill="background1"/>
            <w:noWrap/>
            <w:vAlign w:val="center"/>
            <w:hideMark/>
          </w:tcPr>
          <w:p w14:paraId="2A16CF1B" w14:textId="77777777" w:rsidR="00E00D59" w:rsidRPr="00CF7790" w:rsidRDefault="00E00D59" w:rsidP="00D654C4">
            <w:pPr>
              <w:spacing w:after="0" w:line="240" w:lineRule="auto"/>
              <w:jc w:val="center"/>
              <w:rPr>
                <w:rFonts w:ascii="Open Sans Light" w:eastAsia="Times New Roman" w:hAnsi="Open Sans Light" w:cs="Open Sans Light"/>
                <w:color w:val="000000"/>
                <w:sz w:val="18"/>
                <w:szCs w:val="18"/>
                <w:lang w:val="es-PE"/>
              </w:rPr>
            </w:pPr>
            <w:r w:rsidRPr="00CF7790">
              <w:rPr>
                <w:rFonts w:ascii="Open Sans Light" w:eastAsia="Times New Roman" w:hAnsi="Open Sans Light" w:cs="Open Sans Light"/>
                <w:color w:val="000000"/>
                <w:sz w:val="18"/>
                <w:szCs w:val="18"/>
                <w:lang w:val="es-PE"/>
              </w:rPr>
              <w:t>-53%</w:t>
            </w:r>
          </w:p>
        </w:tc>
      </w:tr>
    </w:tbl>
    <w:p w14:paraId="337C106D" w14:textId="77777777" w:rsidR="00E00D59" w:rsidRPr="00CF7790" w:rsidRDefault="00E00D59" w:rsidP="0076744B">
      <w:pPr>
        <w:rPr>
          <w:rFonts w:ascii="Open Sans Light" w:eastAsia="Open Sans Light" w:hAnsi="Open Sans Light" w:cs="Open Sans Light"/>
          <w:sz w:val="24"/>
          <w:szCs w:val="24"/>
        </w:rPr>
      </w:pPr>
    </w:p>
    <w:p w14:paraId="11256748" w14:textId="19A89979" w:rsidR="009C2417" w:rsidRDefault="009C2417"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21</w:t>
      </w:r>
      <w:r w:rsidR="00354646">
        <w:rPr>
          <w:noProof/>
        </w:rPr>
        <w:fldChar w:fldCharType="end"/>
      </w:r>
    </w:p>
    <w:tbl>
      <w:tblPr>
        <w:tblW w:w="8489" w:type="dxa"/>
        <w:tblInd w:w="-5" w:type="dxa"/>
        <w:tblCellMar>
          <w:top w:w="15" w:type="dxa"/>
          <w:left w:w="70" w:type="dxa"/>
          <w:right w:w="70" w:type="dxa"/>
        </w:tblCellMar>
        <w:tblLook w:val="04A0" w:firstRow="1" w:lastRow="0" w:firstColumn="1" w:lastColumn="0" w:noHBand="0" w:noVBand="1"/>
      </w:tblPr>
      <w:tblGrid>
        <w:gridCol w:w="2127"/>
        <w:gridCol w:w="555"/>
        <w:gridCol w:w="5807"/>
      </w:tblGrid>
      <w:tr w:rsidR="00383A32" w:rsidRPr="00CF7790" w14:paraId="03928B4C" w14:textId="77777777" w:rsidTr="0078363B">
        <w:trPr>
          <w:trHeight w:val="281"/>
          <w:tblHeader/>
        </w:trPr>
        <w:tc>
          <w:tcPr>
            <w:tcW w:w="2127"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0D44ABBC" w14:textId="77777777" w:rsidR="00383A32" w:rsidRPr="00CF7790" w:rsidRDefault="00383A32" w:rsidP="0078363B">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CATEGORIAS</w:t>
            </w:r>
          </w:p>
        </w:tc>
        <w:tc>
          <w:tcPr>
            <w:tcW w:w="555" w:type="dxa"/>
            <w:tcBorders>
              <w:top w:val="single" w:sz="4" w:space="0" w:color="auto"/>
              <w:left w:val="nil"/>
              <w:bottom w:val="single" w:sz="4" w:space="0" w:color="auto"/>
              <w:right w:val="single" w:sz="4" w:space="0" w:color="auto"/>
            </w:tcBorders>
            <w:shd w:val="clear" w:color="000000" w:fill="000000"/>
            <w:vAlign w:val="center"/>
            <w:hideMark/>
          </w:tcPr>
          <w:p w14:paraId="1E7D0658" w14:textId="77777777" w:rsidR="00383A32" w:rsidRPr="00CF7790" w:rsidRDefault="00383A32" w:rsidP="0078363B">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Nº </w:t>
            </w:r>
          </w:p>
        </w:tc>
        <w:tc>
          <w:tcPr>
            <w:tcW w:w="5807" w:type="dxa"/>
            <w:tcBorders>
              <w:top w:val="single" w:sz="4" w:space="0" w:color="auto"/>
              <w:left w:val="nil"/>
              <w:bottom w:val="single" w:sz="4" w:space="0" w:color="auto"/>
              <w:right w:val="single" w:sz="4" w:space="0" w:color="auto"/>
            </w:tcBorders>
            <w:shd w:val="clear" w:color="000000" w:fill="000000"/>
            <w:vAlign w:val="center"/>
            <w:hideMark/>
          </w:tcPr>
          <w:p w14:paraId="3D69168A" w14:textId="077F0928" w:rsidR="00383A32" w:rsidRPr="00CF7790" w:rsidRDefault="00383A32" w:rsidP="0078363B">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 xml:space="preserve">ESTRATEGIAS DE IMPLEMENTACIÓN DEL </w:t>
            </w:r>
            <w:r w:rsidR="00D979D4" w:rsidRPr="00CF7790">
              <w:rPr>
                <w:rFonts w:ascii="Open Sans Light" w:eastAsia="Times New Roman" w:hAnsi="Open Sans Light" w:cs="Open Sans Light"/>
                <w:b/>
                <w:bCs/>
                <w:color w:val="FFFFFF"/>
                <w:sz w:val="16"/>
                <w:szCs w:val="16"/>
                <w:lang w:val="es-PE"/>
              </w:rPr>
              <w:t>PNAIA 2012 – 2021</w:t>
            </w:r>
          </w:p>
        </w:tc>
      </w:tr>
      <w:tr w:rsidR="00383A32" w:rsidRPr="00CF7790" w14:paraId="6916992E" w14:textId="77777777" w:rsidTr="0078363B">
        <w:trPr>
          <w:trHeight w:val="396"/>
        </w:trPr>
        <w:tc>
          <w:tcPr>
            <w:tcW w:w="2127"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27F689F3"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Intervenciones vinculadas a la promoción de la lectura y matemática</w:t>
            </w: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3816F09E"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63199FDC"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Fortalecer el involucramiento de las familias en las actividades del Plan Lector que promueve el Ministerio de Educación.</w:t>
            </w:r>
          </w:p>
        </w:tc>
      </w:tr>
      <w:tr w:rsidR="00383A32" w:rsidRPr="00CF7790" w14:paraId="4A8FD9AB" w14:textId="77777777" w:rsidTr="0078363B">
        <w:trPr>
          <w:trHeight w:val="376"/>
        </w:trPr>
        <w:tc>
          <w:tcPr>
            <w:tcW w:w="2127"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22FF66E2"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3B1AB887"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0B25F760"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en alianza con el sector privado, la lectura como actividad placentera, formativa e indispensable para acceder al conocimiento.</w:t>
            </w:r>
          </w:p>
        </w:tc>
      </w:tr>
      <w:tr w:rsidR="00383A32" w:rsidRPr="00CF7790" w14:paraId="04F6D123" w14:textId="77777777" w:rsidTr="0078363B">
        <w:trPr>
          <w:trHeight w:val="384"/>
        </w:trPr>
        <w:tc>
          <w:tcPr>
            <w:tcW w:w="2127"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B9E4D04"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52FD4867"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59CF68DD"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la lectura y creatividad literaria a nivel local, regional y nacional, con premios a las y los adolescentes más destacados.</w:t>
            </w:r>
          </w:p>
        </w:tc>
      </w:tr>
      <w:tr w:rsidR="00383A32" w:rsidRPr="00CF7790" w14:paraId="69B30195" w14:textId="77777777" w:rsidTr="0078363B">
        <w:trPr>
          <w:trHeight w:val="506"/>
        </w:trPr>
        <w:tc>
          <w:tcPr>
            <w:tcW w:w="2127"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BC1DFF2"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27B8EB2E"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7C231A40"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y premiar la habilidad matemática de las y los adolescentes mediante la organización de concursos, ferias y otras actividades en los espacios públicos de ciudades y pueblos.</w:t>
            </w:r>
          </w:p>
        </w:tc>
      </w:tr>
      <w:tr w:rsidR="00383A32" w:rsidRPr="00CF7790" w14:paraId="0B6CFD11" w14:textId="77777777" w:rsidTr="0078363B">
        <w:trPr>
          <w:trHeight w:val="489"/>
        </w:trPr>
        <w:tc>
          <w:tcPr>
            <w:tcW w:w="2127"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350A68B"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1811EE2D"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02EAF95C"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Buscar mentores conocidos que impulsen actividades de promoción de la lectura, la escritura y las matemáticas, de tal manera que se conviertan en competencias prestigiosas que las y los adolescentes busquen emular.</w:t>
            </w:r>
          </w:p>
        </w:tc>
      </w:tr>
      <w:tr w:rsidR="00383A32" w:rsidRPr="00CF7790" w14:paraId="15A0AA92" w14:textId="77777777" w:rsidTr="0078363B">
        <w:trPr>
          <w:trHeight w:val="208"/>
        </w:trPr>
        <w:tc>
          <w:tcPr>
            <w:tcW w:w="2127"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F3522F5"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648B0129"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43B86FAA"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la lectura y enseñanza con material acorde a cada realidad y conocimientos ancestrales.</w:t>
            </w:r>
          </w:p>
        </w:tc>
      </w:tr>
      <w:tr w:rsidR="00383A32" w:rsidRPr="00CF7790" w14:paraId="4270772A" w14:textId="77777777" w:rsidTr="0078363B">
        <w:trPr>
          <w:trHeight w:val="608"/>
        </w:trPr>
        <w:tc>
          <w:tcPr>
            <w:tcW w:w="2127" w:type="dxa"/>
            <w:tcBorders>
              <w:top w:val="nil"/>
              <w:left w:val="single" w:sz="4" w:space="0" w:color="auto"/>
              <w:bottom w:val="single" w:sz="4" w:space="0" w:color="auto"/>
              <w:right w:val="single" w:sz="4" w:space="0" w:color="auto"/>
            </w:tcBorders>
            <w:shd w:val="clear" w:color="auto" w:fill="FFFFFF" w:themeFill="background1"/>
            <w:vAlign w:val="center"/>
          </w:tcPr>
          <w:p w14:paraId="4FBC6666"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Formación de docentes con perspectiva de promoción de derechos y enfoque de género</w:t>
            </w:r>
          </w:p>
        </w:tc>
        <w:tc>
          <w:tcPr>
            <w:tcW w:w="555" w:type="dxa"/>
            <w:tcBorders>
              <w:top w:val="nil"/>
              <w:left w:val="nil"/>
              <w:bottom w:val="single" w:sz="4" w:space="0" w:color="auto"/>
              <w:right w:val="single" w:sz="4" w:space="0" w:color="auto"/>
            </w:tcBorders>
            <w:shd w:val="clear" w:color="auto" w:fill="FFFFFF" w:themeFill="background1"/>
            <w:vAlign w:val="center"/>
          </w:tcPr>
          <w:p w14:paraId="09B13C36"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w:t>
            </w:r>
          </w:p>
        </w:tc>
        <w:tc>
          <w:tcPr>
            <w:tcW w:w="5807" w:type="dxa"/>
            <w:tcBorders>
              <w:top w:val="nil"/>
              <w:left w:val="nil"/>
              <w:bottom w:val="single" w:sz="4" w:space="0" w:color="auto"/>
              <w:right w:val="single" w:sz="4" w:space="0" w:color="auto"/>
            </w:tcBorders>
            <w:shd w:val="clear" w:color="auto" w:fill="FFFFFF" w:themeFill="background1"/>
            <w:vAlign w:val="bottom"/>
          </w:tcPr>
          <w:p w14:paraId="6F5F9F55"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la formación de profesoras y profesores desde una perspectiva de respeto a los derechos y a las diferencias, inclusiva, no sexista, de equidad entre género y de solidaridad intergeneracional.</w:t>
            </w:r>
          </w:p>
        </w:tc>
      </w:tr>
      <w:tr w:rsidR="00383A32" w:rsidRPr="00CF7790" w14:paraId="1216F5AD" w14:textId="77777777" w:rsidTr="0078363B">
        <w:trPr>
          <w:trHeight w:val="535"/>
        </w:trPr>
        <w:tc>
          <w:tcPr>
            <w:tcW w:w="2127"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6F9866B0"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Intervenciones vinculadas a la violencia en el ámbito educativo</w:t>
            </w: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44A86560"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0B45DC09" w14:textId="0431401D"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 xml:space="preserve">Incluir en los cursos relativos al desarrollo de habilidades para la vida, el tema del </w:t>
            </w:r>
            <w:r w:rsidR="00EF0CCC" w:rsidRPr="00CF7790">
              <w:rPr>
                <w:rFonts w:ascii="Open Sans Light" w:eastAsia="Times New Roman" w:hAnsi="Open Sans Light" w:cs="Open Sans Light"/>
                <w:color w:val="000000"/>
                <w:sz w:val="16"/>
                <w:szCs w:val="16"/>
                <w:lang w:val="es-PE"/>
              </w:rPr>
              <w:t>acoso escolar</w:t>
            </w:r>
            <w:r w:rsidRPr="00CF7790">
              <w:rPr>
                <w:rFonts w:ascii="Open Sans Light" w:eastAsia="Times New Roman" w:hAnsi="Open Sans Light" w:cs="Open Sans Light"/>
                <w:color w:val="000000"/>
                <w:sz w:val="16"/>
                <w:szCs w:val="16"/>
                <w:lang w:val="es-PE"/>
              </w:rPr>
              <w:t xml:space="preserve"> estandarizando conceptos, estrategias de intervención y mecanismos de seguimiento.</w:t>
            </w:r>
          </w:p>
        </w:tc>
      </w:tr>
      <w:tr w:rsidR="00383A32" w:rsidRPr="00CF7790" w14:paraId="72C7BD80" w14:textId="77777777" w:rsidTr="0078363B">
        <w:trPr>
          <w:trHeight w:val="318"/>
        </w:trPr>
        <w:tc>
          <w:tcPr>
            <w:tcW w:w="2127"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5DBAE5D"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27BCE853"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15297705" w14:textId="3D2FE212"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 xml:space="preserve">Implementar programas especializados para la prevención y atención del </w:t>
            </w:r>
            <w:r w:rsidR="00EF0CCC" w:rsidRPr="00CF7790">
              <w:rPr>
                <w:rFonts w:ascii="Open Sans Light" w:eastAsia="Times New Roman" w:hAnsi="Open Sans Light" w:cs="Open Sans Light"/>
                <w:color w:val="000000"/>
                <w:sz w:val="16"/>
                <w:szCs w:val="16"/>
                <w:lang w:val="es-PE"/>
              </w:rPr>
              <w:t>acoso escolar</w:t>
            </w:r>
            <w:r w:rsidRPr="00CF7790">
              <w:rPr>
                <w:rFonts w:ascii="Open Sans Light" w:eastAsia="Times New Roman" w:hAnsi="Open Sans Light" w:cs="Open Sans Light"/>
                <w:color w:val="000000"/>
                <w:sz w:val="16"/>
                <w:szCs w:val="16"/>
                <w:lang w:val="es-PE"/>
              </w:rPr>
              <w:t xml:space="preserve"> en las instituciones educativas con la participación de las familias.</w:t>
            </w:r>
          </w:p>
        </w:tc>
      </w:tr>
      <w:tr w:rsidR="00383A32" w:rsidRPr="00CF7790" w14:paraId="532DD898" w14:textId="77777777" w:rsidTr="0078363B">
        <w:trPr>
          <w:trHeight w:val="173"/>
        </w:trPr>
        <w:tc>
          <w:tcPr>
            <w:tcW w:w="2127"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3BDCAA9"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5314BCA4"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5D95B42C"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Implementar mecanismos de registro estándares sobre casos de violencia.</w:t>
            </w:r>
          </w:p>
        </w:tc>
      </w:tr>
      <w:tr w:rsidR="00383A32" w:rsidRPr="00CF7790" w14:paraId="5AE6E59C" w14:textId="77777777" w:rsidTr="0078363B">
        <w:trPr>
          <w:trHeight w:val="412"/>
        </w:trPr>
        <w:tc>
          <w:tcPr>
            <w:tcW w:w="2127"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20DB2C8B"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13488480"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11</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600FD839" w14:textId="0FC40528"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 xml:space="preserve">Difusión entre la población estudiantil de las instituciones y mecanismos de denuncia del problema de </w:t>
            </w:r>
            <w:r w:rsidR="00EF0CCC" w:rsidRPr="00CF7790">
              <w:rPr>
                <w:rFonts w:ascii="Open Sans Light" w:eastAsia="Times New Roman" w:hAnsi="Open Sans Light" w:cs="Open Sans Light"/>
                <w:color w:val="000000"/>
                <w:sz w:val="16"/>
                <w:szCs w:val="16"/>
                <w:lang w:val="es-PE"/>
              </w:rPr>
              <w:t>acoso escolar</w:t>
            </w:r>
            <w:r w:rsidRPr="00CF7790">
              <w:rPr>
                <w:rFonts w:ascii="Open Sans Light" w:eastAsia="Times New Roman" w:hAnsi="Open Sans Light" w:cs="Open Sans Light"/>
                <w:color w:val="000000"/>
                <w:sz w:val="16"/>
                <w:szCs w:val="16"/>
                <w:lang w:val="es-PE"/>
              </w:rPr>
              <w:t xml:space="preserve"> o cualquier otro tipo de violencia, como por ejemplo la Línea 100 del MIMP.</w:t>
            </w:r>
          </w:p>
        </w:tc>
      </w:tr>
      <w:tr w:rsidR="00383A32" w:rsidRPr="00CF7790" w14:paraId="53107CA4" w14:textId="77777777" w:rsidTr="0078363B">
        <w:trPr>
          <w:trHeight w:val="250"/>
        </w:trPr>
        <w:tc>
          <w:tcPr>
            <w:tcW w:w="2127"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70388E1"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p>
        </w:tc>
        <w:tc>
          <w:tcPr>
            <w:tcW w:w="555" w:type="dxa"/>
            <w:tcBorders>
              <w:top w:val="nil"/>
              <w:left w:val="nil"/>
              <w:bottom w:val="single" w:sz="4" w:space="0" w:color="auto"/>
              <w:right w:val="single" w:sz="4" w:space="0" w:color="auto"/>
            </w:tcBorders>
            <w:shd w:val="clear" w:color="auto" w:fill="FFFFFF" w:themeFill="background1"/>
            <w:vAlign w:val="center"/>
            <w:hideMark/>
          </w:tcPr>
          <w:p w14:paraId="0DA71F92"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w:t>
            </w:r>
          </w:p>
        </w:tc>
        <w:tc>
          <w:tcPr>
            <w:tcW w:w="5807" w:type="dxa"/>
            <w:tcBorders>
              <w:top w:val="nil"/>
              <w:left w:val="nil"/>
              <w:bottom w:val="single" w:sz="4" w:space="0" w:color="auto"/>
              <w:right w:val="single" w:sz="4" w:space="0" w:color="auto"/>
            </w:tcBorders>
            <w:shd w:val="clear" w:color="auto" w:fill="FFFFFF" w:themeFill="background1"/>
            <w:vAlign w:val="bottom"/>
            <w:hideMark/>
          </w:tcPr>
          <w:p w14:paraId="5F72D2DE"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una educación libre de violencia y maltrato de parte de profesoras y profesores contra alumnas y alumnos.</w:t>
            </w:r>
          </w:p>
        </w:tc>
      </w:tr>
      <w:tr w:rsidR="00383A32" w:rsidRPr="00CF7790" w14:paraId="07E63616" w14:textId="77777777" w:rsidTr="0078363B">
        <w:trPr>
          <w:trHeight w:val="555"/>
        </w:trPr>
        <w:tc>
          <w:tcPr>
            <w:tcW w:w="2127"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8A924B"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Desarrollo de competencias educativas vinculadas al medio ambiente</w:t>
            </w:r>
          </w:p>
        </w:tc>
        <w:tc>
          <w:tcPr>
            <w:tcW w:w="555" w:type="dxa"/>
            <w:tcBorders>
              <w:top w:val="nil"/>
              <w:left w:val="single" w:sz="4" w:space="0" w:color="auto"/>
              <w:bottom w:val="single" w:sz="4" w:space="0" w:color="auto"/>
              <w:right w:val="single" w:sz="4" w:space="0" w:color="auto"/>
            </w:tcBorders>
            <w:shd w:val="clear" w:color="auto" w:fill="FFFFFF" w:themeFill="background1"/>
            <w:vAlign w:val="center"/>
            <w:hideMark/>
          </w:tcPr>
          <w:p w14:paraId="711B249B" w14:textId="77777777" w:rsidR="00383A32" w:rsidRPr="00CF7790" w:rsidRDefault="00383A32"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w:t>
            </w:r>
          </w:p>
        </w:tc>
        <w:tc>
          <w:tcPr>
            <w:tcW w:w="5807" w:type="dxa"/>
            <w:tcBorders>
              <w:top w:val="nil"/>
              <w:left w:val="single" w:sz="4" w:space="0" w:color="auto"/>
              <w:bottom w:val="single" w:sz="4" w:space="0" w:color="auto"/>
              <w:right w:val="single" w:sz="4" w:space="0" w:color="auto"/>
            </w:tcBorders>
            <w:shd w:val="clear" w:color="auto" w:fill="FFFFFF" w:themeFill="background1"/>
            <w:hideMark/>
          </w:tcPr>
          <w:p w14:paraId="39583496" w14:textId="77777777" w:rsidR="00383A32" w:rsidRPr="00CF7790" w:rsidRDefault="00383A32"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Alentar el desarrollo de competencias en investigación, emprendimientos, participación y ecoeficiencia para difundir valores y responsabilidades con el medio ambiente.</w:t>
            </w:r>
          </w:p>
        </w:tc>
      </w:tr>
    </w:tbl>
    <w:p w14:paraId="3D69573E" w14:textId="77777777" w:rsidR="00383A32" w:rsidRPr="00CF7790" w:rsidRDefault="00383A32" w:rsidP="0076744B">
      <w:pPr>
        <w:rPr>
          <w:rFonts w:ascii="Open Sans Light" w:eastAsia="Open Sans Light" w:hAnsi="Open Sans Light" w:cs="Open Sans Light"/>
          <w:sz w:val="24"/>
          <w:szCs w:val="24"/>
        </w:rPr>
      </w:pPr>
    </w:p>
    <w:p w14:paraId="13D3B535" w14:textId="5C974C73" w:rsidR="00FD3218" w:rsidRDefault="00FD3218"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22</w:t>
      </w:r>
      <w:r w:rsidR="00354646">
        <w:rPr>
          <w:noProof/>
        </w:rPr>
        <w:fldChar w:fldCharType="end"/>
      </w:r>
    </w:p>
    <w:tbl>
      <w:tblPr>
        <w:tblW w:w="9245" w:type="dxa"/>
        <w:jc w:val="center"/>
        <w:tblCellMar>
          <w:left w:w="70" w:type="dxa"/>
          <w:right w:w="70" w:type="dxa"/>
        </w:tblCellMar>
        <w:tblLook w:val="04A0" w:firstRow="1" w:lastRow="0" w:firstColumn="1" w:lastColumn="0" w:noHBand="0" w:noVBand="1"/>
      </w:tblPr>
      <w:tblGrid>
        <w:gridCol w:w="1600"/>
        <w:gridCol w:w="1530"/>
        <w:gridCol w:w="3257"/>
        <w:gridCol w:w="1420"/>
        <w:gridCol w:w="1438"/>
      </w:tblGrid>
      <w:tr w:rsidR="00F96701" w:rsidRPr="00CF7790" w14:paraId="0461679D" w14:textId="77777777" w:rsidTr="00F96701">
        <w:trPr>
          <w:trHeight w:val="198"/>
          <w:tblHeader/>
          <w:jc w:val="center"/>
        </w:trPr>
        <w:tc>
          <w:tcPr>
            <w:tcW w:w="1600" w:type="dxa"/>
            <w:tcBorders>
              <w:top w:val="single" w:sz="4" w:space="0" w:color="auto"/>
              <w:left w:val="single" w:sz="4" w:space="0" w:color="auto"/>
              <w:bottom w:val="single" w:sz="4" w:space="0" w:color="000000"/>
              <w:right w:val="single" w:sz="4" w:space="0" w:color="auto"/>
            </w:tcBorders>
            <w:shd w:val="clear" w:color="auto" w:fill="000000" w:themeFill="text1"/>
            <w:vAlign w:val="center"/>
          </w:tcPr>
          <w:p w14:paraId="2725219F" w14:textId="77777777" w:rsidR="00F96701" w:rsidRPr="00CF7790" w:rsidRDefault="00F96701"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EJE / CATEGORÍA</w:t>
            </w:r>
          </w:p>
        </w:tc>
        <w:tc>
          <w:tcPr>
            <w:tcW w:w="1530" w:type="dxa"/>
            <w:tcBorders>
              <w:top w:val="single" w:sz="4" w:space="0" w:color="auto"/>
              <w:left w:val="nil"/>
              <w:bottom w:val="single" w:sz="4" w:space="0" w:color="auto"/>
              <w:right w:val="single" w:sz="4" w:space="0" w:color="auto"/>
            </w:tcBorders>
            <w:shd w:val="clear" w:color="auto" w:fill="000000" w:themeFill="text1"/>
            <w:vAlign w:val="center"/>
          </w:tcPr>
          <w:p w14:paraId="568785BC" w14:textId="77777777" w:rsidR="00F96701" w:rsidRPr="00CF7790" w:rsidRDefault="00F96701"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CUMPLIMIENTO DEL EJE</w:t>
            </w:r>
          </w:p>
        </w:tc>
        <w:tc>
          <w:tcPr>
            <w:tcW w:w="3257"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tcPr>
          <w:p w14:paraId="2822673F" w14:textId="77777777" w:rsidR="00F96701" w:rsidRPr="00CF7790" w:rsidRDefault="00F96701"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MEDIO DE VERIFICACIÓN</w:t>
            </w:r>
          </w:p>
        </w:tc>
        <w:tc>
          <w:tcPr>
            <w:tcW w:w="14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tcPr>
          <w:p w14:paraId="4ADFAF95" w14:textId="77777777" w:rsidR="00F96701" w:rsidRPr="00CF7790" w:rsidRDefault="00F96701"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 xml:space="preserve">PRESUPUESTO EJECUTADO 2020 </w:t>
            </w:r>
          </w:p>
          <w:p w14:paraId="025FBCDA" w14:textId="77777777" w:rsidR="00F96701" w:rsidRPr="00CF7790" w:rsidRDefault="00F96701"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(SOLES)</w:t>
            </w:r>
          </w:p>
        </w:tc>
        <w:tc>
          <w:tcPr>
            <w:tcW w:w="1438"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tcPr>
          <w:p w14:paraId="2DDCA2E1" w14:textId="77777777" w:rsidR="00F96701" w:rsidRPr="00CF7790" w:rsidRDefault="00F96701"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 VAR EJECUCIÓN PRESUPUESTAL 2012 - 2020</w:t>
            </w:r>
          </w:p>
        </w:tc>
      </w:tr>
      <w:tr w:rsidR="00F96701" w:rsidRPr="00CF7790" w14:paraId="6BF93DCA" w14:textId="77777777" w:rsidTr="00F96701">
        <w:trPr>
          <w:trHeight w:val="198"/>
          <w:jc w:val="center"/>
        </w:trPr>
        <w:tc>
          <w:tcPr>
            <w:tcW w:w="16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7D09C4C" w14:textId="77777777" w:rsidR="00F96701" w:rsidRPr="00CF7790" w:rsidRDefault="00F96701"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 xml:space="preserve">Intervenciones vinculadas a la promoción de la </w:t>
            </w:r>
            <w:r w:rsidRPr="00CF7790">
              <w:rPr>
                <w:rFonts w:ascii="Open Sans Light" w:eastAsia="Times New Roman" w:hAnsi="Open Sans Light" w:cs="Open Sans Light"/>
                <w:color w:val="000000"/>
                <w:sz w:val="16"/>
                <w:szCs w:val="16"/>
                <w:lang w:val="es-PE"/>
              </w:rPr>
              <w:lastRenderedPageBreak/>
              <w:t>lectura y matemática</w:t>
            </w:r>
          </w:p>
        </w:tc>
        <w:tc>
          <w:tcPr>
            <w:tcW w:w="1530"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0908D42C"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lastRenderedPageBreak/>
              <w:t>No se cumplió</w:t>
            </w:r>
            <w:r w:rsidRPr="00CF7790">
              <w:rPr>
                <w:rFonts w:ascii="Open Sans Light" w:eastAsia="Times New Roman" w:hAnsi="Open Sans Light" w:cs="Open Sans Light"/>
                <w:color w:val="000000"/>
                <w:sz w:val="16"/>
                <w:szCs w:val="16"/>
                <w:lang w:val="es-PE"/>
              </w:rPr>
              <w:t xml:space="preserve"> la implementación del eje, pues se </w:t>
            </w:r>
            <w:r w:rsidRPr="00CF7790">
              <w:rPr>
                <w:rFonts w:ascii="Open Sans Light" w:eastAsia="Times New Roman" w:hAnsi="Open Sans Light" w:cs="Open Sans Light"/>
                <w:color w:val="000000"/>
                <w:sz w:val="16"/>
                <w:szCs w:val="16"/>
                <w:lang w:val="es-PE"/>
              </w:rPr>
              <w:lastRenderedPageBreak/>
              <w:t>redujo la ejecución presupuestal</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C0572E"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Open Sans Light" w:hAnsi="Open Sans Light" w:cs="Open Sans Light"/>
                <w:color w:val="000000"/>
                <w:sz w:val="16"/>
                <w:szCs w:val="16"/>
              </w:rPr>
              <w:lastRenderedPageBreak/>
              <w:t>Programa Presupuestal Logros de aprendizaje de estudiantes en la educación básica regular – PP 0090</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DD4639"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44,523,071</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DBA943"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-22%</w:t>
            </w:r>
          </w:p>
        </w:tc>
      </w:tr>
      <w:tr w:rsidR="00F96701" w:rsidRPr="00CF7790" w14:paraId="687624FF" w14:textId="77777777" w:rsidTr="00F96701">
        <w:trPr>
          <w:trHeight w:val="198"/>
          <w:jc w:val="center"/>
        </w:trPr>
        <w:tc>
          <w:tcPr>
            <w:tcW w:w="16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3C44F0A" w14:textId="77777777" w:rsidR="00F96701" w:rsidRPr="00CF7790" w:rsidRDefault="00F96701" w:rsidP="0078363B">
            <w:pPr>
              <w:spacing w:after="0" w:line="240" w:lineRule="auto"/>
              <w:jc w:val="center"/>
              <w:rPr>
                <w:rFonts w:ascii="Open Sans Light" w:eastAsia="Open Sans Light" w:hAnsi="Open Sans Light" w:cs="Open Sans Light"/>
                <w:color w:val="000000"/>
                <w:sz w:val="16"/>
                <w:szCs w:val="16"/>
              </w:rPr>
            </w:pPr>
            <w:r w:rsidRPr="00CF7790">
              <w:rPr>
                <w:rFonts w:ascii="Open Sans Light" w:eastAsia="Times New Roman" w:hAnsi="Open Sans Light" w:cs="Open Sans Light"/>
                <w:color w:val="000000"/>
                <w:sz w:val="16"/>
                <w:szCs w:val="16"/>
                <w:lang w:val="es-PE"/>
              </w:rPr>
              <w:t>Formación de docentes con perspectiva de promoción de derechos y enfoque de género</w:t>
            </w:r>
          </w:p>
        </w:tc>
        <w:tc>
          <w:tcPr>
            <w:tcW w:w="1530"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2D1918C3"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No se cumplió</w:t>
            </w:r>
            <w:r w:rsidRPr="00CF7790">
              <w:rPr>
                <w:rFonts w:ascii="Open Sans Light" w:eastAsia="Times New Roman" w:hAnsi="Open Sans Light" w:cs="Open Sans Light"/>
                <w:color w:val="000000"/>
                <w:sz w:val="16"/>
                <w:szCs w:val="16"/>
                <w:lang w:val="es-PE"/>
              </w:rPr>
              <w:t xml:space="preserve"> la implementación del eje, pues se redujo la ejecución presupuestal</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D7BA6C"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Open Sans Light" w:hAnsi="Open Sans Light" w:cs="Open Sans Light"/>
                <w:color w:val="000000"/>
                <w:sz w:val="16"/>
                <w:szCs w:val="16"/>
              </w:rPr>
              <w:t>Programa Presupuestal Logros de aprendizaje de estudiantes en la educación básica regular – PP 0090: Producto</w:t>
            </w:r>
            <w:r w:rsidRPr="00CF7790">
              <w:rPr>
                <w:rFonts w:ascii="Open Sans Light" w:eastAsia="Times New Roman" w:hAnsi="Open Sans Light" w:cs="Open Sans Light"/>
                <w:color w:val="000000"/>
                <w:sz w:val="16"/>
                <w:szCs w:val="16"/>
                <w:lang w:val="es-PE"/>
              </w:rPr>
              <w:t xml:space="preserve"> “Docentes preparados implementan el currículo” </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1782F3"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49,893,253</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076337"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-43%</w:t>
            </w:r>
            <w:r w:rsidRPr="00CF7790">
              <w:rPr>
                <w:rStyle w:val="FootnoteReference"/>
                <w:rFonts w:ascii="Open Sans Light" w:eastAsia="Times New Roman" w:hAnsi="Open Sans Light" w:cs="Open Sans Light"/>
                <w:color w:val="000000"/>
                <w:sz w:val="16"/>
                <w:szCs w:val="16"/>
                <w:lang w:val="es-PE"/>
              </w:rPr>
              <w:footnoteReference w:id="8"/>
            </w:r>
          </w:p>
        </w:tc>
      </w:tr>
      <w:tr w:rsidR="00F96701" w:rsidRPr="00CF7790" w14:paraId="26802858" w14:textId="77777777" w:rsidTr="00F96701">
        <w:trPr>
          <w:trHeight w:val="198"/>
          <w:jc w:val="center"/>
        </w:trPr>
        <w:tc>
          <w:tcPr>
            <w:tcW w:w="16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77639AF"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Intervenciones vinculadas a la violencia en el ámbito educativo</w:t>
            </w:r>
          </w:p>
        </w:tc>
        <w:tc>
          <w:tcPr>
            <w:tcW w:w="1530"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2D8FA965" w14:textId="77777777" w:rsidR="00F96701" w:rsidRPr="00CF7790" w:rsidRDefault="00F96701" w:rsidP="0078363B">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No se cumplió</w:t>
            </w:r>
            <w:r w:rsidRPr="00CF7790">
              <w:rPr>
                <w:rFonts w:ascii="Open Sans Light" w:eastAsia="Times New Roman" w:hAnsi="Open Sans Light" w:cs="Open Sans Light"/>
                <w:color w:val="000000"/>
                <w:sz w:val="16"/>
                <w:szCs w:val="16"/>
                <w:lang w:val="es-PE"/>
              </w:rPr>
              <w:t xml:space="preserve"> la implementación del eje al 2021</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6251B8"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Programa de Salud Materno Neonatal – PP 0002, muestra en su producto “Instituciones educativas saludables promueven salud sexual y reproductiva”</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E5EB5F"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8,565,421</w:t>
            </w:r>
            <w:r w:rsidRPr="00CF7790">
              <w:rPr>
                <w:rStyle w:val="FootnoteReference"/>
                <w:rFonts w:ascii="Open Sans Light" w:eastAsia="Times New Roman" w:hAnsi="Open Sans Light" w:cs="Open Sans Light"/>
                <w:b/>
                <w:bCs/>
                <w:color w:val="000000"/>
                <w:sz w:val="16"/>
                <w:szCs w:val="16"/>
                <w:lang w:val="es-PE"/>
              </w:rPr>
              <w:footnoteReference w:id="9"/>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8341CC"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34%</w:t>
            </w:r>
            <w:r w:rsidRPr="00CF7790">
              <w:rPr>
                <w:rStyle w:val="FootnoteReference"/>
                <w:rFonts w:ascii="Open Sans Light" w:eastAsia="Times New Roman" w:hAnsi="Open Sans Light" w:cs="Open Sans Light"/>
                <w:b/>
                <w:bCs/>
                <w:color w:val="000000"/>
                <w:sz w:val="16"/>
                <w:szCs w:val="16"/>
                <w:lang w:val="es-PE"/>
              </w:rPr>
              <w:footnoteReference w:id="10"/>
            </w:r>
          </w:p>
        </w:tc>
      </w:tr>
      <w:tr w:rsidR="00F96701" w:rsidRPr="00CF7790" w14:paraId="3486A4E8" w14:textId="77777777" w:rsidTr="00F96701">
        <w:trPr>
          <w:trHeight w:val="198"/>
          <w:jc w:val="center"/>
        </w:trPr>
        <w:tc>
          <w:tcPr>
            <w:tcW w:w="160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D988DC4"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Desarrollo de competencias educativas vinculadas al medio ambiente</w:t>
            </w:r>
          </w:p>
        </w:tc>
        <w:tc>
          <w:tcPr>
            <w:tcW w:w="1530"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00834ADC" w14:textId="77777777" w:rsidR="00F96701" w:rsidRPr="00CF7790" w:rsidRDefault="00F96701" w:rsidP="0078363B">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No se cumplió</w:t>
            </w:r>
            <w:r w:rsidRPr="00CF7790">
              <w:rPr>
                <w:rFonts w:ascii="Open Sans Light" w:eastAsia="Times New Roman" w:hAnsi="Open Sans Light" w:cs="Open Sans Light"/>
                <w:color w:val="000000"/>
                <w:sz w:val="16"/>
                <w:szCs w:val="16"/>
                <w:lang w:val="es-PE"/>
              </w:rPr>
              <w:t xml:space="preserve"> la implementación del eje, pues se redujo la ejecución presupuestal</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B854E"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Actividad presupuestal que no resulta en producto (APnoP): “Desarrollo de la educación comunitaria y ambiental”</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95E1B2"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Open Sans Light" w:hAnsi="Open Sans Light" w:cs="Open Sans Light"/>
                <w:color w:val="000000"/>
                <w:sz w:val="16"/>
                <w:szCs w:val="16"/>
                <w:lang w:val="es-PE"/>
              </w:rPr>
              <w:t>605 135</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003F3B" w14:textId="77777777" w:rsidR="00F96701" w:rsidRPr="00CF7790" w:rsidRDefault="00F96701"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-73%</w:t>
            </w:r>
          </w:p>
        </w:tc>
      </w:tr>
    </w:tbl>
    <w:p w14:paraId="2E49B920" w14:textId="77777777" w:rsidR="007D6559" w:rsidRPr="00CF7790" w:rsidRDefault="007D6559" w:rsidP="0076744B">
      <w:pPr>
        <w:rPr>
          <w:rFonts w:ascii="Open Sans Light" w:eastAsia="Open Sans Light" w:hAnsi="Open Sans Light" w:cs="Open Sans Light"/>
          <w:sz w:val="24"/>
          <w:szCs w:val="24"/>
        </w:rPr>
      </w:pPr>
    </w:p>
    <w:p w14:paraId="2050E528" w14:textId="6C93592D" w:rsidR="00DD4965" w:rsidRDefault="00DD4965"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23</w:t>
      </w:r>
      <w:r w:rsidR="00354646">
        <w:rPr>
          <w:noProof/>
        </w:rPr>
        <w:fldChar w:fldCharType="end"/>
      </w:r>
    </w:p>
    <w:tbl>
      <w:tblPr>
        <w:tblW w:w="8099" w:type="dxa"/>
        <w:tblInd w:w="421" w:type="dxa"/>
        <w:tblCellMar>
          <w:left w:w="70" w:type="dxa"/>
          <w:right w:w="70" w:type="dxa"/>
        </w:tblCellMar>
        <w:tblLook w:val="04A0" w:firstRow="1" w:lastRow="0" w:firstColumn="1" w:lastColumn="0" w:noHBand="0" w:noVBand="1"/>
      </w:tblPr>
      <w:tblGrid>
        <w:gridCol w:w="2019"/>
        <w:gridCol w:w="1220"/>
        <w:gridCol w:w="1220"/>
        <w:gridCol w:w="1220"/>
        <w:gridCol w:w="1220"/>
        <w:gridCol w:w="1200"/>
      </w:tblGrid>
      <w:tr w:rsidR="007D6559" w:rsidRPr="00CF7790" w14:paraId="698117D8" w14:textId="77777777" w:rsidTr="00D654C4">
        <w:trPr>
          <w:trHeight w:val="510"/>
        </w:trPr>
        <w:tc>
          <w:tcPr>
            <w:tcW w:w="2019"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56BCEF9B" w14:textId="77777777" w:rsidR="007D6559" w:rsidRPr="00CF7790" w:rsidRDefault="007D6559"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CATEGORIA</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2940F78F" w14:textId="77777777" w:rsidR="007D6559" w:rsidRPr="00CF7790" w:rsidRDefault="007D6559"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2013</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3C65F228" w14:textId="77777777" w:rsidR="007D6559" w:rsidRPr="00CF7790" w:rsidRDefault="007D6559"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2019</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2E07ADC4" w14:textId="77777777" w:rsidR="007D6559" w:rsidRPr="00CF7790" w:rsidRDefault="007D6559"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2020</w:t>
            </w:r>
          </w:p>
        </w:tc>
        <w:tc>
          <w:tcPr>
            <w:tcW w:w="1220" w:type="dxa"/>
            <w:tcBorders>
              <w:top w:val="single" w:sz="4" w:space="0" w:color="auto"/>
              <w:left w:val="nil"/>
              <w:bottom w:val="single" w:sz="4" w:space="0" w:color="auto"/>
              <w:right w:val="single" w:sz="4" w:space="0" w:color="auto"/>
            </w:tcBorders>
            <w:shd w:val="clear" w:color="auto" w:fill="000000" w:themeFill="text1"/>
            <w:vAlign w:val="center"/>
            <w:hideMark/>
          </w:tcPr>
          <w:p w14:paraId="77A20BBF" w14:textId="77777777" w:rsidR="007D6559" w:rsidRPr="00CF7790" w:rsidRDefault="007D6559"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 VAR 2012-2019</w:t>
            </w:r>
          </w:p>
        </w:tc>
        <w:tc>
          <w:tcPr>
            <w:tcW w:w="1200" w:type="dxa"/>
            <w:tcBorders>
              <w:top w:val="single" w:sz="4" w:space="0" w:color="auto"/>
              <w:left w:val="nil"/>
              <w:bottom w:val="single" w:sz="4" w:space="0" w:color="auto"/>
              <w:right w:val="single" w:sz="4" w:space="0" w:color="auto"/>
            </w:tcBorders>
            <w:shd w:val="clear" w:color="auto" w:fill="000000" w:themeFill="text1"/>
            <w:vAlign w:val="center"/>
            <w:hideMark/>
          </w:tcPr>
          <w:p w14:paraId="1EA98C89" w14:textId="77777777" w:rsidR="007D6559" w:rsidRPr="00CF7790" w:rsidRDefault="007D6559" w:rsidP="00D654C4">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 VAR 2012-2020</w:t>
            </w:r>
          </w:p>
        </w:tc>
      </w:tr>
      <w:tr w:rsidR="007D6559" w:rsidRPr="00CF7790" w14:paraId="54F757D9"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87C9C87" w14:textId="77777777" w:rsidR="007D6559" w:rsidRPr="00CF7790" w:rsidRDefault="007D6559"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NACIONAL</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F8D9F76" w14:textId="77777777" w:rsidR="007D6559" w:rsidRPr="00CF7790" w:rsidRDefault="007D6559"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57,030,109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72B6973" w14:textId="77777777" w:rsidR="007D6559" w:rsidRPr="00CF7790" w:rsidRDefault="007D6559"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57,404,107</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7795D15" w14:textId="77777777" w:rsidR="007D6559" w:rsidRPr="00CF7790" w:rsidRDefault="007D6559"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44,523,071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F4D5A7" w14:textId="77777777" w:rsidR="007D6559" w:rsidRPr="00CF7790" w:rsidRDefault="007D6559"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CB55E80" w14:textId="77777777" w:rsidR="007D6559" w:rsidRPr="00CF7790" w:rsidRDefault="007D6559" w:rsidP="00D654C4">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-22%</w:t>
            </w:r>
          </w:p>
        </w:tc>
      </w:tr>
      <w:tr w:rsidR="007D6559" w:rsidRPr="00CF7790" w14:paraId="109A6510"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FF209B5" w14:textId="2EC0CC22"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AMAZONAS</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36B317A"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267,763</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2561585"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272,237</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B84876D"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209,449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4C410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667A10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-22%</w:t>
            </w:r>
          </w:p>
        </w:tc>
      </w:tr>
      <w:tr w:rsidR="007D6559" w:rsidRPr="00CF7790" w14:paraId="46C48CFF"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23DB86" w14:textId="356401D4"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ANCASH</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0A96CD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50,073</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EC025D4"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166,634</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3C780DA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520,232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4B1B9FB"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233%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38AFF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939%</w:t>
            </w:r>
          </w:p>
        </w:tc>
      </w:tr>
      <w:tr w:rsidR="007D6559" w:rsidRPr="00CF7790" w14:paraId="2DC66F01"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61F7C9" w14:textId="58A6F4CF"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APURIMAC</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326BE27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264,393</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FDBC03A"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163,786</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C6A587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46,310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D0E6E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-38%</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374106"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-82%</w:t>
            </w:r>
          </w:p>
        </w:tc>
      </w:tr>
      <w:tr w:rsidR="007D6559" w:rsidRPr="00CF7790" w14:paraId="001C775D"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9D3B74" w14:textId="180A9E64"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AREQUIPA</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AFE8C9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7,629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3263255D"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485,540</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09D2B5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148,186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94782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6264%</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D352C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1842%</w:t>
            </w:r>
          </w:p>
        </w:tc>
      </w:tr>
      <w:tr w:rsidR="007D6559" w:rsidRPr="00CF7790" w14:paraId="3D050D45"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F1BEC0C" w14:textId="6A6B1919"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AYACUCHO</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D3B8136"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223,886</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ED8E40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1,097,047</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1B10AE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806,673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FFD2865"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390%</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E03A60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260%</w:t>
            </w:r>
          </w:p>
        </w:tc>
      </w:tr>
      <w:tr w:rsidR="007D6559" w:rsidRPr="00CF7790" w14:paraId="4B911D96"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5DAE8C9" w14:textId="29AECBD2"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CAJAMARCA</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3A211CE5"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221,016</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35E47AC"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808,258</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2F05A16"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934,123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BCFE9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266%</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7EF531"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323%</w:t>
            </w:r>
          </w:p>
        </w:tc>
      </w:tr>
      <w:tr w:rsidR="007D6559" w:rsidRPr="00CF7790" w14:paraId="0D480157"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928D39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CALLAO</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E4A285D"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21,089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0DFB4FD4"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63,423</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D323BE6"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24,982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30D62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201%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934EE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18%</w:t>
            </w:r>
          </w:p>
        </w:tc>
      </w:tr>
      <w:tr w:rsidR="007D6559" w:rsidRPr="00CF7790" w14:paraId="5B99C5A8"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E682A45" w14:textId="31CDF4CE"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CUSCO</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D2A4D5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442,577</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AE6E0B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292,611</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0648D1D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928,625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A5C48C"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-34%</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71FA3D"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110%</w:t>
            </w:r>
          </w:p>
        </w:tc>
      </w:tr>
      <w:tr w:rsidR="007D6559" w:rsidRPr="00CF7790" w14:paraId="4C916FE8"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540B385" w14:textId="4535618C"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HUANCAVELICA</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0E33C7F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328,381</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38B0F9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379,719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38E305C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826,909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6173FD"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ABA2CD"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152%</w:t>
            </w:r>
          </w:p>
        </w:tc>
      </w:tr>
      <w:tr w:rsidR="007D6559" w:rsidRPr="00CF7790" w14:paraId="01BF5A88"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7F0488" w14:textId="2BEC021D"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HUANUCO</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DDD827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182,819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5E1E2E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382,474</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5CA64BA"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1,078,895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86FEE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EC9FE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490%</w:t>
            </w:r>
          </w:p>
        </w:tc>
      </w:tr>
      <w:tr w:rsidR="007D6559" w:rsidRPr="00CF7790" w14:paraId="399A8B00"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500BF51" w14:textId="1819EC9A"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ICA</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8B84AD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252,305</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11BDE5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146,583</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52E81D4"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92,119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379F5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E9D4E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-63%</w:t>
            </w:r>
          </w:p>
        </w:tc>
      </w:tr>
      <w:tr w:rsidR="007D6559" w:rsidRPr="00CF7790" w14:paraId="54024779"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8D33EFC" w14:textId="35969029"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JUNIN</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B244E65"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120,476</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AE0547B"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726,326</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B15B9B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445,665</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B8282C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503%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E13D8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270%</w:t>
            </w:r>
          </w:p>
        </w:tc>
      </w:tr>
      <w:tr w:rsidR="007D6559" w:rsidRPr="00CF7790" w14:paraId="20AF4C79"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67CC837" w14:textId="6C2541EB"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LA LIBERTAD</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C19EF5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44,659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9FF1B0A"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532,919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ABD514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1,602,106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E51525"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1093%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E691749"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3487%</w:t>
            </w:r>
          </w:p>
        </w:tc>
      </w:tr>
      <w:tr w:rsidR="007D6559" w:rsidRPr="00CF7790" w14:paraId="602200DE"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01588AA" w14:textId="6C5ECA15"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LAMBAYEQUE</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52898E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77,628</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17ECA2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92,709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81D574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A9882C"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AD9C9D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-100%</w:t>
            </w:r>
          </w:p>
        </w:tc>
      </w:tr>
      <w:tr w:rsidR="007D6559" w:rsidRPr="00CF7790" w14:paraId="197F3798"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883FD5" w14:textId="0B7B6F42"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LIMA</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D05998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52,604,870</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0ADFD75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47,837,627</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855E66C"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32,828,726</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2759CB2"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091BE1"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-38%</w:t>
            </w:r>
          </w:p>
        </w:tc>
      </w:tr>
      <w:tr w:rsidR="007D6559" w:rsidRPr="00CF7790" w14:paraId="5BB2489C"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084862E" w14:textId="1967F28C"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LORETO</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371C62E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855,747</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70A5F94"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2,131,448</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40184A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771,312</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4C183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149%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492236"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w:t>
            </w:r>
          </w:p>
        </w:tc>
      </w:tr>
      <w:tr w:rsidR="007D6559" w:rsidRPr="00CF7790" w14:paraId="3805CE00"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1985E17" w14:textId="43D0A7D8"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lastRenderedPageBreak/>
              <w:t>MADRE DE DIOS</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D5E74E5"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392,656</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BB7352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253,074</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E800432"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39,180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02DCDE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-36%</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3FF0C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-90%</w:t>
            </w:r>
          </w:p>
        </w:tc>
      </w:tr>
      <w:tr w:rsidR="007D6559" w:rsidRPr="00CF7790" w14:paraId="6EED2E0B"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1BCB48F" w14:textId="36C3F225"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MOQUEGUA</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F67B4A1"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49,342</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88966CB"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162,864</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A395F9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16,877</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145E7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230%</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6791A2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-66%</w:t>
            </w:r>
          </w:p>
        </w:tc>
      </w:tr>
      <w:tr w:rsidR="007D6559" w:rsidRPr="00CF7790" w14:paraId="3EB54344"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C0C6112" w14:textId="162D45C4"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PASCO</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1F4B9CC"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170,929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4887ACF"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305,799</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2DC3DC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611,483</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3AC852"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823C12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258%</w:t>
            </w:r>
          </w:p>
        </w:tc>
      </w:tr>
      <w:tr w:rsidR="007D6559" w:rsidRPr="00CF7790" w14:paraId="178900FC"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AE26297" w14:textId="61DA3F40"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PIURA</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9ED215B"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63,058</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9258C7B"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196,293</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408B1E27"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709,494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410A55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211%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DA3FF6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1025%</w:t>
            </w:r>
          </w:p>
        </w:tc>
      </w:tr>
      <w:tr w:rsidR="007D6559" w:rsidRPr="00CF7790" w14:paraId="673A592A"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DF787CE" w14:textId="0CB96C4B"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PUNO</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C21D5E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228,180</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917163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337,656</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5BD2BE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413,731</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492B09"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48%</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04B903"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81%</w:t>
            </w:r>
          </w:p>
        </w:tc>
      </w:tr>
      <w:tr w:rsidR="007D6559" w:rsidRPr="00CF7790" w14:paraId="46280E0A"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47B9F7D" w14:textId="407C3E41"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SAN MARTIN</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5A25939"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126,161</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045BF3D"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278,487</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EC677B4"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564,794</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EB077D"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98B0AB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348%</w:t>
            </w:r>
          </w:p>
        </w:tc>
      </w:tr>
      <w:tr w:rsidR="007D6559" w:rsidRPr="00CF7790" w14:paraId="3623B676"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9AF6882" w14:textId="796D289D"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TACNA</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948F2A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24,330</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E91F00B"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58,471</w:t>
            </w:r>
          </w:p>
        </w:tc>
        <w:tc>
          <w:tcPr>
            <w:tcW w:w="1220" w:type="dxa"/>
            <w:tcBorders>
              <w:top w:val="nil"/>
              <w:left w:val="nil"/>
              <w:bottom w:val="nil"/>
              <w:right w:val="single" w:sz="4" w:space="0" w:color="auto"/>
            </w:tcBorders>
            <w:shd w:val="clear" w:color="auto" w:fill="FFFFFF" w:themeFill="background1"/>
            <w:noWrap/>
            <w:vAlign w:val="center"/>
            <w:hideMark/>
          </w:tcPr>
          <w:p w14:paraId="6FB2CE1B"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0</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99C23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140%</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ABD95AB"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-100%</w:t>
            </w:r>
          </w:p>
        </w:tc>
      </w:tr>
      <w:tr w:rsidR="007D6559" w:rsidRPr="00CF7790" w14:paraId="4426B45D"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1B9194" w14:textId="6BBC098A"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TUMBES</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3ACA3E6"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10,144</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31186CD2"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33,814</w:t>
            </w:r>
          </w:p>
        </w:tc>
        <w:tc>
          <w:tcPr>
            <w:tcW w:w="122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138BF5"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25,829</w:t>
            </w:r>
          </w:p>
        </w:tc>
        <w:tc>
          <w:tcPr>
            <w:tcW w:w="12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5ECFD69"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233%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FC282F4"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155%</w:t>
            </w:r>
          </w:p>
        </w:tc>
      </w:tr>
      <w:tr w:rsidR="007D6559" w:rsidRPr="00CF7790" w14:paraId="659F3E15" w14:textId="77777777" w:rsidTr="00D654C4">
        <w:trPr>
          <w:trHeight w:val="300"/>
        </w:trPr>
        <w:tc>
          <w:tcPr>
            <w:tcW w:w="201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BE238F1" w14:textId="27C6F2BD"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UCAYALI</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0AF3145"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0</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C01F4FD"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198,307</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2206E58"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877,372</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5135F71E"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E5608E0" w14:textId="77777777" w:rsidR="007D6559" w:rsidRPr="00CF7790" w:rsidRDefault="007D6559" w:rsidP="00D654C4">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w:t>
            </w:r>
          </w:p>
        </w:tc>
      </w:tr>
    </w:tbl>
    <w:p w14:paraId="5D4FBAC5" w14:textId="77777777" w:rsidR="007D6559" w:rsidRPr="00CF7790" w:rsidRDefault="007D6559" w:rsidP="0076744B">
      <w:pPr>
        <w:rPr>
          <w:rFonts w:ascii="Open Sans Light" w:eastAsia="Open Sans Light" w:hAnsi="Open Sans Light" w:cs="Open Sans Light"/>
          <w:sz w:val="24"/>
          <w:szCs w:val="24"/>
        </w:rPr>
      </w:pPr>
    </w:p>
    <w:p w14:paraId="037AB841" w14:textId="4B2164FA" w:rsidR="00C37F8A" w:rsidRDefault="00C37F8A"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24</w:t>
      </w:r>
      <w:r w:rsidR="00354646">
        <w:rPr>
          <w:noProof/>
        </w:rPr>
        <w:fldChar w:fldCharType="end"/>
      </w:r>
    </w:p>
    <w:tbl>
      <w:tblPr>
        <w:tblW w:w="8260" w:type="dxa"/>
        <w:tblInd w:w="279" w:type="dxa"/>
        <w:tblCellMar>
          <w:left w:w="70" w:type="dxa"/>
          <w:right w:w="70" w:type="dxa"/>
        </w:tblCellMar>
        <w:tblLook w:val="04A0" w:firstRow="1" w:lastRow="0" w:firstColumn="1" w:lastColumn="0" w:noHBand="0" w:noVBand="1"/>
      </w:tblPr>
      <w:tblGrid>
        <w:gridCol w:w="1843"/>
        <w:gridCol w:w="567"/>
        <w:gridCol w:w="5850"/>
      </w:tblGrid>
      <w:tr w:rsidR="00992646" w:rsidRPr="00CF7790" w14:paraId="44E69B52" w14:textId="77777777" w:rsidTr="0078363B">
        <w:trPr>
          <w:trHeight w:val="283"/>
          <w:tblHeader/>
        </w:trPr>
        <w:tc>
          <w:tcPr>
            <w:tcW w:w="1843"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079E0D91" w14:textId="77777777" w:rsidR="00992646" w:rsidRPr="00CF7790" w:rsidRDefault="00992646" w:rsidP="0078363B">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CATEGORIAS</w:t>
            </w:r>
          </w:p>
        </w:tc>
        <w:tc>
          <w:tcPr>
            <w:tcW w:w="567" w:type="dxa"/>
            <w:tcBorders>
              <w:top w:val="single" w:sz="4" w:space="0" w:color="auto"/>
              <w:left w:val="nil"/>
              <w:bottom w:val="single" w:sz="4" w:space="0" w:color="auto"/>
              <w:right w:val="single" w:sz="4" w:space="0" w:color="auto"/>
            </w:tcBorders>
            <w:shd w:val="clear" w:color="000000" w:fill="000000"/>
            <w:vAlign w:val="center"/>
            <w:hideMark/>
          </w:tcPr>
          <w:p w14:paraId="557B2487" w14:textId="77777777" w:rsidR="00992646" w:rsidRPr="00CF7790" w:rsidRDefault="00992646" w:rsidP="0078363B">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Nº </w:t>
            </w:r>
          </w:p>
        </w:tc>
        <w:tc>
          <w:tcPr>
            <w:tcW w:w="5850" w:type="dxa"/>
            <w:tcBorders>
              <w:top w:val="single" w:sz="4" w:space="0" w:color="auto"/>
              <w:left w:val="nil"/>
              <w:bottom w:val="single" w:sz="4" w:space="0" w:color="auto"/>
              <w:right w:val="single" w:sz="4" w:space="0" w:color="auto"/>
            </w:tcBorders>
            <w:shd w:val="clear" w:color="000000" w:fill="000000"/>
            <w:vAlign w:val="center"/>
            <w:hideMark/>
          </w:tcPr>
          <w:p w14:paraId="7035395D" w14:textId="36580C77" w:rsidR="00992646" w:rsidRPr="00CF7790" w:rsidRDefault="00992646" w:rsidP="0078363B">
            <w:pPr>
              <w:spacing w:after="0" w:line="240" w:lineRule="auto"/>
              <w:jc w:val="center"/>
              <w:rPr>
                <w:rFonts w:ascii="Open Sans Light" w:eastAsia="Times New Roman" w:hAnsi="Open Sans Light" w:cs="Open Sans Light"/>
                <w:b/>
                <w:bCs/>
                <w:color w:val="FFFFFF"/>
                <w:sz w:val="16"/>
                <w:szCs w:val="16"/>
                <w:lang w:val="es-PE"/>
              </w:rPr>
            </w:pPr>
            <w:r w:rsidRPr="00CF7790">
              <w:rPr>
                <w:rFonts w:ascii="Open Sans Light" w:eastAsia="Times New Roman" w:hAnsi="Open Sans Light" w:cs="Open Sans Light"/>
                <w:b/>
                <w:bCs/>
                <w:color w:val="FFFFFF"/>
                <w:sz w:val="16"/>
                <w:szCs w:val="16"/>
                <w:lang w:val="es-PE"/>
              </w:rPr>
              <w:t xml:space="preserve">ESTRATEGIAS DE IMPLEMENTACIÓN DEL </w:t>
            </w:r>
            <w:r w:rsidR="00D979D4" w:rsidRPr="00CF7790">
              <w:rPr>
                <w:rFonts w:ascii="Open Sans Light" w:eastAsia="Times New Roman" w:hAnsi="Open Sans Light" w:cs="Open Sans Light"/>
                <w:b/>
                <w:bCs/>
                <w:color w:val="FFFFFF"/>
                <w:sz w:val="16"/>
                <w:szCs w:val="16"/>
                <w:lang w:val="es-PE"/>
              </w:rPr>
              <w:t>PNAIA 2012 – 2021</w:t>
            </w:r>
          </w:p>
        </w:tc>
      </w:tr>
      <w:tr w:rsidR="00992646" w:rsidRPr="00CF7790" w14:paraId="32AEE60E" w14:textId="77777777" w:rsidTr="0078363B">
        <w:trPr>
          <w:trHeight w:val="491"/>
        </w:trPr>
        <w:tc>
          <w:tcPr>
            <w:tcW w:w="1843" w:type="dxa"/>
            <w:vMerge w:val="restart"/>
            <w:tcBorders>
              <w:top w:val="nil"/>
              <w:left w:val="single" w:sz="4" w:space="0" w:color="auto"/>
              <w:right w:val="single" w:sz="4" w:space="0" w:color="auto"/>
            </w:tcBorders>
            <w:shd w:val="clear" w:color="auto" w:fill="FFFFFF" w:themeFill="background1"/>
            <w:vAlign w:val="center"/>
            <w:hideMark/>
          </w:tcPr>
          <w:p w14:paraId="5DE1806A"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Fortalecimiento de las intervenciones de prevención, atención y recuperación en temas de violencia familiar y escolar</w:t>
            </w:r>
          </w:p>
        </w:tc>
        <w:tc>
          <w:tcPr>
            <w:tcW w:w="567" w:type="dxa"/>
            <w:tcBorders>
              <w:top w:val="nil"/>
              <w:left w:val="nil"/>
              <w:bottom w:val="single" w:sz="4" w:space="0" w:color="auto"/>
              <w:right w:val="single" w:sz="4" w:space="0" w:color="auto"/>
            </w:tcBorders>
            <w:shd w:val="clear" w:color="auto" w:fill="FFFFFF" w:themeFill="background1"/>
            <w:vAlign w:val="center"/>
            <w:hideMark/>
          </w:tcPr>
          <w:p w14:paraId="2F08445E"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6B33862A"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Formular y garantizar la continuidad y sostenibilidad de un Programa presupuestal con enfoque de Resultados sobre la violencia familiar y escolar.</w:t>
            </w:r>
          </w:p>
        </w:tc>
      </w:tr>
      <w:tr w:rsidR="00992646" w:rsidRPr="00CF7790" w14:paraId="2C984D35" w14:textId="77777777" w:rsidTr="0078363B">
        <w:trPr>
          <w:trHeight w:val="470"/>
        </w:trPr>
        <w:tc>
          <w:tcPr>
            <w:tcW w:w="1843" w:type="dxa"/>
            <w:vMerge/>
            <w:tcBorders>
              <w:left w:val="single" w:sz="4" w:space="0" w:color="auto"/>
              <w:right w:val="single" w:sz="4" w:space="0" w:color="auto"/>
            </w:tcBorders>
            <w:shd w:val="clear" w:color="auto" w:fill="FFFFFF" w:themeFill="background1"/>
            <w:vAlign w:val="center"/>
            <w:hideMark/>
          </w:tcPr>
          <w:p w14:paraId="7ABC7708"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hideMark/>
          </w:tcPr>
          <w:p w14:paraId="2B2F66D8"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2</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5489268A"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Implementar una ruta de atención a niñas, niños y adolescentes víctimas de violencia familiar y escolar que debe considerar un Sistema de Registro Único.</w:t>
            </w:r>
          </w:p>
        </w:tc>
      </w:tr>
      <w:tr w:rsidR="00992646" w:rsidRPr="00CF7790" w14:paraId="5F673FE2" w14:textId="77777777" w:rsidTr="0078363B">
        <w:trPr>
          <w:trHeight w:val="436"/>
        </w:trPr>
        <w:tc>
          <w:tcPr>
            <w:tcW w:w="1843" w:type="dxa"/>
            <w:vMerge/>
            <w:tcBorders>
              <w:left w:val="single" w:sz="4" w:space="0" w:color="auto"/>
              <w:right w:val="single" w:sz="4" w:space="0" w:color="auto"/>
            </w:tcBorders>
            <w:shd w:val="clear" w:color="auto" w:fill="FFFFFF" w:themeFill="background1"/>
            <w:vAlign w:val="center"/>
            <w:hideMark/>
          </w:tcPr>
          <w:p w14:paraId="69D6B242"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hideMark/>
          </w:tcPr>
          <w:p w14:paraId="6C817D2B"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3</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3EABC9BD"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una intervención articulada contra la violencia familiar y escolar en el marco de los Sistemas Locales de Atención Integral al Niño y al Adolescente.</w:t>
            </w:r>
          </w:p>
        </w:tc>
      </w:tr>
      <w:tr w:rsidR="00992646" w:rsidRPr="00CF7790" w14:paraId="711FBF0B" w14:textId="77777777" w:rsidTr="0078363B">
        <w:trPr>
          <w:trHeight w:val="436"/>
        </w:trPr>
        <w:tc>
          <w:tcPr>
            <w:tcW w:w="1843" w:type="dxa"/>
            <w:vMerge/>
            <w:tcBorders>
              <w:left w:val="single" w:sz="4" w:space="0" w:color="auto"/>
              <w:right w:val="single" w:sz="4" w:space="0" w:color="auto"/>
            </w:tcBorders>
            <w:shd w:val="clear" w:color="auto" w:fill="FFFFFF" w:themeFill="background1"/>
            <w:vAlign w:val="center"/>
          </w:tcPr>
          <w:p w14:paraId="170AB458"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10B55562"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4</w:t>
            </w:r>
          </w:p>
        </w:tc>
        <w:tc>
          <w:tcPr>
            <w:tcW w:w="5850" w:type="dxa"/>
            <w:tcBorders>
              <w:top w:val="nil"/>
              <w:left w:val="nil"/>
              <w:bottom w:val="single" w:sz="4" w:space="0" w:color="auto"/>
              <w:right w:val="single" w:sz="4" w:space="0" w:color="auto"/>
            </w:tcBorders>
            <w:shd w:val="clear" w:color="auto" w:fill="FFFFFF" w:themeFill="background1"/>
            <w:vAlign w:val="center"/>
          </w:tcPr>
          <w:p w14:paraId="17995A09"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el fortalecimiento y funcionamiento de servicios de prevención, atención y recuperación de niñas, niños y adolescentes víctimas de violencia familiar y escolar, fomentando una intervención articulada.</w:t>
            </w:r>
          </w:p>
        </w:tc>
      </w:tr>
      <w:tr w:rsidR="00992646" w:rsidRPr="00CF7790" w14:paraId="576E12E3" w14:textId="77777777" w:rsidTr="0078363B">
        <w:trPr>
          <w:trHeight w:val="436"/>
        </w:trPr>
        <w:tc>
          <w:tcPr>
            <w:tcW w:w="1843" w:type="dxa"/>
            <w:vMerge/>
            <w:tcBorders>
              <w:left w:val="single" w:sz="4" w:space="0" w:color="auto"/>
              <w:bottom w:val="single" w:sz="4" w:space="0" w:color="auto"/>
              <w:right w:val="single" w:sz="4" w:space="0" w:color="auto"/>
            </w:tcBorders>
            <w:shd w:val="clear" w:color="auto" w:fill="FFFFFF" w:themeFill="background1"/>
            <w:vAlign w:val="center"/>
          </w:tcPr>
          <w:p w14:paraId="69F0F68A"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5C2EFB8D"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5</w:t>
            </w:r>
          </w:p>
        </w:tc>
        <w:tc>
          <w:tcPr>
            <w:tcW w:w="5850" w:type="dxa"/>
            <w:tcBorders>
              <w:top w:val="nil"/>
              <w:left w:val="nil"/>
              <w:bottom w:val="single" w:sz="4" w:space="0" w:color="auto"/>
              <w:right w:val="single" w:sz="4" w:space="0" w:color="auto"/>
            </w:tcBorders>
            <w:shd w:val="clear" w:color="auto" w:fill="FFFFFF" w:themeFill="background1"/>
            <w:vAlign w:val="center"/>
          </w:tcPr>
          <w:p w14:paraId="11752DE3"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Fortalecer la línea 100 del MIMP y posicionarla como estrategia del Estado para formular denuncias de violencia familiar y escolar ejercida contra niñas, niños y adolescentes.</w:t>
            </w:r>
          </w:p>
        </w:tc>
      </w:tr>
      <w:tr w:rsidR="00992646" w:rsidRPr="00CF7790" w14:paraId="24F6FA0C" w14:textId="77777777" w:rsidTr="0078363B">
        <w:trPr>
          <w:trHeight w:val="491"/>
        </w:trPr>
        <w:tc>
          <w:tcPr>
            <w:tcW w:w="184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D77BDC"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Fortalecimiento de habilidades y capacidades contra la violencia familiar y escolar</w:t>
            </w:r>
          </w:p>
        </w:tc>
        <w:tc>
          <w:tcPr>
            <w:tcW w:w="567" w:type="dxa"/>
            <w:tcBorders>
              <w:top w:val="nil"/>
              <w:left w:val="nil"/>
              <w:bottom w:val="single" w:sz="4" w:space="0" w:color="auto"/>
              <w:right w:val="single" w:sz="4" w:space="0" w:color="auto"/>
            </w:tcBorders>
            <w:shd w:val="clear" w:color="auto" w:fill="FFFFFF" w:themeFill="background1"/>
            <w:vAlign w:val="center"/>
          </w:tcPr>
          <w:p w14:paraId="49B78841"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6</w:t>
            </w:r>
          </w:p>
        </w:tc>
        <w:tc>
          <w:tcPr>
            <w:tcW w:w="5850" w:type="dxa"/>
            <w:tcBorders>
              <w:top w:val="nil"/>
              <w:left w:val="nil"/>
              <w:bottom w:val="single" w:sz="4" w:space="0" w:color="auto"/>
              <w:right w:val="single" w:sz="4" w:space="0" w:color="auto"/>
            </w:tcBorders>
            <w:shd w:val="clear" w:color="auto" w:fill="FFFFFF" w:themeFill="background1"/>
            <w:vAlign w:val="center"/>
          </w:tcPr>
          <w:p w14:paraId="20F2FD95"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Especialización de operadores/as involucrados en la atención integral y prevención de la violencia contra niñas, niños y adolescentes con enfoques de derechos, intercultural, generacional y de género.</w:t>
            </w:r>
          </w:p>
        </w:tc>
      </w:tr>
      <w:tr w:rsidR="00992646" w:rsidRPr="00CF7790" w14:paraId="54C71AE2" w14:textId="77777777" w:rsidTr="0078363B">
        <w:trPr>
          <w:trHeight w:val="698"/>
        </w:trPr>
        <w:tc>
          <w:tcPr>
            <w:tcW w:w="1843" w:type="dxa"/>
            <w:vMerge/>
            <w:tcBorders>
              <w:top w:val="nil"/>
              <w:left w:val="single" w:sz="4" w:space="0" w:color="auto"/>
              <w:bottom w:val="single" w:sz="4" w:space="0" w:color="auto"/>
              <w:right w:val="single" w:sz="4" w:space="0" w:color="auto"/>
            </w:tcBorders>
            <w:shd w:val="clear" w:color="auto" w:fill="FFFFFF" w:themeFill="background1"/>
            <w:vAlign w:val="center"/>
          </w:tcPr>
          <w:p w14:paraId="31E36BB0"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7CA703CB"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7</w:t>
            </w:r>
          </w:p>
        </w:tc>
        <w:tc>
          <w:tcPr>
            <w:tcW w:w="5850" w:type="dxa"/>
            <w:tcBorders>
              <w:top w:val="nil"/>
              <w:left w:val="nil"/>
              <w:bottom w:val="single" w:sz="4" w:space="0" w:color="auto"/>
              <w:right w:val="single" w:sz="4" w:space="0" w:color="auto"/>
            </w:tcBorders>
            <w:shd w:val="clear" w:color="auto" w:fill="FFFFFF" w:themeFill="background1"/>
            <w:vAlign w:val="center"/>
          </w:tcPr>
          <w:p w14:paraId="2E49802D"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Desarrollar y fortalecer programas de capacitación de padres, madres, cuidadores y otros adultos a cargo de niñas, niños y adolescentes sobre métodos positivos de crianza, solución de conflictos sin violencia y educación de niñas, niños y adolescentes.</w:t>
            </w:r>
          </w:p>
        </w:tc>
      </w:tr>
      <w:tr w:rsidR="00992646" w:rsidRPr="00CF7790" w14:paraId="7E3B8709" w14:textId="77777777" w:rsidTr="0078363B">
        <w:trPr>
          <w:trHeight w:val="396"/>
        </w:trPr>
        <w:tc>
          <w:tcPr>
            <w:tcW w:w="1843" w:type="dxa"/>
            <w:vMerge/>
            <w:tcBorders>
              <w:top w:val="nil"/>
              <w:left w:val="single" w:sz="4" w:space="0" w:color="auto"/>
              <w:bottom w:val="single" w:sz="4" w:space="0" w:color="auto"/>
              <w:right w:val="single" w:sz="4" w:space="0" w:color="auto"/>
            </w:tcBorders>
            <w:shd w:val="clear" w:color="auto" w:fill="FFFFFF" w:themeFill="background1"/>
            <w:vAlign w:val="center"/>
          </w:tcPr>
          <w:p w14:paraId="755F3673"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60B8DEA0"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8</w:t>
            </w:r>
          </w:p>
        </w:tc>
        <w:tc>
          <w:tcPr>
            <w:tcW w:w="5850" w:type="dxa"/>
            <w:tcBorders>
              <w:top w:val="nil"/>
              <w:left w:val="nil"/>
              <w:bottom w:val="single" w:sz="4" w:space="0" w:color="auto"/>
              <w:right w:val="single" w:sz="4" w:space="0" w:color="auto"/>
            </w:tcBorders>
            <w:shd w:val="clear" w:color="auto" w:fill="FFFFFF" w:themeFill="background1"/>
            <w:vAlign w:val="center"/>
          </w:tcPr>
          <w:p w14:paraId="2F417BEA"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Fortalecer las habilidades sociales de niñas, niños, adolescentes mujeres y varones para reconocer las diferentes formas y expresiones de violencia, haciéndole frente mediante la denuncia en las instituciones de los sistemas de protección.</w:t>
            </w:r>
          </w:p>
        </w:tc>
      </w:tr>
      <w:tr w:rsidR="00992646" w:rsidRPr="00CF7790" w14:paraId="18167822" w14:textId="77777777" w:rsidTr="0078363B">
        <w:trPr>
          <w:trHeight w:val="850"/>
        </w:trPr>
        <w:tc>
          <w:tcPr>
            <w:tcW w:w="1843" w:type="dxa"/>
            <w:vMerge w:val="restart"/>
            <w:tcBorders>
              <w:top w:val="single" w:sz="4" w:space="0" w:color="auto"/>
              <w:left w:val="single" w:sz="4" w:space="0" w:color="auto"/>
              <w:right w:val="single" w:sz="4" w:space="0" w:color="auto"/>
            </w:tcBorders>
            <w:shd w:val="clear" w:color="auto" w:fill="FFFFFF" w:themeFill="background1"/>
            <w:vAlign w:val="center"/>
            <w:hideMark/>
          </w:tcPr>
          <w:p w14:paraId="4CB86BF7"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Sensibilización en contra de la violencia familiar y escolar</w:t>
            </w: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5A12BAC5"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9</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1B9401D1"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Movilización nacional para vigilar el cumplimiento del buen trato hacia las niñas, niños y adolescentes en sus familias e Instituciones Educativas.</w:t>
            </w:r>
          </w:p>
        </w:tc>
      </w:tr>
      <w:tr w:rsidR="00992646" w:rsidRPr="00CF7790" w14:paraId="76C60ECB" w14:textId="77777777" w:rsidTr="0078363B">
        <w:trPr>
          <w:trHeight w:val="425"/>
        </w:trPr>
        <w:tc>
          <w:tcPr>
            <w:tcW w:w="1843" w:type="dxa"/>
            <w:vMerge/>
            <w:tcBorders>
              <w:left w:val="single" w:sz="4" w:space="0" w:color="auto"/>
              <w:right w:val="single" w:sz="4" w:space="0" w:color="auto"/>
            </w:tcBorders>
            <w:shd w:val="clear" w:color="auto" w:fill="FFFFFF" w:themeFill="background1"/>
            <w:vAlign w:val="center"/>
            <w:hideMark/>
          </w:tcPr>
          <w:p w14:paraId="310B7596"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1FAACF0A"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10</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76D57A69"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Fortalecer las especialidades académicas, la investigación y el diálogo nacional sobre el problema de la violencia familiar y escolar, generando corrientes de opinión e iniciativas que prevengan estas violencias y fomenten una cultura de paz.</w:t>
            </w:r>
          </w:p>
        </w:tc>
      </w:tr>
      <w:tr w:rsidR="00992646" w:rsidRPr="00CF7790" w14:paraId="30C39AAB" w14:textId="77777777" w:rsidTr="0078363B">
        <w:trPr>
          <w:trHeight w:val="352"/>
        </w:trPr>
        <w:tc>
          <w:tcPr>
            <w:tcW w:w="1843" w:type="dxa"/>
            <w:vMerge/>
            <w:tcBorders>
              <w:left w:val="single" w:sz="4" w:space="0" w:color="auto"/>
              <w:bottom w:val="single" w:sz="4" w:space="0" w:color="auto"/>
              <w:right w:val="single" w:sz="4" w:space="0" w:color="auto"/>
            </w:tcBorders>
            <w:shd w:val="clear" w:color="auto" w:fill="FFFFFF" w:themeFill="background1"/>
            <w:vAlign w:val="center"/>
            <w:hideMark/>
          </w:tcPr>
          <w:p w14:paraId="27327D4E"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56FDE10B"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11</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64AF3650"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Involucrar a las autoridades nacionales, regionales y locales en la implementación de políticas públicas para la atención de la violencia familiar y escolar.</w:t>
            </w:r>
          </w:p>
        </w:tc>
      </w:tr>
      <w:tr w:rsidR="00992646" w:rsidRPr="00CF7790" w14:paraId="58F7B243" w14:textId="77777777" w:rsidTr="0078363B">
        <w:trPr>
          <w:trHeight w:val="619"/>
        </w:trPr>
        <w:tc>
          <w:tcPr>
            <w:tcW w:w="184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115269"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Mejoramiento del sistema de información con fines de seguimiento a la violencia familiar y escolar</w:t>
            </w: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42935A24"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12</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29F5E24F"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Construir una línea de base y generar información periódica a nivel nacional, que mida el alcance de la violencia familiar y escolar en el país.</w:t>
            </w:r>
          </w:p>
        </w:tc>
      </w:tr>
      <w:tr w:rsidR="00992646" w:rsidRPr="00CF7790" w14:paraId="17CD9BCF" w14:textId="77777777" w:rsidTr="0078363B">
        <w:trPr>
          <w:trHeight w:val="619"/>
        </w:trPr>
        <w:tc>
          <w:tcPr>
            <w:tcW w:w="18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17E8BB5"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5EC270A6"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13</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64687E99"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 xml:space="preserve">Implementar un observatorio de homicidios de niñas, niños y adolescentes en un contexto de violencia familiar que recolecte, mida y analice información relativa a los asesinatos de niñas, niños y adolescentes; y que además realiza </w:t>
            </w:r>
            <w:r w:rsidRPr="00CF7790">
              <w:rPr>
                <w:rFonts w:ascii="Open Sans Light" w:eastAsia="Times New Roman" w:hAnsi="Open Sans Light" w:cs="Open Sans Light"/>
                <w:color w:val="000000"/>
                <w:sz w:val="16"/>
                <w:szCs w:val="16"/>
                <w:lang w:val="es-PE"/>
              </w:rPr>
              <w:lastRenderedPageBreak/>
              <w:t>acciones de seguimiento a la atención de los casos y proponga mejorar a la política social.</w:t>
            </w:r>
          </w:p>
        </w:tc>
      </w:tr>
      <w:tr w:rsidR="00992646" w:rsidRPr="00CF7790" w14:paraId="3F2CBEB8" w14:textId="77777777" w:rsidTr="0078363B">
        <w:trPr>
          <w:trHeight w:val="619"/>
        </w:trPr>
        <w:tc>
          <w:tcPr>
            <w:tcW w:w="184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DF2113"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lastRenderedPageBreak/>
              <w:t>Promoción e implementación de normas en contra de la violencia familiar y escolar.</w:t>
            </w:r>
          </w:p>
        </w:tc>
        <w:tc>
          <w:tcPr>
            <w:tcW w:w="567" w:type="dxa"/>
            <w:tcBorders>
              <w:top w:val="single" w:sz="4" w:space="0" w:color="auto"/>
              <w:left w:val="nil"/>
              <w:bottom w:val="single" w:sz="4" w:space="0" w:color="auto"/>
              <w:right w:val="single" w:sz="4" w:space="0" w:color="auto"/>
            </w:tcBorders>
            <w:shd w:val="clear" w:color="auto" w:fill="FFFFFF" w:themeFill="background1"/>
            <w:vAlign w:val="center"/>
          </w:tcPr>
          <w:p w14:paraId="1C04BDAE"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14</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7CED85A3"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Difundir, de manera directa y simple, los alcances de la Ley contra la violencia familiar y sexual, articulando acciones de todos los sectores (gobiernos regionales y locales, sector privado, iglesias y organizaciones de la sociedad civil) a fin de crear una cultura que propicie el buen trato y afecto a las niñas, niños y adolescentes, junto a una vida familiar sana.</w:t>
            </w:r>
          </w:p>
        </w:tc>
      </w:tr>
      <w:tr w:rsidR="00992646" w:rsidRPr="00CF7790" w14:paraId="5D287EBB" w14:textId="77777777" w:rsidTr="0078363B">
        <w:trPr>
          <w:trHeight w:val="619"/>
        </w:trPr>
        <w:tc>
          <w:tcPr>
            <w:tcW w:w="18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29D601A"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5A7C9551"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15</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78793663"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Estrategia legal y de comunicación para considerar el hogar como un sitio de interés público cuando se presente una situación de violencia familiar.</w:t>
            </w:r>
          </w:p>
        </w:tc>
      </w:tr>
      <w:tr w:rsidR="00992646" w:rsidRPr="00CF7790" w14:paraId="3E94D193" w14:textId="77777777" w:rsidTr="0078363B">
        <w:trPr>
          <w:trHeight w:val="619"/>
        </w:trPr>
        <w:tc>
          <w:tcPr>
            <w:tcW w:w="18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592B50E"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1838D439"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16</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5732452E"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Implementación del Código de Protección de Identidad de la niña, niño o adolescente víctima de violencia familiar y escolar.</w:t>
            </w:r>
          </w:p>
        </w:tc>
      </w:tr>
      <w:tr w:rsidR="00992646" w:rsidRPr="00CF7790" w14:paraId="3A6A32C6" w14:textId="77777777" w:rsidTr="0078363B">
        <w:trPr>
          <w:trHeight w:val="619"/>
        </w:trPr>
        <w:tc>
          <w:tcPr>
            <w:tcW w:w="1843"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E38C266"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p>
        </w:tc>
        <w:tc>
          <w:tcPr>
            <w:tcW w:w="567" w:type="dxa"/>
            <w:tcBorders>
              <w:top w:val="nil"/>
              <w:left w:val="nil"/>
              <w:bottom w:val="single" w:sz="4" w:space="0" w:color="auto"/>
              <w:right w:val="single" w:sz="4" w:space="0" w:color="auto"/>
            </w:tcBorders>
            <w:shd w:val="clear" w:color="auto" w:fill="FFFFFF" w:themeFill="background1"/>
            <w:vAlign w:val="center"/>
          </w:tcPr>
          <w:p w14:paraId="1286C6A2" w14:textId="77777777" w:rsidR="00992646" w:rsidRPr="00CF7790" w:rsidRDefault="00992646"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17</w:t>
            </w:r>
          </w:p>
        </w:tc>
        <w:tc>
          <w:tcPr>
            <w:tcW w:w="5850" w:type="dxa"/>
            <w:tcBorders>
              <w:top w:val="nil"/>
              <w:left w:val="nil"/>
              <w:bottom w:val="single" w:sz="4" w:space="0" w:color="auto"/>
              <w:right w:val="single" w:sz="4" w:space="0" w:color="auto"/>
            </w:tcBorders>
            <w:shd w:val="clear" w:color="auto" w:fill="FFFFFF" w:themeFill="background1"/>
            <w:vAlign w:val="center"/>
            <w:hideMark/>
          </w:tcPr>
          <w:p w14:paraId="577EE6D4" w14:textId="77777777" w:rsidR="00992646" w:rsidRPr="00CF7790" w:rsidRDefault="00992646"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Promover un marco normativo orientado a la educación familiar que promueva el buen trato en la crianza de niñas, niños y adolescentes, y elimine el uso del castigo físico y humillante como mecanismo de corrección y disciplina.</w:t>
            </w:r>
          </w:p>
        </w:tc>
      </w:tr>
    </w:tbl>
    <w:p w14:paraId="5B55DA21" w14:textId="77777777" w:rsidR="00992646" w:rsidRPr="00CF7790" w:rsidRDefault="00992646" w:rsidP="0076744B">
      <w:pPr>
        <w:rPr>
          <w:rFonts w:ascii="Open Sans Light" w:eastAsia="Open Sans Light" w:hAnsi="Open Sans Light" w:cs="Open Sans Light"/>
          <w:sz w:val="24"/>
          <w:szCs w:val="24"/>
        </w:rPr>
      </w:pPr>
    </w:p>
    <w:p w14:paraId="7C4C2A6B" w14:textId="2D0A87E1" w:rsidR="00166B7E" w:rsidRDefault="00166B7E"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25</w:t>
      </w:r>
      <w:r w:rsidR="00354646">
        <w:rPr>
          <w:noProof/>
        </w:rPr>
        <w:fldChar w:fldCharType="end"/>
      </w:r>
    </w:p>
    <w:tbl>
      <w:tblPr>
        <w:tblW w:w="9245" w:type="dxa"/>
        <w:jc w:val="center"/>
        <w:tblCellMar>
          <w:left w:w="70" w:type="dxa"/>
          <w:right w:w="70" w:type="dxa"/>
        </w:tblCellMar>
        <w:tblLook w:val="04A0" w:firstRow="1" w:lastRow="0" w:firstColumn="1" w:lastColumn="0" w:noHBand="0" w:noVBand="1"/>
      </w:tblPr>
      <w:tblGrid>
        <w:gridCol w:w="1604"/>
        <w:gridCol w:w="1526"/>
        <w:gridCol w:w="3257"/>
        <w:gridCol w:w="1420"/>
        <w:gridCol w:w="1438"/>
      </w:tblGrid>
      <w:tr w:rsidR="0064404C" w:rsidRPr="00CF7790" w14:paraId="02F0041D" w14:textId="77777777" w:rsidTr="0064404C">
        <w:trPr>
          <w:trHeight w:val="198"/>
          <w:tblHeader/>
          <w:jc w:val="center"/>
        </w:trPr>
        <w:tc>
          <w:tcPr>
            <w:tcW w:w="1604" w:type="dxa"/>
            <w:tcBorders>
              <w:top w:val="single" w:sz="4" w:space="0" w:color="auto"/>
              <w:left w:val="single" w:sz="4" w:space="0" w:color="auto"/>
              <w:bottom w:val="single" w:sz="4" w:space="0" w:color="000000"/>
              <w:right w:val="single" w:sz="4" w:space="0" w:color="auto"/>
            </w:tcBorders>
            <w:shd w:val="clear" w:color="auto" w:fill="000000" w:themeFill="text1"/>
            <w:vAlign w:val="center"/>
          </w:tcPr>
          <w:p w14:paraId="5C6D6486" w14:textId="77777777" w:rsidR="0064404C" w:rsidRPr="00CF7790" w:rsidRDefault="0064404C"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EJE / CATEGORÍA</w:t>
            </w:r>
          </w:p>
        </w:tc>
        <w:tc>
          <w:tcPr>
            <w:tcW w:w="1526" w:type="dxa"/>
            <w:tcBorders>
              <w:top w:val="single" w:sz="4" w:space="0" w:color="auto"/>
              <w:left w:val="nil"/>
              <w:bottom w:val="single" w:sz="4" w:space="0" w:color="auto"/>
              <w:right w:val="single" w:sz="4" w:space="0" w:color="auto"/>
            </w:tcBorders>
            <w:shd w:val="clear" w:color="auto" w:fill="000000" w:themeFill="text1"/>
            <w:vAlign w:val="center"/>
          </w:tcPr>
          <w:p w14:paraId="6BB65E17" w14:textId="77777777" w:rsidR="0064404C" w:rsidRPr="00CF7790" w:rsidRDefault="0064404C"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CUMPLIMIENTO DEL EJE</w:t>
            </w:r>
          </w:p>
        </w:tc>
        <w:tc>
          <w:tcPr>
            <w:tcW w:w="3257"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tcPr>
          <w:p w14:paraId="4E448A65" w14:textId="77777777" w:rsidR="0064404C" w:rsidRPr="00CF7790" w:rsidRDefault="0064404C"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MEDIO DE VERIFICACIÓN</w:t>
            </w:r>
          </w:p>
        </w:tc>
        <w:tc>
          <w:tcPr>
            <w:tcW w:w="1420"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tcPr>
          <w:p w14:paraId="367E3037" w14:textId="77777777" w:rsidR="0064404C" w:rsidRPr="00CF7790" w:rsidRDefault="0064404C"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 xml:space="preserve">PRESUPUESTO EJECUTADO 2020 </w:t>
            </w:r>
          </w:p>
          <w:p w14:paraId="220C7A8F" w14:textId="77777777" w:rsidR="0064404C" w:rsidRPr="00CF7790" w:rsidRDefault="0064404C"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(SOLES)</w:t>
            </w:r>
          </w:p>
        </w:tc>
        <w:tc>
          <w:tcPr>
            <w:tcW w:w="1438" w:type="dxa"/>
            <w:tcBorders>
              <w:top w:val="single" w:sz="4" w:space="0" w:color="auto"/>
              <w:left w:val="single" w:sz="4" w:space="0" w:color="auto"/>
              <w:bottom w:val="single" w:sz="4" w:space="0" w:color="auto"/>
              <w:right w:val="single" w:sz="4" w:space="0" w:color="auto"/>
            </w:tcBorders>
            <w:shd w:val="clear" w:color="auto" w:fill="000000" w:themeFill="text1"/>
            <w:noWrap/>
            <w:vAlign w:val="center"/>
          </w:tcPr>
          <w:p w14:paraId="53C68BDA" w14:textId="77777777" w:rsidR="0064404C" w:rsidRPr="00CF7790" w:rsidRDefault="0064404C" w:rsidP="0078363B">
            <w:pPr>
              <w:spacing w:after="0" w:line="240" w:lineRule="auto"/>
              <w:jc w:val="center"/>
              <w:rPr>
                <w:rFonts w:ascii="Open Sans Light" w:eastAsia="Times New Roman" w:hAnsi="Open Sans Light" w:cs="Open Sans Light"/>
                <w:b/>
                <w:bCs/>
                <w:color w:val="FFFFFF" w:themeColor="background1"/>
                <w:sz w:val="16"/>
                <w:szCs w:val="16"/>
                <w:lang w:val="es-PE"/>
              </w:rPr>
            </w:pPr>
            <w:r w:rsidRPr="00CF7790">
              <w:rPr>
                <w:rFonts w:ascii="Open Sans Light" w:eastAsia="Times New Roman" w:hAnsi="Open Sans Light" w:cs="Open Sans Light"/>
                <w:b/>
                <w:bCs/>
                <w:color w:val="FFFFFF" w:themeColor="background1"/>
                <w:sz w:val="16"/>
                <w:szCs w:val="16"/>
                <w:lang w:val="es-PE"/>
              </w:rPr>
              <w:t>% VAR EJECUCIÓN PRESUPUESTAL 2012 - 2020</w:t>
            </w:r>
          </w:p>
        </w:tc>
      </w:tr>
      <w:tr w:rsidR="0064404C" w:rsidRPr="00CF7790" w14:paraId="2CD0ABAE" w14:textId="77777777" w:rsidTr="0064404C">
        <w:trPr>
          <w:trHeight w:val="198"/>
          <w:jc w:val="center"/>
        </w:trPr>
        <w:tc>
          <w:tcPr>
            <w:tcW w:w="16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CDA7ED0" w14:textId="77777777" w:rsidR="0064404C" w:rsidRPr="00CF7790" w:rsidRDefault="0064404C" w:rsidP="0078363B">
            <w:pPr>
              <w:spacing w:after="0" w:line="240" w:lineRule="auto"/>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Fortalecimiento de las intervenciones de prevención, atención y recuperación en temas de violencia familiar y escolar</w:t>
            </w:r>
          </w:p>
        </w:tc>
        <w:tc>
          <w:tcPr>
            <w:tcW w:w="1526"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753FC6D5"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Se cumplió</w:t>
            </w:r>
            <w:r w:rsidRPr="00CF7790">
              <w:rPr>
                <w:rFonts w:ascii="Open Sans Light" w:eastAsia="Times New Roman" w:hAnsi="Open Sans Light" w:cs="Open Sans Light"/>
                <w:color w:val="000000"/>
                <w:sz w:val="16"/>
                <w:szCs w:val="16"/>
                <w:lang w:val="es-PE"/>
              </w:rPr>
              <w:t xml:space="preserve"> la implementación del eje al 2021</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BBBEFC"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Programa Presupuestal Lucha contra la violencia familiar- PP 0080</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9A88B5"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hAnsi="Open Sans Light" w:cs="Open Sans Light"/>
                <w:b/>
                <w:bCs/>
                <w:color w:val="000000"/>
                <w:sz w:val="16"/>
                <w:szCs w:val="16"/>
              </w:rPr>
              <w:t>454,466,402</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7B8CAD"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Open Sans Light" w:hAnsi="Open Sans Light" w:cs="Open Sans Light"/>
                <w:color w:val="000000"/>
                <w:sz w:val="16"/>
                <w:szCs w:val="16"/>
                <w:lang w:val="es-PE"/>
              </w:rPr>
              <w:t>155%</w:t>
            </w:r>
            <w:r w:rsidRPr="00CF7790">
              <w:rPr>
                <w:rStyle w:val="FootnoteReference"/>
                <w:rFonts w:ascii="Open Sans Light" w:eastAsia="Open Sans Light" w:hAnsi="Open Sans Light" w:cs="Open Sans Light"/>
                <w:color w:val="000000"/>
                <w:sz w:val="16"/>
                <w:szCs w:val="16"/>
                <w:lang w:val="es-PE"/>
              </w:rPr>
              <w:footnoteReference w:id="11"/>
            </w:r>
          </w:p>
        </w:tc>
      </w:tr>
      <w:tr w:rsidR="0064404C" w:rsidRPr="00CF7790" w14:paraId="078BFE1F" w14:textId="77777777" w:rsidTr="0064404C">
        <w:trPr>
          <w:trHeight w:val="198"/>
          <w:jc w:val="center"/>
        </w:trPr>
        <w:tc>
          <w:tcPr>
            <w:tcW w:w="16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C56FC17" w14:textId="77777777" w:rsidR="0064404C" w:rsidRPr="00CF7790" w:rsidRDefault="0064404C" w:rsidP="0078363B">
            <w:pPr>
              <w:spacing w:after="0" w:line="240" w:lineRule="auto"/>
              <w:jc w:val="center"/>
              <w:rPr>
                <w:rFonts w:ascii="Open Sans Light" w:eastAsia="Open Sans Light" w:hAnsi="Open Sans Light" w:cs="Open Sans Light"/>
                <w:color w:val="000000"/>
                <w:sz w:val="16"/>
                <w:szCs w:val="16"/>
              </w:rPr>
            </w:pPr>
            <w:r w:rsidRPr="00CF7790">
              <w:rPr>
                <w:rFonts w:ascii="Open Sans Light" w:eastAsia="Times New Roman" w:hAnsi="Open Sans Light" w:cs="Open Sans Light"/>
                <w:color w:val="000000"/>
                <w:sz w:val="16"/>
                <w:szCs w:val="16"/>
                <w:lang w:val="es-PE"/>
              </w:rPr>
              <w:t>Fortalecimiento de habilidades y capacidades contra la violencia familiar y escolar</w:t>
            </w:r>
          </w:p>
        </w:tc>
        <w:tc>
          <w:tcPr>
            <w:tcW w:w="1526"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1011DBF2"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b/>
                <w:bCs/>
                <w:color w:val="000000"/>
                <w:sz w:val="16"/>
                <w:szCs w:val="16"/>
                <w:lang w:val="es-PE"/>
              </w:rPr>
              <w:t>Se cumplió</w:t>
            </w:r>
            <w:r w:rsidRPr="00CF7790">
              <w:rPr>
                <w:rFonts w:ascii="Open Sans Light" w:eastAsia="Times New Roman" w:hAnsi="Open Sans Light" w:cs="Open Sans Light"/>
                <w:color w:val="000000"/>
                <w:sz w:val="16"/>
                <w:szCs w:val="16"/>
                <w:lang w:val="es-PE"/>
              </w:rPr>
              <w:t xml:space="preserve"> la implementación del eje al 2021</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2F815F"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Programa Presupuestal Lucha contra la violencia familiar- PP 0080</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82E4A9"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8B2EB7"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Open Sans Light" w:hAnsi="Open Sans Light" w:cs="Open Sans Light"/>
                <w:color w:val="000000"/>
                <w:sz w:val="16"/>
                <w:szCs w:val="16"/>
                <w:lang w:val="es-PE"/>
              </w:rPr>
              <w:t>144%</w:t>
            </w:r>
          </w:p>
        </w:tc>
      </w:tr>
      <w:tr w:rsidR="0064404C" w:rsidRPr="00CF7790" w14:paraId="1E102FD5" w14:textId="77777777" w:rsidTr="0064404C">
        <w:trPr>
          <w:trHeight w:val="198"/>
          <w:jc w:val="center"/>
        </w:trPr>
        <w:tc>
          <w:tcPr>
            <w:tcW w:w="16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0A0A45C"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Sensibilización en contra de la violencia familiar y escolar</w:t>
            </w:r>
          </w:p>
        </w:tc>
        <w:tc>
          <w:tcPr>
            <w:tcW w:w="1526"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4DCE20A2" w14:textId="77777777" w:rsidR="0064404C" w:rsidRPr="00CF7790" w:rsidRDefault="0064404C" w:rsidP="0078363B">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t>Se cumplió</w:t>
            </w:r>
            <w:r w:rsidRPr="00CF7790">
              <w:rPr>
                <w:rFonts w:ascii="Open Sans Light" w:eastAsia="Times New Roman" w:hAnsi="Open Sans Light" w:cs="Open Sans Light"/>
                <w:color w:val="000000"/>
                <w:sz w:val="16"/>
                <w:szCs w:val="16"/>
                <w:lang w:val="es-PE"/>
              </w:rPr>
              <w:t xml:space="preserve"> la implementación del eje al 2021</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C6BE11"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Programa Presupuestal Lucha contra la violencia familiar- PP 0080</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767C80"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930AC0"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Open Sans Light" w:hAnsi="Open Sans Light" w:cs="Open Sans Light"/>
                <w:color w:val="000000"/>
                <w:sz w:val="16"/>
                <w:szCs w:val="16"/>
                <w:lang w:val="es-PE"/>
              </w:rPr>
              <w:t>46%</w:t>
            </w:r>
          </w:p>
        </w:tc>
      </w:tr>
      <w:tr w:rsidR="0064404C" w:rsidRPr="00CF7790" w14:paraId="45F13B63" w14:textId="77777777" w:rsidTr="0064404C">
        <w:trPr>
          <w:trHeight w:val="198"/>
          <w:jc w:val="center"/>
        </w:trPr>
        <w:tc>
          <w:tcPr>
            <w:tcW w:w="16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E07CE2D"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Mejoramiento del sistema de información con fines de seguimiento a la violencia familiar y escolar</w:t>
            </w:r>
          </w:p>
        </w:tc>
        <w:tc>
          <w:tcPr>
            <w:tcW w:w="1526"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3C7D7F59" w14:textId="77777777" w:rsidR="0064404C" w:rsidRPr="00CF7790" w:rsidRDefault="0064404C" w:rsidP="0078363B">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color w:val="000000"/>
                <w:sz w:val="16"/>
                <w:szCs w:val="16"/>
                <w:lang w:val="es-PE"/>
              </w:rPr>
              <w:t>S/D</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58B3B7F"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S/D</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763986"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S/D</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89A0FA"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S/D</w:t>
            </w:r>
          </w:p>
        </w:tc>
      </w:tr>
      <w:tr w:rsidR="0064404C" w:rsidRPr="00CF7790" w14:paraId="091BAAEF" w14:textId="77777777" w:rsidTr="0064404C">
        <w:trPr>
          <w:trHeight w:val="198"/>
          <w:jc w:val="center"/>
        </w:trPr>
        <w:tc>
          <w:tcPr>
            <w:tcW w:w="16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2801104"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 xml:space="preserve">Promoción e implementación de normas en contra </w:t>
            </w:r>
            <w:r w:rsidRPr="00CF7790">
              <w:rPr>
                <w:rFonts w:ascii="Open Sans Light" w:eastAsia="Times New Roman" w:hAnsi="Open Sans Light" w:cs="Open Sans Light"/>
                <w:color w:val="000000"/>
                <w:sz w:val="16"/>
                <w:szCs w:val="16"/>
                <w:lang w:val="es-PE"/>
              </w:rPr>
              <w:lastRenderedPageBreak/>
              <w:t>de la violencia familiar y escolar</w:t>
            </w:r>
          </w:p>
        </w:tc>
        <w:tc>
          <w:tcPr>
            <w:tcW w:w="1526"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1619AE4E" w14:textId="77777777" w:rsidR="0064404C" w:rsidRPr="00CF7790" w:rsidRDefault="0064404C" w:rsidP="0078363B">
            <w:pPr>
              <w:spacing w:after="0" w:line="240" w:lineRule="auto"/>
              <w:jc w:val="center"/>
              <w:rPr>
                <w:rFonts w:ascii="Open Sans Light" w:eastAsia="Times New Roman" w:hAnsi="Open Sans Light" w:cs="Open Sans Light"/>
                <w:b/>
                <w:bCs/>
                <w:color w:val="000000"/>
                <w:sz w:val="16"/>
                <w:szCs w:val="16"/>
                <w:lang w:val="es-PE"/>
              </w:rPr>
            </w:pPr>
            <w:r w:rsidRPr="00CF7790">
              <w:rPr>
                <w:rFonts w:ascii="Open Sans Light" w:eastAsia="Times New Roman" w:hAnsi="Open Sans Light" w:cs="Open Sans Light"/>
                <w:b/>
                <w:bCs/>
                <w:color w:val="000000"/>
                <w:sz w:val="16"/>
                <w:szCs w:val="16"/>
                <w:lang w:val="es-PE"/>
              </w:rPr>
              <w:lastRenderedPageBreak/>
              <w:t>Se cumplió</w:t>
            </w:r>
            <w:r w:rsidRPr="00CF7790">
              <w:rPr>
                <w:rFonts w:ascii="Open Sans Light" w:eastAsia="Times New Roman" w:hAnsi="Open Sans Light" w:cs="Open Sans Light"/>
                <w:color w:val="000000"/>
                <w:sz w:val="16"/>
                <w:szCs w:val="16"/>
                <w:lang w:val="es-PE"/>
              </w:rPr>
              <w:t xml:space="preserve"> la implementación del eje al 2021, a través de 23 </w:t>
            </w:r>
            <w:r w:rsidRPr="00CF7790">
              <w:rPr>
                <w:rFonts w:ascii="Open Sans Light" w:eastAsia="Times New Roman" w:hAnsi="Open Sans Light" w:cs="Open Sans Light"/>
                <w:color w:val="000000"/>
                <w:sz w:val="16"/>
                <w:szCs w:val="16"/>
                <w:lang w:val="es-PE"/>
              </w:rPr>
              <w:lastRenderedPageBreak/>
              <w:t>mecanismos legales aprobados</w:t>
            </w:r>
          </w:p>
        </w:tc>
        <w:tc>
          <w:tcPr>
            <w:tcW w:w="32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40B6BB" w14:textId="2240CDD1"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lastRenderedPageBreak/>
              <w:t xml:space="preserve">Informes anuales del </w:t>
            </w:r>
            <w:r w:rsidR="00D979D4" w:rsidRPr="00CF7790">
              <w:rPr>
                <w:rFonts w:ascii="Open Sans Light" w:eastAsia="Times New Roman" w:hAnsi="Open Sans Light" w:cs="Open Sans Light"/>
                <w:color w:val="000000"/>
                <w:sz w:val="16"/>
                <w:szCs w:val="16"/>
                <w:lang w:val="es-PE"/>
              </w:rPr>
              <w:t>PNAIA 2012 – 2021</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AF2051"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No aplica</w:t>
            </w:r>
          </w:p>
        </w:tc>
        <w:tc>
          <w:tcPr>
            <w:tcW w:w="14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778AFB" w14:textId="77777777" w:rsidR="0064404C" w:rsidRPr="00CF7790" w:rsidRDefault="0064404C" w:rsidP="0078363B">
            <w:pPr>
              <w:spacing w:after="0" w:line="240" w:lineRule="auto"/>
              <w:jc w:val="center"/>
              <w:rPr>
                <w:rFonts w:ascii="Open Sans Light" w:eastAsia="Times New Roman" w:hAnsi="Open Sans Light" w:cs="Open Sans Light"/>
                <w:color w:val="000000"/>
                <w:sz w:val="16"/>
                <w:szCs w:val="16"/>
                <w:lang w:val="es-PE"/>
              </w:rPr>
            </w:pPr>
            <w:r w:rsidRPr="00CF7790">
              <w:rPr>
                <w:rFonts w:ascii="Open Sans Light" w:eastAsia="Times New Roman" w:hAnsi="Open Sans Light" w:cs="Open Sans Light"/>
                <w:color w:val="000000"/>
                <w:sz w:val="16"/>
                <w:szCs w:val="16"/>
                <w:lang w:val="es-PE"/>
              </w:rPr>
              <w:t>No aplica</w:t>
            </w:r>
          </w:p>
        </w:tc>
      </w:tr>
    </w:tbl>
    <w:p w14:paraId="6BE8C8D4" w14:textId="77777777" w:rsidR="0064404C" w:rsidRPr="00CF7790" w:rsidRDefault="0064404C" w:rsidP="0076744B">
      <w:pPr>
        <w:rPr>
          <w:rFonts w:ascii="Open Sans Light" w:eastAsia="Open Sans Light" w:hAnsi="Open Sans Light" w:cs="Open Sans Light"/>
          <w:sz w:val="24"/>
          <w:szCs w:val="24"/>
        </w:rPr>
      </w:pPr>
    </w:p>
    <w:p w14:paraId="1E964786" w14:textId="75C01158" w:rsidR="00B24290" w:rsidRDefault="00B24290" w:rsidP="004D0E60">
      <w:pPr>
        <w:pStyle w:val="ESTILOTABLA"/>
      </w:pPr>
      <w:r>
        <w:t xml:space="preserve">Tabla A. </w:t>
      </w:r>
      <w:r w:rsidR="00354646">
        <w:fldChar w:fldCharType="begin"/>
      </w:r>
      <w:r w:rsidR="00354646">
        <w:instrText xml:space="preserve"> SEQ Tabla_A. \* ARABIC </w:instrText>
      </w:r>
      <w:r w:rsidR="00354646">
        <w:fldChar w:fldCharType="separate"/>
      </w:r>
      <w:r w:rsidR="00846FB2">
        <w:rPr>
          <w:noProof/>
        </w:rPr>
        <w:t>26</w:t>
      </w:r>
      <w:r w:rsidR="00354646">
        <w:rPr>
          <w:noProof/>
        </w:rPr>
        <w:fldChar w:fldCharType="end"/>
      </w:r>
    </w:p>
    <w:tbl>
      <w:tblPr>
        <w:tblW w:w="8359" w:type="dxa"/>
        <w:tblCellMar>
          <w:left w:w="0" w:type="dxa"/>
          <w:right w:w="0" w:type="dxa"/>
        </w:tblCellMar>
        <w:tblLook w:val="04A0" w:firstRow="1" w:lastRow="0" w:firstColumn="1" w:lastColumn="0" w:noHBand="0" w:noVBand="1"/>
      </w:tblPr>
      <w:tblGrid>
        <w:gridCol w:w="2440"/>
        <w:gridCol w:w="1220"/>
        <w:gridCol w:w="1220"/>
        <w:gridCol w:w="1220"/>
        <w:gridCol w:w="1125"/>
        <w:gridCol w:w="1134"/>
      </w:tblGrid>
      <w:tr w:rsidR="00BC70A1" w:rsidRPr="00CF7790" w14:paraId="6CEB34C9" w14:textId="77777777" w:rsidTr="00D654C4">
        <w:trPr>
          <w:trHeight w:val="510"/>
          <w:tblHeader/>
        </w:trPr>
        <w:tc>
          <w:tcPr>
            <w:tcW w:w="2440"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2650FC5A" w14:textId="77777777" w:rsidR="00BC70A1" w:rsidRPr="00CF7790" w:rsidRDefault="00BC70A1" w:rsidP="00D654C4">
            <w:pPr>
              <w:spacing w:after="0"/>
              <w:jc w:val="center"/>
              <w:rPr>
                <w:rFonts w:ascii="Open Sans Light" w:hAnsi="Open Sans Light" w:cs="Open Sans Light"/>
                <w:b/>
                <w:bCs/>
                <w:color w:val="FFFFFF"/>
                <w:sz w:val="16"/>
                <w:szCs w:val="16"/>
              </w:rPr>
            </w:pPr>
            <w:r w:rsidRPr="00CF7790">
              <w:rPr>
                <w:rFonts w:ascii="Open Sans Light" w:hAnsi="Open Sans Light" w:cs="Open Sans Light"/>
                <w:b/>
                <w:bCs/>
                <w:color w:val="FFFFFF"/>
                <w:sz w:val="16"/>
                <w:szCs w:val="16"/>
              </w:rPr>
              <w:t>CATEGORIA</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0BEDD5EA" w14:textId="77777777" w:rsidR="00BC70A1" w:rsidRPr="00CF7790" w:rsidRDefault="00BC70A1" w:rsidP="00D654C4">
            <w:pPr>
              <w:spacing w:after="0"/>
              <w:jc w:val="center"/>
              <w:rPr>
                <w:rFonts w:ascii="Open Sans Light" w:hAnsi="Open Sans Light" w:cs="Open Sans Light"/>
                <w:b/>
                <w:bCs/>
                <w:color w:val="FFFFFF"/>
                <w:sz w:val="16"/>
                <w:szCs w:val="16"/>
              </w:rPr>
            </w:pPr>
            <w:r w:rsidRPr="00CF7790">
              <w:rPr>
                <w:rFonts w:ascii="Open Sans Light" w:hAnsi="Open Sans Light" w:cs="Open Sans Light"/>
                <w:b/>
                <w:bCs/>
                <w:color w:val="FFFFFF"/>
                <w:sz w:val="16"/>
                <w:szCs w:val="16"/>
              </w:rPr>
              <w:t>2017</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3E34193C" w14:textId="77777777" w:rsidR="00BC70A1" w:rsidRPr="00CF7790" w:rsidRDefault="00BC70A1" w:rsidP="00D654C4">
            <w:pPr>
              <w:spacing w:after="0"/>
              <w:jc w:val="center"/>
              <w:rPr>
                <w:rFonts w:ascii="Open Sans Light" w:hAnsi="Open Sans Light" w:cs="Open Sans Light"/>
                <w:b/>
                <w:bCs/>
                <w:color w:val="FFFFFF"/>
                <w:sz w:val="16"/>
                <w:szCs w:val="16"/>
              </w:rPr>
            </w:pPr>
            <w:r w:rsidRPr="00CF7790">
              <w:rPr>
                <w:rFonts w:ascii="Open Sans Light" w:hAnsi="Open Sans Light" w:cs="Open Sans Light"/>
                <w:b/>
                <w:bCs/>
                <w:color w:val="FFFFFF"/>
                <w:sz w:val="16"/>
                <w:szCs w:val="16"/>
              </w:rPr>
              <w:t>2019</w:t>
            </w:r>
          </w:p>
        </w:tc>
        <w:tc>
          <w:tcPr>
            <w:tcW w:w="1220" w:type="dxa"/>
            <w:tcBorders>
              <w:top w:val="single" w:sz="4" w:space="0" w:color="auto"/>
              <w:left w:val="nil"/>
              <w:bottom w:val="single" w:sz="4" w:space="0" w:color="auto"/>
              <w:right w:val="single" w:sz="4" w:space="0" w:color="auto"/>
            </w:tcBorders>
            <w:shd w:val="clear" w:color="auto" w:fill="000000" w:themeFill="text1"/>
            <w:noWrap/>
            <w:vAlign w:val="center"/>
            <w:hideMark/>
          </w:tcPr>
          <w:p w14:paraId="6FB8DCDC" w14:textId="77777777" w:rsidR="00BC70A1" w:rsidRPr="00CF7790" w:rsidRDefault="00BC70A1" w:rsidP="00D654C4">
            <w:pPr>
              <w:spacing w:after="0"/>
              <w:jc w:val="center"/>
              <w:rPr>
                <w:rFonts w:ascii="Open Sans Light" w:hAnsi="Open Sans Light" w:cs="Open Sans Light"/>
                <w:b/>
                <w:bCs/>
                <w:color w:val="FFFFFF"/>
                <w:sz w:val="16"/>
                <w:szCs w:val="16"/>
              </w:rPr>
            </w:pPr>
            <w:r w:rsidRPr="00CF7790">
              <w:rPr>
                <w:rFonts w:ascii="Open Sans Light" w:hAnsi="Open Sans Light" w:cs="Open Sans Light"/>
                <w:b/>
                <w:bCs/>
                <w:color w:val="FFFFFF"/>
                <w:sz w:val="16"/>
                <w:szCs w:val="16"/>
              </w:rPr>
              <w:t>2020</w:t>
            </w:r>
          </w:p>
        </w:tc>
        <w:tc>
          <w:tcPr>
            <w:tcW w:w="1125" w:type="dxa"/>
            <w:tcBorders>
              <w:top w:val="single" w:sz="4" w:space="0" w:color="auto"/>
              <w:left w:val="nil"/>
              <w:bottom w:val="single" w:sz="4" w:space="0" w:color="auto"/>
              <w:right w:val="single" w:sz="4" w:space="0" w:color="auto"/>
            </w:tcBorders>
            <w:shd w:val="clear" w:color="auto" w:fill="000000" w:themeFill="text1"/>
            <w:vAlign w:val="center"/>
            <w:hideMark/>
          </w:tcPr>
          <w:p w14:paraId="21FDE626" w14:textId="77777777" w:rsidR="00BC70A1" w:rsidRPr="00CF7790" w:rsidRDefault="00BC70A1" w:rsidP="00D654C4">
            <w:pPr>
              <w:spacing w:after="0"/>
              <w:jc w:val="center"/>
              <w:rPr>
                <w:rFonts w:ascii="Open Sans Light" w:hAnsi="Open Sans Light" w:cs="Open Sans Light"/>
                <w:b/>
                <w:bCs/>
                <w:color w:val="FFFFFF"/>
                <w:sz w:val="16"/>
                <w:szCs w:val="16"/>
              </w:rPr>
            </w:pPr>
            <w:r w:rsidRPr="00CF7790">
              <w:rPr>
                <w:rFonts w:ascii="Open Sans Light" w:hAnsi="Open Sans Light" w:cs="Open Sans Light"/>
                <w:b/>
                <w:bCs/>
                <w:color w:val="FFFFFF"/>
                <w:sz w:val="16"/>
                <w:szCs w:val="16"/>
              </w:rPr>
              <w:t>% VAR 2017-2019</w:t>
            </w:r>
          </w:p>
        </w:tc>
        <w:tc>
          <w:tcPr>
            <w:tcW w:w="1134" w:type="dxa"/>
            <w:tcBorders>
              <w:top w:val="single" w:sz="4" w:space="0" w:color="auto"/>
              <w:left w:val="nil"/>
              <w:bottom w:val="single" w:sz="4" w:space="0" w:color="auto"/>
              <w:right w:val="single" w:sz="4" w:space="0" w:color="auto"/>
            </w:tcBorders>
            <w:shd w:val="clear" w:color="auto" w:fill="000000" w:themeFill="text1"/>
            <w:vAlign w:val="center"/>
            <w:hideMark/>
          </w:tcPr>
          <w:p w14:paraId="24730DF5" w14:textId="77777777" w:rsidR="00BC70A1" w:rsidRPr="00CF7790" w:rsidRDefault="00BC70A1" w:rsidP="00D654C4">
            <w:pPr>
              <w:spacing w:after="0"/>
              <w:jc w:val="center"/>
              <w:rPr>
                <w:rFonts w:ascii="Open Sans Light" w:hAnsi="Open Sans Light" w:cs="Open Sans Light"/>
                <w:b/>
                <w:bCs/>
                <w:color w:val="FFFFFF"/>
                <w:sz w:val="16"/>
                <w:szCs w:val="16"/>
              </w:rPr>
            </w:pPr>
            <w:r w:rsidRPr="00CF7790">
              <w:rPr>
                <w:rFonts w:ascii="Open Sans Light" w:hAnsi="Open Sans Light" w:cs="Open Sans Light"/>
                <w:b/>
                <w:bCs/>
                <w:color w:val="FFFFFF"/>
                <w:sz w:val="16"/>
                <w:szCs w:val="16"/>
              </w:rPr>
              <w:t>% VAR 2017-2020</w:t>
            </w:r>
          </w:p>
        </w:tc>
      </w:tr>
      <w:tr w:rsidR="00BC70A1" w:rsidRPr="00CF7790" w14:paraId="4D3857A3" w14:textId="77777777" w:rsidTr="00D654C4">
        <w:trPr>
          <w:trHeight w:val="345"/>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654F97C" w14:textId="77777777" w:rsidR="00BC70A1" w:rsidRPr="00CF7790" w:rsidRDefault="00BC70A1" w:rsidP="00D654C4">
            <w:pPr>
              <w:spacing w:after="0"/>
              <w:jc w:val="center"/>
              <w:rPr>
                <w:rFonts w:ascii="Open Sans Light" w:hAnsi="Open Sans Light" w:cs="Open Sans Light"/>
                <w:b/>
                <w:bCs/>
                <w:color w:val="000000"/>
                <w:sz w:val="16"/>
                <w:szCs w:val="16"/>
              </w:rPr>
            </w:pPr>
            <w:r w:rsidRPr="00CF7790">
              <w:rPr>
                <w:rFonts w:ascii="Open Sans Light" w:hAnsi="Open Sans Light" w:cs="Open Sans Light"/>
                <w:b/>
                <w:bCs/>
                <w:color w:val="000000"/>
                <w:sz w:val="16"/>
                <w:szCs w:val="16"/>
              </w:rPr>
              <w:t>NACIONAL</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54F3C444" w14:textId="77777777" w:rsidR="00BC70A1" w:rsidRPr="00CF7790" w:rsidRDefault="00BC70A1" w:rsidP="00D654C4">
            <w:pPr>
              <w:spacing w:after="0"/>
              <w:jc w:val="center"/>
              <w:rPr>
                <w:rFonts w:ascii="Open Sans Light" w:hAnsi="Open Sans Light" w:cs="Open Sans Light"/>
                <w:b/>
                <w:bCs/>
                <w:color w:val="000000"/>
                <w:sz w:val="16"/>
                <w:szCs w:val="16"/>
              </w:rPr>
            </w:pPr>
            <w:r w:rsidRPr="00CF7790">
              <w:rPr>
                <w:rFonts w:ascii="Open Sans Light" w:hAnsi="Open Sans Light" w:cs="Open Sans Light"/>
                <w:b/>
                <w:bCs/>
                <w:color w:val="000000"/>
                <w:sz w:val="16"/>
                <w:szCs w:val="16"/>
              </w:rPr>
              <w:t>177,873,865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26BD43B7" w14:textId="77777777" w:rsidR="00BC70A1" w:rsidRPr="00CF7790" w:rsidRDefault="00BC70A1" w:rsidP="00D654C4">
            <w:pPr>
              <w:spacing w:after="0"/>
              <w:jc w:val="center"/>
              <w:rPr>
                <w:rFonts w:ascii="Open Sans Light" w:hAnsi="Open Sans Light" w:cs="Open Sans Light"/>
                <w:b/>
                <w:bCs/>
                <w:color w:val="000000"/>
                <w:sz w:val="16"/>
                <w:szCs w:val="16"/>
              </w:rPr>
            </w:pPr>
            <w:r w:rsidRPr="00CF7790">
              <w:rPr>
                <w:rFonts w:ascii="Open Sans Light" w:hAnsi="Open Sans Light" w:cs="Open Sans Light"/>
                <w:b/>
                <w:bCs/>
                <w:color w:val="000000"/>
                <w:sz w:val="16"/>
                <w:szCs w:val="16"/>
              </w:rPr>
              <w:t>276,015,320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45DB833F" w14:textId="77777777" w:rsidR="00BC70A1" w:rsidRPr="00CF7790" w:rsidRDefault="00BC70A1" w:rsidP="00D654C4">
            <w:pPr>
              <w:spacing w:after="0"/>
              <w:jc w:val="center"/>
              <w:rPr>
                <w:rFonts w:ascii="Open Sans Light" w:hAnsi="Open Sans Light" w:cs="Open Sans Light"/>
                <w:b/>
                <w:bCs/>
                <w:color w:val="000000"/>
                <w:sz w:val="16"/>
                <w:szCs w:val="16"/>
              </w:rPr>
            </w:pPr>
            <w:r w:rsidRPr="00CF7790">
              <w:rPr>
                <w:rFonts w:ascii="Open Sans Light" w:hAnsi="Open Sans Light" w:cs="Open Sans Light"/>
                <w:b/>
                <w:bCs/>
                <w:color w:val="000000"/>
                <w:sz w:val="16"/>
                <w:szCs w:val="16"/>
              </w:rPr>
              <w:t>454,466,402</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46D178" w14:textId="77777777" w:rsidR="00BC70A1" w:rsidRPr="00CF7790" w:rsidRDefault="00BC70A1" w:rsidP="00D654C4">
            <w:pPr>
              <w:spacing w:after="0"/>
              <w:jc w:val="center"/>
              <w:rPr>
                <w:rFonts w:ascii="Open Sans Light" w:hAnsi="Open Sans Light" w:cs="Open Sans Light"/>
                <w:b/>
                <w:bCs/>
                <w:color w:val="000000"/>
                <w:sz w:val="16"/>
                <w:szCs w:val="16"/>
              </w:rPr>
            </w:pPr>
            <w:r w:rsidRPr="00CF7790">
              <w:rPr>
                <w:rFonts w:ascii="Open Sans Light" w:hAnsi="Open Sans Light" w:cs="Open Sans Light"/>
                <w:b/>
                <w:bCs/>
                <w:color w:val="000000"/>
                <w:sz w:val="16"/>
                <w:szCs w:val="16"/>
              </w:rPr>
              <w:t>55%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4DEAA4E" w14:textId="77777777" w:rsidR="00BC70A1" w:rsidRPr="00CF7790" w:rsidRDefault="00BC70A1" w:rsidP="00D654C4">
            <w:pPr>
              <w:spacing w:after="0"/>
              <w:jc w:val="center"/>
              <w:rPr>
                <w:rFonts w:ascii="Open Sans Light" w:hAnsi="Open Sans Light" w:cs="Open Sans Light"/>
                <w:b/>
                <w:bCs/>
                <w:color w:val="000000"/>
                <w:sz w:val="16"/>
                <w:szCs w:val="16"/>
              </w:rPr>
            </w:pPr>
            <w:r w:rsidRPr="00CF7790">
              <w:rPr>
                <w:rFonts w:ascii="Open Sans Light" w:hAnsi="Open Sans Light" w:cs="Open Sans Light"/>
                <w:b/>
                <w:bCs/>
                <w:color w:val="000000"/>
                <w:sz w:val="16"/>
                <w:szCs w:val="16"/>
              </w:rPr>
              <w:t>155%</w:t>
            </w:r>
          </w:p>
        </w:tc>
      </w:tr>
      <w:tr w:rsidR="00BC70A1" w:rsidRPr="00CF7790" w14:paraId="36EEA955"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586F83D" w14:textId="165AFD0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AMAZONAS</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25EDDE7B"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7,300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17CCF8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1,941,505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C3151E5"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3,095,319</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B1F835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26496%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FEE045"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42302%</w:t>
            </w:r>
          </w:p>
        </w:tc>
      </w:tr>
      <w:tr w:rsidR="00BC70A1" w:rsidRPr="00CF7790" w14:paraId="27449D86"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CE2FBDD" w14:textId="3BA9AA25"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ANCASH</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2AE55342"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739,785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AB7DC20"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7,642,746</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A84869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18,031,898</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2C86A9"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933%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36A42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2337%</w:t>
            </w:r>
          </w:p>
        </w:tc>
      </w:tr>
      <w:tr w:rsidR="00BC70A1" w:rsidRPr="00CF7790" w14:paraId="6EA97FC1"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5BF559" w14:textId="76F1148C"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APURIMAC</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78E01EBC"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673,355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49081678"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3,497,382</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5652E35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4,861,945</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E77F9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419%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1632D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622%</w:t>
            </w:r>
          </w:p>
        </w:tc>
      </w:tr>
      <w:tr w:rsidR="00BC70A1" w:rsidRPr="00CF7790" w14:paraId="07C3111F"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796EF8B" w14:textId="19AE272A"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AREQUIPA</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7470ACA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1,410,653</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219C073E"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8,280,911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79CE8C25"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29,920,317</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E3513F"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487%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B07D48"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2021%</w:t>
            </w:r>
          </w:p>
        </w:tc>
      </w:tr>
      <w:tr w:rsidR="00BC70A1" w:rsidRPr="00CF7790" w14:paraId="24D11619"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1747D32" w14:textId="492123BD"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AYACUCHO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4CF3C413"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1,346,715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EB5EFBC"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3,926,247</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4BAC92D"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5,977,265</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CC4A0EE"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192%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5EC5A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344%</w:t>
            </w:r>
          </w:p>
        </w:tc>
      </w:tr>
      <w:tr w:rsidR="00BC70A1" w:rsidRPr="00CF7790" w14:paraId="5D7744A0"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44977AE" w14:textId="1764ED51"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CAJAMARCA</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181035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1,395,219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D69CBC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3,789,714</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7EBAE9A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5,307,661</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A2A87F"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172%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2701A6"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280%</w:t>
            </w:r>
          </w:p>
        </w:tc>
      </w:tr>
      <w:tr w:rsidR="00BC70A1" w:rsidRPr="00CF7790" w14:paraId="34AE0313"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9089C3"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CALLAO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B01DD4D"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770,460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193962F"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4,042,539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05F5604B"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13,630,638</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17BE135"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7B7E6D"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1669%</w:t>
            </w:r>
          </w:p>
        </w:tc>
      </w:tr>
      <w:tr w:rsidR="00BC70A1" w:rsidRPr="00CF7790" w14:paraId="5B2C8FC0"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2B8C3E6" w14:textId="15F1063C"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CUSCO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554019C8"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1,395,739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729F596"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8,396,470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FBF2C7F"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16,548,858</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1AD609"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491DF3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1086%</w:t>
            </w:r>
          </w:p>
        </w:tc>
      </w:tr>
      <w:tr w:rsidR="00BC70A1" w:rsidRPr="00CF7790" w14:paraId="19447D5B"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793ABFD" w14:textId="5A88DC0D"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HUANCAVELICA</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5739F0AF"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683,513</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4D3595E"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2,783,995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B18454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3,643,909</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26EF1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307%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AE2815"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433%</w:t>
            </w:r>
          </w:p>
        </w:tc>
      </w:tr>
      <w:tr w:rsidR="00BC70A1" w:rsidRPr="00CF7790" w14:paraId="7E5AD05D"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389C9B9" w14:textId="4F6EB7A9"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HUANUCO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080CAADB"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756,754</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90355B8"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4,012,181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FFC5C98"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5,370,928</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790A82"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430%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1950E8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610%</w:t>
            </w:r>
          </w:p>
        </w:tc>
      </w:tr>
      <w:tr w:rsidR="00BC70A1" w:rsidRPr="00CF7790" w14:paraId="14CA4F45"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CF88E12" w14:textId="6588BF89"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ICA</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66F465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1,267,191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55EA76E8"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4,865,276</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EE0936D"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7,836,769</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847AB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284%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D648835"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518%</w:t>
            </w:r>
          </w:p>
        </w:tc>
      </w:tr>
      <w:tr w:rsidR="00BC70A1" w:rsidRPr="00CF7790" w14:paraId="15B1D1D2"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4FC0D7" w14:textId="4A28CF40"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JUNIN</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7EA5C979"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1,467,370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92F3133"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6,989,353</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27F504F"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11,423,187</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938DE49"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376%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B46C7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678%</w:t>
            </w:r>
          </w:p>
        </w:tc>
      </w:tr>
      <w:tr w:rsidR="00BC70A1" w:rsidRPr="00CF7790" w14:paraId="27E2D918"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1CB2ECB" w14:textId="1AA393FB"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LA LIBERTAD</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4ACF02D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1,559,547</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02AD4EA0"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7,174,992</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4DADF30B"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13,786,076</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51B93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360%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B3ABFF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784%</w:t>
            </w:r>
          </w:p>
        </w:tc>
      </w:tr>
      <w:tr w:rsidR="00BC70A1" w:rsidRPr="00CF7790" w14:paraId="5C7E845B"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4AF454F" w14:textId="1070D3D6"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LAMBAYEQUE</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302CE8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791,005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DB8E66E"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3,930,257</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96CF34F"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12,610,949</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BF068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397%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26A20F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1494%</w:t>
            </w:r>
          </w:p>
        </w:tc>
      </w:tr>
      <w:tr w:rsidR="00BC70A1" w:rsidRPr="00CF7790" w14:paraId="44209961"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CA889D8" w14:textId="537B6F70"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LIMA</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8BD2E29"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156,968,746</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CA0BD20"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175,715,730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7D84537B"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253,532,676</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83943C"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ADABA0E"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62%</w:t>
            </w:r>
          </w:p>
        </w:tc>
      </w:tr>
      <w:tr w:rsidR="00BC70A1" w:rsidRPr="00CF7790" w14:paraId="70D79FDA"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1A90677" w14:textId="416F0C74"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LORETO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C69D01C"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615,102</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42618396"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2,823,143</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201DAEC"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3,757,203</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3869E0"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359%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427D8E"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511%</w:t>
            </w:r>
          </w:p>
        </w:tc>
      </w:tr>
      <w:tr w:rsidR="00BC70A1" w:rsidRPr="00CF7790" w14:paraId="69D45E6A"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B1C645C" w14:textId="5C3DA624"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MADRE DE DIOS</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2B42E222"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FE9FB7B"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1,359,771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0E61825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2,149,885</w:t>
            </w:r>
          </w:p>
        </w:tc>
        <w:tc>
          <w:tcPr>
            <w:tcW w:w="1125" w:type="dxa"/>
            <w:tcBorders>
              <w:top w:val="nil"/>
              <w:left w:val="nil"/>
              <w:bottom w:val="single" w:sz="4" w:space="0" w:color="auto"/>
              <w:right w:val="single" w:sz="4" w:space="0" w:color="auto"/>
            </w:tcBorders>
            <w:shd w:val="clear" w:color="auto" w:fill="FFFFFF" w:themeFill="background1"/>
            <w:noWrap/>
            <w:vAlign w:val="center"/>
          </w:tcPr>
          <w:p w14:paraId="4DD10EB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w:t>
            </w:r>
          </w:p>
        </w:tc>
        <w:tc>
          <w:tcPr>
            <w:tcW w:w="1134" w:type="dxa"/>
            <w:tcBorders>
              <w:top w:val="nil"/>
              <w:left w:val="nil"/>
              <w:bottom w:val="single" w:sz="4" w:space="0" w:color="auto"/>
              <w:right w:val="single" w:sz="4" w:space="0" w:color="auto"/>
            </w:tcBorders>
            <w:shd w:val="clear" w:color="auto" w:fill="FFFFFF" w:themeFill="background1"/>
            <w:noWrap/>
            <w:vAlign w:val="center"/>
          </w:tcPr>
          <w:p w14:paraId="682EE35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w:t>
            </w:r>
          </w:p>
        </w:tc>
      </w:tr>
      <w:tr w:rsidR="00BC70A1" w:rsidRPr="00CF7790" w14:paraId="158393AF"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36F23C" w14:textId="441B916A"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MOQUEGUA</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DF7A696"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716,846</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0BEAA92"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2,072,569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0DA29A5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2,615,083</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074296"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189%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924590"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265%</w:t>
            </w:r>
          </w:p>
        </w:tc>
      </w:tr>
      <w:tr w:rsidR="00BC70A1" w:rsidRPr="00CF7790" w14:paraId="652AE11B"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3C56967" w14:textId="70A65D48"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PASCO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77698389"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272,125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25E806FF"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2,605,735</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51613196"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3,556,111</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B8363D"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858%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E05877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1207%</w:t>
            </w:r>
          </w:p>
        </w:tc>
      </w:tr>
      <w:tr w:rsidR="00BC70A1" w:rsidRPr="00CF7790" w14:paraId="03C3EBD3"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90AB2D5" w14:textId="395581D3"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PIURA</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A7B700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1,035,198</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C862798"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5,076,416</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1A9C4A3"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13,956,198</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E999ED"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390%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C2E47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1248%</w:t>
            </w:r>
          </w:p>
        </w:tc>
      </w:tr>
      <w:tr w:rsidR="00BC70A1" w:rsidRPr="00CF7790" w14:paraId="579F6EDC"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3AA66B" w14:textId="2062606F"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PUNO</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7B0F032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1,470,371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09F8D66C"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6,304,549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2A46AC6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8,568,769</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50A39C"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329%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A1A0B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483%</w:t>
            </w:r>
          </w:p>
        </w:tc>
      </w:tr>
      <w:tr w:rsidR="00BC70A1" w:rsidRPr="00CF7790" w14:paraId="7291E15D"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A6CDAB8" w14:textId="791A418F"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SAN MARTIN</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5D0F94C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552,944</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9CC025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3,761,689</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281BDB5"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5,198,408</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57B24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580%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5E37DD"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840%</w:t>
            </w:r>
          </w:p>
        </w:tc>
      </w:tr>
      <w:tr w:rsidR="00BC70A1" w:rsidRPr="00CF7790" w14:paraId="33199534"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17FA2F2" w14:textId="7F5216D6"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TACNA</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789B08FC"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1,314,571</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6EB49B0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2,845,170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21ACB34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4,617,389</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65E91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116%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5AB990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251%</w:t>
            </w:r>
          </w:p>
        </w:tc>
      </w:tr>
      <w:tr w:rsidR="00BC70A1" w:rsidRPr="00CF7790" w14:paraId="64B54E0A"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777DBD8F" w14:textId="0B4314BE"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TUMBES</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2DDE16B4"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663,356</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C19C5B1"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1,324,228</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43C1EA06"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3,122,483</w:t>
            </w:r>
          </w:p>
        </w:tc>
        <w:tc>
          <w:tcPr>
            <w:tcW w:w="112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3BB00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DD2A86"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371%</w:t>
            </w:r>
          </w:p>
        </w:tc>
      </w:tr>
      <w:tr w:rsidR="00BC70A1" w:rsidRPr="00CF7790" w14:paraId="2BCD2EA7" w14:textId="77777777" w:rsidTr="00D654C4">
        <w:trPr>
          <w:trHeight w:val="300"/>
        </w:trPr>
        <w:tc>
          <w:tcPr>
            <w:tcW w:w="24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A7FC880" w14:textId="277F8063"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UCAYALI</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33B9B6F"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0</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10C6CF5D"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852,752</w:t>
            </w:r>
          </w:p>
        </w:tc>
        <w:tc>
          <w:tcPr>
            <w:tcW w:w="0" w:type="auto"/>
            <w:tcBorders>
              <w:top w:val="nil"/>
              <w:left w:val="nil"/>
              <w:bottom w:val="single" w:sz="4" w:space="0" w:color="auto"/>
              <w:right w:val="single" w:sz="4" w:space="0" w:color="auto"/>
            </w:tcBorders>
            <w:shd w:val="clear" w:color="auto" w:fill="FFFFFF" w:themeFill="background1"/>
            <w:noWrap/>
            <w:vAlign w:val="center"/>
            <w:hideMark/>
          </w:tcPr>
          <w:p w14:paraId="360DD4B0"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1,346,479</w:t>
            </w:r>
          </w:p>
        </w:tc>
        <w:tc>
          <w:tcPr>
            <w:tcW w:w="1125" w:type="dxa"/>
            <w:tcBorders>
              <w:top w:val="nil"/>
              <w:left w:val="nil"/>
              <w:bottom w:val="single" w:sz="4" w:space="0" w:color="auto"/>
              <w:right w:val="single" w:sz="4" w:space="0" w:color="auto"/>
            </w:tcBorders>
            <w:shd w:val="clear" w:color="auto" w:fill="FFFFFF" w:themeFill="background1"/>
            <w:noWrap/>
            <w:vAlign w:val="center"/>
            <w:hideMark/>
          </w:tcPr>
          <w:p w14:paraId="4BA53CBA"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D178EC7" w14:textId="77777777" w:rsidR="00BC70A1" w:rsidRPr="00CF7790" w:rsidRDefault="00BC70A1" w:rsidP="00D654C4">
            <w:pPr>
              <w:spacing w:after="0"/>
              <w:jc w:val="center"/>
              <w:rPr>
                <w:rFonts w:ascii="Open Sans Light" w:hAnsi="Open Sans Light" w:cs="Open Sans Light"/>
                <w:color w:val="000000"/>
                <w:sz w:val="16"/>
                <w:szCs w:val="16"/>
              </w:rPr>
            </w:pPr>
            <w:r w:rsidRPr="00CF7790">
              <w:rPr>
                <w:rFonts w:ascii="Open Sans Light" w:hAnsi="Open Sans Light" w:cs="Open Sans Light"/>
                <w:color w:val="000000"/>
                <w:sz w:val="16"/>
                <w:szCs w:val="16"/>
              </w:rPr>
              <w:t>-</w:t>
            </w:r>
          </w:p>
        </w:tc>
      </w:tr>
    </w:tbl>
    <w:p w14:paraId="263DA789" w14:textId="77777777" w:rsidR="00BC70A1" w:rsidRPr="0076744B" w:rsidRDefault="00BC70A1" w:rsidP="0076744B">
      <w:pPr>
        <w:rPr>
          <w:rFonts w:ascii="Open Sans Light" w:eastAsia="Open Sans Light" w:hAnsi="Open Sans Light" w:cs="Open Sans Light"/>
          <w:sz w:val="24"/>
          <w:szCs w:val="24"/>
        </w:rPr>
      </w:pPr>
    </w:p>
    <w:sectPr w:rsidR="00BC70A1" w:rsidRPr="0076744B" w:rsidSect="00D346B3">
      <w:type w:val="continuous"/>
      <w:pgSz w:w="11906" w:h="16838"/>
      <w:pgMar w:top="2126" w:right="1701" w:bottom="1418" w:left="1701" w:header="709"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828B9" w14:textId="77777777" w:rsidR="00354646" w:rsidRDefault="00354646">
      <w:pPr>
        <w:spacing w:after="0" w:line="240" w:lineRule="auto"/>
      </w:pPr>
      <w:r>
        <w:separator/>
      </w:r>
    </w:p>
    <w:p w14:paraId="64DEFE6C" w14:textId="77777777" w:rsidR="00354646" w:rsidRDefault="00354646"/>
    <w:p w14:paraId="59D35E6F" w14:textId="77777777" w:rsidR="00354646" w:rsidRDefault="00354646"/>
  </w:endnote>
  <w:endnote w:type="continuationSeparator" w:id="0">
    <w:p w14:paraId="0AAE7562" w14:textId="77777777" w:rsidR="00354646" w:rsidRDefault="00354646">
      <w:pPr>
        <w:spacing w:after="0" w:line="240" w:lineRule="auto"/>
      </w:pPr>
      <w:r>
        <w:continuationSeparator/>
      </w:r>
    </w:p>
    <w:p w14:paraId="61D9D889" w14:textId="77777777" w:rsidR="00354646" w:rsidRDefault="00354646"/>
    <w:p w14:paraId="7D54F8DA" w14:textId="77777777" w:rsidR="00354646" w:rsidRDefault="003546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Light">
    <w:altName w:val="Arial"/>
    <w:charset w:val="00"/>
    <w:family w:val="swiss"/>
    <w:pitch w:val="variable"/>
    <w:sig w:usb0="E00002EF" w:usb1="4000205B" w:usb2="00000028" w:usb3="00000000" w:csb0="0000019F" w:csb1="00000000"/>
  </w:font>
  <w:font w:name="Montserrat Bold">
    <w:altName w:val="Times New Roman"/>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Montserrat">
    <w:altName w:val="Times New Roman"/>
    <w:charset w:val="00"/>
    <w:family w:val="auto"/>
    <w:pitch w:val="variable"/>
    <w:sig w:usb0="2000020F" w:usb1="00000003" w:usb2="00000000" w:usb3="00000000" w:csb0="00000197" w:csb1="00000000"/>
  </w:font>
  <w:font w:name="Arial Narrow">
    <w:panose1 w:val="020B0606020202030204"/>
    <w:charset w:val="00"/>
    <w:family w:val="swiss"/>
    <w:pitch w:val="variable"/>
    <w:sig w:usb0="00000287" w:usb1="00000800" w:usb2="00000000" w:usb3="00000000" w:csb0="0000009F" w:csb1="00000000"/>
  </w:font>
  <w:font w:name="Libre Franklin">
    <w:altName w:val="Times New Roman"/>
    <w:charset w:val="00"/>
    <w:family w:val="auto"/>
    <w:pitch w:val="variable"/>
    <w:sig w:usb0="A00000FF" w:usb1="4000205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37" w14:textId="1A807B70" w:rsidR="005C0C7B" w:rsidRDefault="005C0C7B">
    <w:pPr>
      <w:pBdr>
        <w:top w:val="nil"/>
        <w:left w:val="nil"/>
        <w:bottom w:val="nil"/>
        <w:right w:val="nil"/>
        <w:between w:val="nil"/>
      </w:pBdr>
      <w:tabs>
        <w:tab w:val="center" w:pos="4252"/>
        <w:tab w:val="right" w:pos="8504"/>
      </w:tabs>
      <w:spacing w:after="0" w:line="240" w:lineRule="auto"/>
      <w:jc w:val="right"/>
      <w:rPr>
        <w:color w:val="000000"/>
      </w:rPr>
    </w:pPr>
    <w:r>
      <w:rPr>
        <w:color w:val="000000"/>
      </w:rPr>
      <w:t xml:space="preserve">Página | </w:t>
    </w:r>
    <w:r>
      <w:rPr>
        <w:color w:val="000000"/>
      </w:rPr>
      <w:fldChar w:fldCharType="begin"/>
    </w:r>
    <w:r>
      <w:rPr>
        <w:color w:val="000000"/>
      </w:rPr>
      <w:instrText>PAGE</w:instrText>
    </w:r>
    <w:r>
      <w:rPr>
        <w:color w:val="000000"/>
      </w:rPr>
      <w:fldChar w:fldCharType="separate"/>
    </w:r>
    <w:r>
      <w:rPr>
        <w:noProof/>
        <w:color w:val="000000"/>
      </w:rPr>
      <w:t>22</w:t>
    </w:r>
    <w:r>
      <w:rPr>
        <w:color w:val="000000"/>
      </w:rPr>
      <w:fldChar w:fldCharType="end"/>
    </w:r>
    <w:r>
      <w:rPr>
        <w:color w:val="000000"/>
      </w:rPr>
      <w:t xml:space="preserve"> </w:t>
    </w:r>
  </w:p>
  <w:p w14:paraId="00000338" w14:textId="77777777" w:rsidR="005C0C7B" w:rsidRDefault="005C0C7B">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E25AF" w14:textId="77777777" w:rsidR="00354646" w:rsidRDefault="00354646">
      <w:pPr>
        <w:spacing w:after="0" w:line="240" w:lineRule="auto"/>
      </w:pPr>
      <w:r>
        <w:separator/>
      </w:r>
    </w:p>
    <w:p w14:paraId="22A88D8E" w14:textId="77777777" w:rsidR="00354646" w:rsidRDefault="00354646"/>
    <w:p w14:paraId="374B5867" w14:textId="77777777" w:rsidR="00354646" w:rsidRDefault="00354646"/>
  </w:footnote>
  <w:footnote w:type="continuationSeparator" w:id="0">
    <w:p w14:paraId="58A6DA68" w14:textId="77777777" w:rsidR="00354646" w:rsidRDefault="00354646">
      <w:pPr>
        <w:spacing w:after="0" w:line="240" w:lineRule="auto"/>
      </w:pPr>
      <w:r>
        <w:continuationSeparator/>
      </w:r>
    </w:p>
    <w:p w14:paraId="1415B242" w14:textId="77777777" w:rsidR="00354646" w:rsidRDefault="00354646"/>
    <w:p w14:paraId="1F6445BA" w14:textId="77777777" w:rsidR="00354646" w:rsidRDefault="00354646"/>
  </w:footnote>
  <w:footnote w:id="1">
    <w:p w14:paraId="7027D378" w14:textId="77777777" w:rsidR="005C0C7B" w:rsidRPr="001D4B7B" w:rsidRDefault="005C0C7B" w:rsidP="005E6E7F">
      <w:pPr>
        <w:pStyle w:val="FootnoteText"/>
        <w:rPr>
          <w:rFonts w:ascii="Open Sans Light" w:hAnsi="Open Sans Light" w:cs="Open Sans Light"/>
          <w:lang w:val="en-US"/>
        </w:rPr>
      </w:pPr>
      <w:r w:rsidRPr="001D4B7B">
        <w:rPr>
          <w:rStyle w:val="FootnoteReference"/>
          <w:rFonts w:ascii="Open Sans Light" w:hAnsi="Open Sans Light" w:cs="Open Sans Light"/>
        </w:rPr>
        <w:footnoteRef/>
      </w:r>
      <w:r w:rsidRPr="001D4B7B">
        <w:rPr>
          <w:rFonts w:ascii="Open Sans Light" w:hAnsi="Open Sans Light" w:cs="Open Sans Light"/>
          <w:lang w:val="en-US"/>
        </w:rPr>
        <w:t xml:space="preserve"> National Center for Health Statistics/OMS</w:t>
      </w:r>
    </w:p>
  </w:footnote>
  <w:footnote w:id="2">
    <w:p w14:paraId="60AC7A3F" w14:textId="77777777" w:rsidR="005C0C7B" w:rsidRDefault="005C0C7B" w:rsidP="002E39FC">
      <w:pPr>
        <w:pStyle w:val="FootnoteText"/>
        <w:rPr>
          <w:sz w:val="16"/>
          <w:szCs w:val="16"/>
          <w:lang w:val="es-PE"/>
        </w:rPr>
      </w:pPr>
      <w:r>
        <w:rPr>
          <w:rStyle w:val="FootnoteReference"/>
          <w:sz w:val="16"/>
          <w:szCs w:val="16"/>
        </w:rPr>
        <w:footnoteRef/>
      </w:r>
      <w:r>
        <w:rPr>
          <w:sz w:val="16"/>
          <w:szCs w:val="16"/>
        </w:rPr>
        <w:t xml:space="preserve"> </w:t>
      </w:r>
      <w:r>
        <w:rPr>
          <w:rFonts w:ascii="Open Sans Light" w:eastAsia="Open Sans Light" w:hAnsi="Open Sans Light" w:cs="Open Sans Light"/>
          <w:color w:val="000000"/>
          <w:sz w:val="16"/>
          <w:szCs w:val="16"/>
        </w:rPr>
        <w:t>Según el INEI, la edad permitida de los adolescentes para trabajar es a partir de los 14 años de edad.</w:t>
      </w:r>
    </w:p>
  </w:footnote>
  <w:footnote w:id="3">
    <w:p w14:paraId="1D7EF0FC" w14:textId="77777777" w:rsidR="005C0C7B" w:rsidRDefault="005C0C7B" w:rsidP="0009331B">
      <w:pPr>
        <w:pStyle w:val="FootnoteText"/>
        <w:rPr>
          <w:lang w:val="es-PE"/>
        </w:rPr>
      </w:pPr>
      <w:r>
        <w:rPr>
          <w:rStyle w:val="FootnoteReference"/>
        </w:rPr>
        <w:footnoteRef/>
      </w:r>
      <w:r>
        <w:t xml:space="preserve"> </w:t>
      </w:r>
      <w:r>
        <w:rPr>
          <w:lang w:val="es-PE"/>
        </w:rPr>
        <w:t xml:space="preserve">Variación correspondiente al periodo 2013 – 2020 </w:t>
      </w:r>
    </w:p>
  </w:footnote>
  <w:footnote w:id="4">
    <w:p w14:paraId="29EFC66B" w14:textId="77777777" w:rsidR="005C0C7B" w:rsidRPr="00E56862" w:rsidRDefault="005C0C7B" w:rsidP="0009331B">
      <w:pPr>
        <w:pStyle w:val="FootnoteText"/>
        <w:rPr>
          <w:rFonts w:ascii="Open Sans Light" w:hAnsi="Open Sans Light" w:cs="Open Sans Light"/>
          <w:lang w:val="es-PE"/>
        </w:rPr>
      </w:pPr>
      <w:r w:rsidRPr="00E56862">
        <w:rPr>
          <w:rStyle w:val="FootnoteReference"/>
          <w:rFonts w:ascii="Open Sans Light" w:hAnsi="Open Sans Light" w:cs="Open Sans Light"/>
        </w:rPr>
        <w:footnoteRef/>
      </w:r>
      <w:r w:rsidRPr="00E56862">
        <w:rPr>
          <w:rFonts w:ascii="Open Sans Light" w:hAnsi="Open Sans Light" w:cs="Open Sans Light"/>
        </w:rPr>
        <w:t xml:space="preserve"> </w:t>
      </w:r>
      <w:r w:rsidRPr="00E56862">
        <w:rPr>
          <w:rFonts w:ascii="Open Sans Light" w:hAnsi="Open Sans Light" w:cs="Open Sans Light"/>
          <w:lang w:val="es-PE"/>
        </w:rPr>
        <w:t xml:space="preserve">Corresponde al periodo 2013 – 2020 </w:t>
      </w:r>
    </w:p>
  </w:footnote>
  <w:footnote w:id="5">
    <w:p w14:paraId="6E9BCCA9" w14:textId="77777777" w:rsidR="005C0C7B" w:rsidRDefault="005C0C7B" w:rsidP="0009331B">
      <w:pPr>
        <w:pStyle w:val="FootnoteText"/>
        <w:rPr>
          <w:lang w:val="es-PE"/>
        </w:rPr>
      </w:pPr>
      <w:r w:rsidRPr="00E56862">
        <w:rPr>
          <w:rStyle w:val="FootnoteReference"/>
          <w:rFonts w:ascii="Open Sans Light" w:hAnsi="Open Sans Light" w:cs="Open Sans Light"/>
        </w:rPr>
        <w:footnoteRef/>
      </w:r>
      <w:r w:rsidRPr="00E56862">
        <w:rPr>
          <w:rFonts w:ascii="Open Sans Light" w:hAnsi="Open Sans Light" w:cs="Open Sans Light"/>
        </w:rPr>
        <w:t xml:space="preserve"> </w:t>
      </w:r>
      <w:r w:rsidRPr="00E56862">
        <w:rPr>
          <w:rFonts w:ascii="Open Sans Light" w:hAnsi="Open Sans Light" w:cs="Open Sans Light"/>
          <w:lang w:val="es-PE"/>
        </w:rPr>
        <w:t>Corresponde al periodo 2014 – 2020</w:t>
      </w:r>
    </w:p>
  </w:footnote>
  <w:footnote w:id="6">
    <w:p w14:paraId="7DE9548B" w14:textId="77777777" w:rsidR="005C0C7B" w:rsidRPr="00094D3B" w:rsidRDefault="005C0C7B" w:rsidP="00121B6F">
      <w:pPr>
        <w:pStyle w:val="FootnoteText"/>
        <w:rPr>
          <w:lang w:val="es-PE"/>
        </w:rPr>
      </w:pPr>
      <w:r>
        <w:rPr>
          <w:rStyle w:val="FootnoteReference"/>
        </w:rPr>
        <w:footnoteRef/>
      </w:r>
      <w:r>
        <w:t xml:space="preserve"> </w:t>
      </w:r>
      <w:r>
        <w:rPr>
          <w:lang w:val="es-PE"/>
        </w:rPr>
        <w:t>Corresponde al año 2017</w:t>
      </w:r>
    </w:p>
  </w:footnote>
  <w:footnote w:id="7">
    <w:p w14:paraId="7B5D5732" w14:textId="77777777" w:rsidR="005C0C7B" w:rsidRPr="00094D3B" w:rsidRDefault="005C0C7B" w:rsidP="00121B6F">
      <w:pPr>
        <w:pStyle w:val="FootnoteText"/>
        <w:rPr>
          <w:lang w:val="es-PE"/>
        </w:rPr>
      </w:pPr>
      <w:r>
        <w:rPr>
          <w:rStyle w:val="FootnoteReference"/>
        </w:rPr>
        <w:footnoteRef/>
      </w:r>
      <w:r>
        <w:t xml:space="preserve"> </w:t>
      </w:r>
      <w:r>
        <w:rPr>
          <w:lang w:val="es-PE"/>
        </w:rPr>
        <w:t>Corresponde al periodo 2012 – 2017</w:t>
      </w:r>
    </w:p>
  </w:footnote>
  <w:footnote w:id="8">
    <w:p w14:paraId="2C713665" w14:textId="77777777" w:rsidR="005C0C7B" w:rsidRPr="00FE5A33" w:rsidRDefault="005C0C7B" w:rsidP="00F96701">
      <w:pPr>
        <w:pStyle w:val="FootnoteText"/>
        <w:rPr>
          <w:lang w:val="es-PE"/>
        </w:rPr>
      </w:pPr>
      <w:r>
        <w:rPr>
          <w:rStyle w:val="FootnoteReference"/>
        </w:rPr>
        <w:footnoteRef/>
      </w:r>
      <w:r>
        <w:t xml:space="preserve"> </w:t>
      </w:r>
      <w:r>
        <w:rPr>
          <w:lang w:val="es-PE"/>
        </w:rPr>
        <w:t>Corresponde al periodo 2016 – 2020</w:t>
      </w:r>
    </w:p>
  </w:footnote>
  <w:footnote w:id="9">
    <w:p w14:paraId="0E407991" w14:textId="77777777" w:rsidR="005C0C7B" w:rsidRPr="00094D3B" w:rsidRDefault="005C0C7B" w:rsidP="00F96701">
      <w:pPr>
        <w:pStyle w:val="FootnoteText"/>
        <w:rPr>
          <w:lang w:val="es-PE"/>
        </w:rPr>
      </w:pPr>
      <w:r>
        <w:rPr>
          <w:rStyle w:val="FootnoteReference"/>
        </w:rPr>
        <w:footnoteRef/>
      </w:r>
      <w:r>
        <w:t xml:space="preserve"> </w:t>
      </w:r>
      <w:r>
        <w:rPr>
          <w:lang w:val="es-PE"/>
        </w:rPr>
        <w:t>Corresponde al año 2017</w:t>
      </w:r>
    </w:p>
  </w:footnote>
  <w:footnote w:id="10">
    <w:p w14:paraId="5A845DFB" w14:textId="77777777" w:rsidR="005C0C7B" w:rsidRPr="00094D3B" w:rsidRDefault="005C0C7B" w:rsidP="00F96701">
      <w:pPr>
        <w:pStyle w:val="FootnoteText"/>
        <w:rPr>
          <w:lang w:val="es-PE"/>
        </w:rPr>
      </w:pPr>
      <w:r>
        <w:rPr>
          <w:rStyle w:val="FootnoteReference"/>
        </w:rPr>
        <w:footnoteRef/>
      </w:r>
      <w:r>
        <w:t xml:space="preserve"> </w:t>
      </w:r>
      <w:r>
        <w:rPr>
          <w:lang w:val="es-PE"/>
        </w:rPr>
        <w:t>Corresponde al periodo 2012 – 2017</w:t>
      </w:r>
    </w:p>
  </w:footnote>
  <w:footnote w:id="11">
    <w:p w14:paraId="05794DF2" w14:textId="77777777" w:rsidR="005C0C7B" w:rsidRPr="002D336B" w:rsidRDefault="005C0C7B" w:rsidP="0064404C">
      <w:pPr>
        <w:pStyle w:val="FootnoteText"/>
        <w:rPr>
          <w:lang w:val="es-PE"/>
        </w:rPr>
      </w:pPr>
      <w:r>
        <w:rPr>
          <w:rStyle w:val="FootnoteReference"/>
        </w:rPr>
        <w:footnoteRef/>
      </w:r>
      <w:r>
        <w:t xml:space="preserve"> </w:t>
      </w:r>
      <w:r>
        <w:rPr>
          <w:lang w:val="es-PE"/>
        </w:rPr>
        <w:t xml:space="preserve">Corresponde al periodo 2017 – 2020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2C" w14:textId="77777777" w:rsidR="005C0C7B" w:rsidRDefault="005C0C7B">
    <w:pPr>
      <w:pBdr>
        <w:top w:val="nil"/>
        <w:left w:val="nil"/>
        <w:bottom w:val="nil"/>
        <w:right w:val="nil"/>
        <w:between w:val="nil"/>
      </w:pBdr>
      <w:tabs>
        <w:tab w:val="center" w:pos="4252"/>
        <w:tab w:val="right" w:pos="8504"/>
        <w:tab w:val="left" w:pos="1613"/>
      </w:tabs>
      <w:spacing w:after="0" w:line="240" w:lineRule="auto"/>
      <w:rPr>
        <w:color w:val="000000"/>
      </w:rPr>
    </w:pPr>
    <w:r>
      <w:rPr>
        <w:color w:val="000000"/>
      </w:rPr>
      <w:tab/>
    </w:r>
    <w:r>
      <w:rPr>
        <w:color w:val="000000"/>
      </w:rPr>
      <w:tab/>
    </w:r>
    <w:r>
      <w:rPr>
        <w:color w:val="000000"/>
      </w:rPr>
      <w:tab/>
    </w:r>
    <w:r>
      <w:rPr>
        <w:noProof/>
        <w:lang w:val="en-GB" w:eastAsia="en-GB"/>
      </w:rPr>
      <w:drawing>
        <wp:anchor distT="0" distB="0" distL="114300" distR="114300" simplePos="0" relativeHeight="251658240" behindDoc="0" locked="0" layoutInCell="1" hidden="0" allowOverlap="1" wp14:anchorId="0908A4A4" wp14:editId="2BA0E88B">
          <wp:simplePos x="0" y="0"/>
          <wp:positionH relativeFrom="column">
            <wp:posOffset>4320040</wp:posOffset>
          </wp:positionH>
          <wp:positionV relativeFrom="paragraph">
            <wp:posOffset>-177470</wp:posOffset>
          </wp:positionV>
          <wp:extent cx="1080000" cy="450528"/>
          <wp:effectExtent l="0" t="0" r="0" b="0"/>
          <wp:wrapSquare wrapText="bothSides" distT="0" distB="0" distL="114300" distR="114300"/>
          <wp:docPr id="6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l="21515" t="28194" r="17092" b="26329"/>
                  <a:stretch>
                    <a:fillRect/>
                  </a:stretch>
                </pic:blipFill>
                <pic:spPr>
                  <a:xfrm>
                    <a:off x="0" y="0"/>
                    <a:ext cx="1080000" cy="450528"/>
                  </a:xfrm>
                  <a:prstGeom prst="rect">
                    <a:avLst/>
                  </a:prstGeom>
                  <a:ln/>
                </pic:spPr>
              </pic:pic>
            </a:graphicData>
          </a:graphic>
        </wp:anchor>
      </w:drawing>
    </w:r>
    <w:r>
      <w:rPr>
        <w:noProof/>
        <w:lang w:val="en-GB" w:eastAsia="en-GB"/>
      </w:rPr>
      <w:drawing>
        <wp:anchor distT="0" distB="0" distL="114300" distR="114300" simplePos="0" relativeHeight="251659264" behindDoc="0" locked="0" layoutInCell="1" hidden="0" allowOverlap="1" wp14:anchorId="5705E27A" wp14:editId="17CE5530">
          <wp:simplePos x="0" y="0"/>
          <wp:positionH relativeFrom="column">
            <wp:posOffset>-277825</wp:posOffset>
          </wp:positionH>
          <wp:positionV relativeFrom="paragraph">
            <wp:posOffset>-182079</wp:posOffset>
          </wp:positionV>
          <wp:extent cx="2105025" cy="434340"/>
          <wp:effectExtent l="0" t="0" r="0" b="0"/>
          <wp:wrapNone/>
          <wp:docPr id="6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2105025" cy="434340"/>
                  </a:xfrm>
                  <a:prstGeom prst="rect">
                    <a:avLst/>
                  </a:prstGeom>
                  <a:ln/>
                </pic:spPr>
              </pic:pic>
            </a:graphicData>
          </a:graphic>
        </wp:anchor>
      </w:drawing>
    </w:r>
  </w:p>
  <w:p w14:paraId="0000032D" w14:textId="77777777" w:rsidR="005C0C7B" w:rsidRDefault="005C0C7B">
    <w:pPr>
      <w:spacing w:after="0" w:line="240" w:lineRule="auto"/>
      <w:jc w:val="center"/>
      <w:rPr>
        <w:rFonts w:ascii="Arial Narrow" w:eastAsia="Arial Narrow" w:hAnsi="Arial Narrow" w:cs="Arial Narrow"/>
        <w:sz w:val="18"/>
        <w:szCs w:val="18"/>
      </w:rPr>
    </w:pPr>
  </w:p>
  <w:p w14:paraId="0000032E" w14:textId="77777777" w:rsidR="005C0C7B" w:rsidRDefault="005C0C7B">
    <w:pPr>
      <w:spacing w:after="0" w:line="240" w:lineRule="auto"/>
      <w:jc w:val="center"/>
      <w:rPr>
        <w:rFonts w:ascii="Arial Narrow" w:eastAsia="Arial Narrow" w:hAnsi="Arial Narrow" w:cs="Arial Narrow"/>
        <w:sz w:val="18"/>
        <w:szCs w:val="18"/>
      </w:rPr>
    </w:pPr>
  </w:p>
  <w:p w14:paraId="0000032F" w14:textId="77777777" w:rsidR="005C0C7B" w:rsidRDefault="005C0C7B">
    <w:pPr>
      <w:spacing w:after="0" w:line="240" w:lineRule="auto"/>
      <w:jc w:val="center"/>
      <w:rPr>
        <w:rFonts w:ascii="Arial Narrow" w:eastAsia="Arial Narrow" w:hAnsi="Arial Narrow" w:cs="Arial Narrow"/>
        <w:sz w:val="18"/>
        <w:szCs w:val="18"/>
      </w:rPr>
    </w:pPr>
    <w:r>
      <w:rPr>
        <w:rFonts w:ascii="Arial Narrow" w:eastAsia="Arial Narrow" w:hAnsi="Arial Narrow" w:cs="Arial Narrow"/>
        <w:sz w:val="18"/>
        <w:szCs w:val="18"/>
      </w:rPr>
      <w:t>“Decenio de la Igualdad de Oportunidades para Mujeres y Hombres”</w:t>
    </w:r>
  </w:p>
  <w:p w14:paraId="00000330" w14:textId="77777777" w:rsidR="005C0C7B" w:rsidRDefault="005C0C7B">
    <w:pPr>
      <w:pBdr>
        <w:top w:val="nil"/>
        <w:left w:val="nil"/>
        <w:bottom w:val="nil"/>
        <w:right w:val="nil"/>
        <w:between w:val="nil"/>
      </w:pBdr>
      <w:tabs>
        <w:tab w:val="center" w:pos="4252"/>
        <w:tab w:val="right" w:pos="8504"/>
        <w:tab w:val="left" w:pos="1613"/>
      </w:tabs>
      <w:spacing w:after="0" w:line="240" w:lineRule="auto"/>
      <w:jc w:val="cente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“Año del Bicentenario del Perú: 200 años de Independencia”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31" w14:textId="77777777" w:rsidR="005C0C7B" w:rsidRDefault="005C0C7B">
    <w:pPr>
      <w:pBdr>
        <w:top w:val="nil"/>
        <w:left w:val="nil"/>
        <w:bottom w:val="nil"/>
        <w:right w:val="nil"/>
        <w:between w:val="nil"/>
      </w:pBdr>
      <w:tabs>
        <w:tab w:val="center" w:pos="4252"/>
        <w:tab w:val="right" w:pos="8504"/>
      </w:tabs>
      <w:spacing w:after="0" w:line="240" w:lineRule="auto"/>
      <w:jc w:val="right"/>
      <w:rPr>
        <w:rFonts w:ascii="Libre Franklin" w:eastAsia="Libre Franklin" w:hAnsi="Libre Franklin" w:cs="Libre Franklin"/>
        <w:color w:val="000000"/>
      </w:rPr>
    </w:pPr>
    <w:r>
      <w:rPr>
        <w:noProof/>
        <w:lang w:val="en-GB" w:eastAsia="en-GB"/>
      </w:rPr>
      <w:drawing>
        <wp:anchor distT="0" distB="0" distL="114300" distR="114300" simplePos="0" relativeHeight="251660288" behindDoc="0" locked="0" layoutInCell="1" hidden="0" allowOverlap="1" wp14:anchorId="61A6D75F" wp14:editId="58A1358C">
          <wp:simplePos x="0" y="0"/>
          <wp:positionH relativeFrom="column">
            <wp:posOffset>4320040</wp:posOffset>
          </wp:positionH>
          <wp:positionV relativeFrom="paragraph">
            <wp:posOffset>10644</wp:posOffset>
          </wp:positionV>
          <wp:extent cx="1080000" cy="450528"/>
          <wp:effectExtent l="0" t="0" r="0" b="0"/>
          <wp:wrapSquare wrapText="bothSides" distT="0" distB="0" distL="114300" distR="114300"/>
          <wp:docPr id="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l="21515" t="28194" r="17092" b="26329"/>
                  <a:stretch>
                    <a:fillRect/>
                  </a:stretch>
                </pic:blipFill>
                <pic:spPr>
                  <a:xfrm>
                    <a:off x="0" y="0"/>
                    <a:ext cx="1080000" cy="450528"/>
                  </a:xfrm>
                  <a:prstGeom prst="rect">
                    <a:avLst/>
                  </a:prstGeom>
                  <a:ln/>
                </pic:spPr>
              </pic:pic>
            </a:graphicData>
          </a:graphic>
        </wp:anchor>
      </w:drawing>
    </w:r>
    <w:r>
      <w:rPr>
        <w:noProof/>
        <w:lang w:val="en-GB" w:eastAsia="en-GB"/>
      </w:rPr>
      <w:drawing>
        <wp:anchor distT="0" distB="0" distL="114300" distR="114300" simplePos="0" relativeHeight="251661312" behindDoc="0" locked="0" layoutInCell="1" hidden="0" allowOverlap="1" wp14:anchorId="3B901420" wp14:editId="2160E86B">
          <wp:simplePos x="0" y="0"/>
          <wp:positionH relativeFrom="column">
            <wp:posOffset>-255087</wp:posOffset>
          </wp:positionH>
          <wp:positionV relativeFrom="paragraph">
            <wp:posOffset>13259</wp:posOffset>
          </wp:positionV>
          <wp:extent cx="2105025" cy="434340"/>
          <wp:effectExtent l="0" t="0" r="0" b="0"/>
          <wp:wrapNone/>
          <wp:docPr id="6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2105025" cy="434340"/>
                  </a:xfrm>
                  <a:prstGeom prst="rect">
                    <a:avLst/>
                  </a:prstGeom>
                  <a:ln/>
                </pic:spPr>
              </pic:pic>
            </a:graphicData>
          </a:graphic>
        </wp:anchor>
      </w:drawing>
    </w:r>
  </w:p>
  <w:p w14:paraId="00000332" w14:textId="77777777" w:rsidR="005C0C7B" w:rsidRDefault="005C0C7B">
    <w:pPr>
      <w:pBdr>
        <w:top w:val="nil"/>
        <w:left w:val="nil"/>
        <w:bottom w:val="nil"/>
        <w:right w:val="nil"/>
        <w:between w:val="nil"/>
      </w:pBdr>
      <w:tabs>
        <w:tab w:val="center" w:pos="4252"/>
        <w:tab w:val="right" w:pos="8504"/>
      </w:tabs>
      <w:spacing w:after="0" w:line="240" w:lineRule="auto"/>
      <w:jc w:val="right"/>
      <w:rPr>
        <w:rFonts w:ascii="Libre Franklin" w:eastAsia="Libre Franklin" w:hAnsi="Libre Franklin" w:cs="Libre Franklin"/>
        <w:color w:val="000000"/>
      </w:rPr>
    </w:pPr>
  </w:p>
  <w:p w14:paraId="00000333" w14:textId="77777777" w:rsidR="005C0C7B" w:rsidRDefault="005C0C7B">
    <w:pPr>
      <w:pBdr>
        <w:top w:val="nil"/>
        <w:left w:val="nil"/>
        <w:bottom w:val="nil"/>
        <w:right w:val="nil"/>
        <w:between w:val="nil"/>
      </w:pBdr>
      <w:tabs>
        <w:tab w:val="center" w:pos="4252"/>
        <w:tab w:val="right" w:pos="8504"/>
      </w:tabs>
      <w:spacing w:after="0" w:line="240" w:lineRule="auto"/>
      <w:jc w:val="right"/>
      <w:rPr>
        <w:rFonts w:ascii="Libre Franklin" w:eastAsia="Libre Franklin" w:hAnsi="Libre Franklin" w:cs="Libre Franklin"/>
        <w:color w:val="000000"/>
      </w:rPr>
    </w:pPr>
  </w:p>
  <w:p w14:paraId="00000334" w14:textId="77777777" w:rsidR="005C0C7B" w:rsidRDefault="005C0C7B">
    <w:pPr>
      <w:pBdr>
        <w:top w:val="nil"/>
        <w:left w:val="nil"/>
        <w:bottom w:val="nil"/>
        <w:right w:val="nil"/>
        <w:between w:val="nil"/>
      </w:pBdr>
      <w:tabs>
        <w:tab w:val="center" w:pos="4252"/>
        <w:tab w:val="right" w:pos="8504"/>
      </w:tabs>
      <w:spacing w:after="0" w:line="240" w:lineRule="auto"/>
      <w:jc w:val="center"/>
      <w:rPr>
        <w:rFonts w:ascii="Libre Franklin" w:eastAsia="Libre Franklin" w:hAnsi="Libre Franklin" w:cs="Libre Franklin"/>
        <w:color w:val="000000"/>
      </w:rPr>
    </w:pPr>
  </w:p>
  <w:p w14:paraId="00000335" w14:textId="77777777" w:rsidR="005C0C7B" w:rsidRDefault="005C0C7B">
    <w:pPr>
      <w:spacing w:after="0" w:line="240" w:lineRule="auto"/>
      <w:jc w:val="center"/>
      <w:rPr>
        <w:rFonts w:ascii="Arial Narrow" w:eastAsia="Arial Narrow" w:hAnsi="Arial Narrow" w:cs="Arial Narrow"/>
        <w:sz w:val="18"/>
        <w:szCs w:val="18"/>
      </w:rPr>
    </w:pPr>
    <w:r>
      <w:rPr>
        <w:rFonts w:ascii="Arial Narrow" w:eastAsia="Arial Narrow" w:hAnsi="Arial Narrow" w:cs="Arial Narrow"/>
        <w:sz w:val="18"/>
        <w:szCs w:val="18"/>
      </w:rPr>
      <w:t>“Decenio de la Igualdad de Oportunidades para Mujeres y Hombres”</w:t>
    </w:r>
  </w:p>
  <w:p w14:paraId="00000336" w14:textId="77777777" w:rsidR="005C0C7B" w:rsidRDefault="005C0C7B">
    <w:pPr>
      <w:pBdr>
        <w:top w:val="nil"/>
        <w:left w:val="nil"/>
        <w:bottom w:val="nil"/>
        <w:right w:val="nil"/>
        <w:between w:val="nil"/>
      </w:pBdr>
      <w:tabs>
        <w:tab w:val="center" w:pos="4252"/>
        <w:tab w:val="right" w:pos="8504"/>
        <w:tab w:val="left" w:pos="1613"/>
      </w:tabs>
      <w:spacing w:after="0" w:line="240" w:lineRule="auto"/>
      <w:jc w:val="cente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“Año del Bicentenario del Perú: 200 años de Independencia”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E3895"/>
    <w:multiLevelType w:val="multilevel"/>
    <w:tmpl w:val="F9BC6582"/>
    <w:lvl w:ilvl="0">
      <w:start w:val="1"/>
      <w:numFmt w:val="decimal"/>
      <w:lvlText w:val="%1."/>
      <w:lvlJc w:val="left"/>
      <w:pPr>
        <w:ind w:left="720" w:hanging="360"/>
      </w:pPr>
    </w:lvl>
    <w:lvl w:ilvl="1">
      <w:start w:val="1"/>
      <w:numFmt w:val="decimal"/>
      <w:lvlText w:val="%1.%2"/>
      <w:lvlJc w:val="left"/>
      <w:pPr>
        <w:ind w:left="750" w:hanging="39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 w15:restartNumberingAfterBreak="0">
    <w:nsid w:val="0DB87D14"/>
    <w:multiLevelType w:val="multilevel"/>
    <w:tmpl w:val="98F6999E"/>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2" w15:restartNumberingAfterBreak="0">
    <w:nsid w:val="0FA306FA"/>
    <w:multiLevelType w:val="hybridMultilevel"/>
    <w:tmpl w:val="20E0A656"/>
    <w:lvl w:ilvl="0" w:tplc="B1745A6A">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107B656D"/>
    <w:multiLevelType w:val="hybridMultilevel"/>
    <w:tmpl w:val="9900036A"/>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 w15:restartNumberingAfterBreak="0">
    <w:nsid w:val="12685685"/>
    <w:multiLevelType w:val="hybridMultilevel"/>
    <w:tmpl w:val="F5FE98B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6D05C83"/>
    <w:multiLevelType w:val="hybridMultilevel"/>
    <w:tmpl w:val="76B4531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15:restartNumberingAfterBreak="0">
    <w:nsid w:val="235A5E83"/>
    <w:multiLevelType w:val="hybridMultilevel"/>
    <w:tmpl w:val="22C2CA4E"/>
    <w:lvl w:ilvl="0" w:tplc="280A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28A9039C"/>
    <w:multiLevelType w:val="hybridMultilevel"/>
    <w:tmpl w:val="5FC68748"/>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8" w15:restartNumberingAfterBreak="0">
    <w:nsid w:val="2E983F0A"/>
    <w:multiLevelType w:val="multilevel"/>
    <w:tmpl w:val="6BF6583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36E77975"/>
    <w:multiLevelType w:val="hybridMultilevel"/>
    <w:tmpl w:val="95F8B8E2"/>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3B277FE8"/>
    <w:multiLevelType w:val="multilevel"/>
    <w:tmpl w:val="75C0C9E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40B22CC1"/>
    <w:multiLevelType w:val="hybridMultilevel"/>
    <w:tmpl w:val="0A442108"/>
    <w:lvl w:ilvl="0" w:tplc="4F7CB046">
      <w:start w:val="7"/>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278338B"/>
    <w:multiLevelType w:val="multilevel"/>
    <w:tmpl w:val="145ED824"/>
    <w:lvl w:ilvl="0">
      <w:start w:val="1"/>
      <w:numFmt w:val="decimal"/>
      <w:pStyle w:val="Heading1"/>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447F6EA9"/>
    <w:multiLevelType w:val="hybridMultilevel"/>
    <w:tmpl w:val="171CDDEC"/>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4" w15:restartNumberingAfterBreak="0">
    <w:nsid w:val="46BE3D3C"/>
    <w:multiLevelType w:val="hybridMultilevel"/>
    <w:tmpl w:val="E71836D6"/>
    <w:lvl w:ilvl="0" w:tplc="FCC00FA8">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5" w15:restartNumberingAfterBreak="0">
    <w:nsid w:val="504831DA"/>
    <w:multiLevelType w:val="hybridMultilevel"/>
    <w:tmpl w:val="6B143A2A"/>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6" w15:restartNumberingAfterBreak="0">
    <w:nsid w:val="53AE1426"/>
    <w:multiLevelType w:val="multilevel"/>
    <w:tmpl w:val="224629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5B00307"/>
    <w:multiLevelType w:val="hybridMultilevel"/>
    <w:tmpl w:val="9EA24D74"/>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8" w15:restartNumberingAfterBreak="0">
    <w:nsid w:val="5B5E6A2E"/>
    <w:multiLevelType w:val="hybridMultilevel"/>
    <w:tmpl w:val="4CA244C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5FA05827"/>
    <w:multiLevelType w:val="multilevel"/>
    <w:tmpl w:val="360A65D6"/>
    <w:lvl w:ilvl="0">
      <w:start w:val="2"/>
      <w:numFmt w:val="decimal"/>
      <w:lvlText w:val="%1."/>
      <w:lvlJc w:val="left"/>
      <w:pPr>
        <w:ind w:left="380" w:hanging="380"/>
      </w:pPr>
    </w:lvl>
    <w:lvl w:ilvl="1">
      <w:start w:val="1"/>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20" w15:restartNumberingAfterBreak="0">
    <w:nsid w:val="64817916"/>
    <w:multiLevelType w:val="hybridMultilevel"/>
    <w:tmpl w:val="40B841CE"/>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15:restartNumberingAfterBreak="0">
    <w:nsid w:val="7096706C"/>
    <w:multiLevelType w:val="hybridMultilevel"/>
    <w:tmpl w:val="6916DFF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73D63857"/>
    <w:multiLevelType w:val="hybridMultilevel"/>
    <w:tmpl w:val="9A0A135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12"/>
  </w:num>
  <w:num w:numId="2">
    <w:abstractNumId w:val="10"/>
  </w:num>
  <w:num w:numId="3">
    <w:abstractNumId w:val="8"/>
  </w:num>
  <w:num w:numId="4">
    <w:abstractNumId w:val="0"/>
  </w:num>
  <w:num w:numId="5">
    <w:abstractNumId w:val="19"/>
  </w:num>
  <w:num w:numId="6">
    <w:abstractNumId w:val="1"/>
  </w:num>
  <w:num w:numId="7">
    <w:abstractNumId w:val="9"/>
  </w:num>
  <w:num w:numId="8">
    <w:abstractNumId w:val="20"/>
  </w:num>
  <w:num w:numId="9">
    <w:abstractNumId w:val="15"/>
  </w:num>
  <w:num w:numId="10">
    <w:abstractNumId w:val="3"/>
  </w:num>
  <w:num w:numId="11">
    <w:abstractNumId w:val="7"/>
  </w:num>
  <w:num w:numId="12">
    <w:abstractNumId w:val="17"/>
  </w:num>
  <w:num w:numId="13">
    <w:abstractNumId w:val="13"/>
  </w:num>
  <w:num w:numId="14">
    <w:abstractNumId w:val="6"/>
  </w:num>
  <w:num w:numId="15">
    <w:abstractNumId w:val="22"/>
  </w:num>
  <w:num w:numId="16">
    <w:abstractNumId w:val="5"/>
  </w:num>
  <w:num w:numId="17">
    <w:abstractNumId w:val="21"/>
  </w:num>
  <w:num w:numId="18">
    <w:abstractNumId w:val="4"/>
  </w:num>
  <w:num w:numId="19">
    <w:abstractNumId w:val="18"/>
  </w:num>
  <w:num w:numId="20">
    <w:abstractNumId w:val="11"/>
  </w:num>
  <w:num w:numId="21">
    <w:abstractNumId w:val="12"/>
  </w:num>
  <w:num w:numId="22">
    <w:abstractNumId w:val="2"/>
  </w:num>
  <w:num w:numId="23">
    <w:abstractNumId w:val="14"/>
  </w:num>
  <w:num w:numId="24">
    <w:abstractNumId w:val="16"/>
  </w:num>
  <w:num w:numId="25">
    <w:abstractNumId w:val="12"/>
  </w:num>
  <w:num w:numId="26">
    <w:abstractNumId w:val="12"/>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LI0Njc3NjMyNLIwM7FU0lEKTi0uzszPAykwtKgFAKFv+QotAAAA"/>
  </w:docVars>
  <w:rsids>
    <w:rsidRoot w:val="00971081"/>
    <w:rsid w:val="00000851"/>
    <w:rsid w:val="000027DB"/>
    <w:rsid w:val="000031D2"/>
    <w:rsid w:val="00003E98"/>
    <w:rsid w:val="000047B9"/>
    <w:rsid w:val="00004987"/>
    <w:rsid w:val="000049D6"/>
    <w:rsid w:val="00005673"/>
    <w:rsid w:val="0000599C"/>
    <w:rsid w:val="00005E6F"/>
    <w:rsid w:val="0000685B"/>
    <w:rsid w:val="00006B65"/>
    <w:rsid w:val="0000768C"/>
    <w:rsid w:val="00007B94"/>
    <w:rsid w:val="0001165A"/>
    <w:rsid w:val="0001187A"/>
    <w:rsid w:val="000126E9"/>
    <w:rsid w:val="00012904"/>
    <w:rsid w:val="00012A58"/>
    <w:rsid w:val="00013557"/>
    <w:rsid w:val="00013631"/>
    <w:rsid w:val="00014600"/>
    <w:rsid w:val="000169DC"/>
    <w:rsid w:val="000179D2"/>
    <w:rsid w:val="000216B4"/>
    <w:rsid w:val="000233E6"/>
    <w:rsid w:val="000248F4"/>
    <w:rsid w:val="00025157"/>
    <w:rsid w:val="00025923"/>
    <w:rsid w:val="00025957"/>
    <w:rsid w:val="000267D7"/>
    <w:rsid w:val="00026A1B"/>
    <w:rsid w:val="00030127"/>
    <w:rsid w:val="0003076B"/>
    <w:rsid w:val="00031056"/>
    <w:rsid w:val="0003201B"/>
    <w:rsid w:val="0003465C"/>
    <w:rsid w:val="00034BC3"/>
    <w:rsid w:val="00034E16"/>
    <w:rsid w:val="0003507B"/>
    <w:rsid w:val="00036419"/>
    <w:rsid w:val="0003642B"/>
    <w:rsid w:val="00037427"/>
    <w:rsid w:val="00037FF1"/>
    <w:rsid w:val="00041385"/>
    <w:rsid w:val="000441B0"/>
    <w:rsid w:val="000458A4"/>
    <w:rsid w:val="00046E7C"/>
    <w:rsid w:val="00047B19"/>
    <w:rsid w:val="00050691"/>
    <w:rsid w:val="00050FE0"/>
    <w:rsid w:val="000518AE"/>
    <w:rsid w:val="00051F1A"/>
    <w:rsid w:val="00053236"/>
    <w:rsid w:val="000548AD"/>
    <w:rsid w:val="00054B7A"/>
    <w:rsid w:val="0006258D"/>
    <w:rsid w:val="00062CBD"/>
    <w:rsid w:val="00066DB4"/>
    <w:rsid w:val="000671C4"/>
    <w:rsid w:val="0006725A"/>
    <w:rsid w:val="00070211"/>
    <w:rsid w:val="0007134D"/>
    <w:rsid w:val="00071673"/>
    <w:rsid w:val="00074B87"/>
    <w:rsid w:val="00076CFF"/>
    <w:rsid w:val="0007786E"/>
    <w:rsid w:val="00077FA7"/>
    <w:rsid w:val="00080432"/>
    <w:rsid w:val="00083969"/>
    <w:rsid w:val="00083BFD"/>
    <w:rsid w:val="00084337"/>
    <w:rsid w:val="00084A30"/>
    <w:rsid w:val="00084C17"/>
    <w:rsid w:val="00085E09"/>
    <w:rsid w:val="0008684D"/>
    <w:rsid w:val="000870F0"/>
    <w:rsid w:val="000876DE"/>
    <w:rsid w:val="00087D09"/>
    <w:rsid w:val="000907DB"/>
    <w:rsid w:val="00090975"/>
    <w:rsid w:val="00090C2D"/>
    <w:rsid w:val="00091A7B"/>
    <w:rsid w:val="0009331B"/>
    <w:rsid w:val="0009348E"/>
    <w:rsid w:val="000942AF"/>
    <w:rsid w:val="00094B45"/>
    <w:rsid w:val="00094D3B"/>
    <w:rsid w:val="00095371"/>
    <w:rsid w:val="00096401"/>
    <w:rsid w:val="00097A8E"/>
    <w:rsid w:val="000A25AF"/>
    <w:rsid w:val="000A4C48"/>
    <w:rsid w:val="000A4C69"/>
    <w:rsid w:val="000A4EB4"/>
    <w:rsid w:val="000A52DE"/>
    <w:rsid w:val="000A5D3C"/>
    <w:rsid w:val="000A7F37"/>
    <w:rsid w:val="000B0205"/>
    <w:rsid w:val="000B0805"/>
    <w:rsid w:val="000B0A56"/>
    <w:rsid w:val="000B109A"/>
    <w:rsid w:val="000B11A4"/>
    <w:rsid w:val="000B13BD"/>
    <w:rsid w:val="000B16CD"/>
    <w:rsid w:val="000B1DBE"/>
    <w:rsid w:val="000B2164"/>
    <w:rsid w:val="000B3BAF"/>
    <w:rsid w:val="000B4109"/>
    <w:rsid w:val="000B498C"/>
    <w:rsid w:val="000B4CDC"/>
    <w:rsid w:val="000B4D63"/>
    <w:rsid w:val="000B4E0D"/>
    <w:rsid w:val="000B5FCC"/>
    <w:rsid w:val="000C00C5"/>
    <w:rsid w:val="000C16DA"/>
    <w:rsid w:val="000C27BA"/>
    <w:rsid w:val="000C2BAE"/>
    <w:rsid w:val="000C33A1"/>
    <w:rsid w:val="000C4D39"/>
    <w:rsid w:val="000C6F0A"/>
    <w:rsid w:val="000C7D7A"/>
    <w:rsid w:val="000D0639"/>
    <w:rsid w:val="000D1A2E"/>
    <w:rsid w:val="000D29F1"/>
    <w:rsid w:val="000D412F"/>
    <w:rsid w:val="000D5DF2"/>
    <w:rsid w:val="000D7812"/>
    <w:rsid w:val="000E064A"/>
    <w:rsid w:val="000E0E5B"/>
    <w:rsid w:val="000E3104"/>
    <w:rsid w:val="000E327A"/>
    <w:rsid w:val="000E4478"/>
    <w:rsid w:val="000E54C8"/>
    <w:rsid w:val="000E590B"/>
    <w:rsid w:val="000F17E6"/>
    <w:rsid w:val="000F22A2"/>
    <w:rsid w:val="000F2635"/>
    <w:rsid w:val="000F29FE"/>
    <w:rsid w:val="000F525B"/>
    <w:rsid w:val="000F5E7D"/>
    <w:rsid w:val="000F6C73"/>
    <w:rsid w:val="000F7653"/>
    <w:rsid w:val="001004E4"/>
    <w:rsid w:val="00100888"/>
    <w:rsid w:val="001009A6"/>
    <w:rsid w:val="001013BD"/>
    <w:rsid w:val="00101BCA"/>
    <w:rsid w:val="0010237C"/>
    <w:rsid w:val="00102AB5"/>
    <w:rsid w:val="00104F00"/>
    <w:rsid w:val="0010773B"/>
    <w:rsid w:val="001100E9"/>
    <w:rsid w:val="00110758"/>
    <w:rsid w:val="00110D1B"/>
    <w:rsid w:val="001112CC"/>
    <w:rsid w:val="001132E3"/>
    <w:rsid w:val="00113D00"/>
    <w:rsid w:val="0011635E"/>
    <w:rsid w:val="0011741D"/>
    <w:rsid w:val="00120951"/>
    <w:rsid w:val="00120AE7"/>
    <w:rsid w:val="00121375"/>
    <w:rsid w:val="00121B6F"/>
    <w:rsid w:val="00121EDF"/>
    <w:rsid w:val="001223E2"/>
    <w:rsid w:val="00122780"/>
    <w:rsid w:val="00122B81"/>
    <w:rsid w:val="00124A28"/>
    <w:rsid w:val="001267B6"/>
    <w:rsid w:val="00126D21"/>
    <w:rsid w:val="001278F0"/>
    <w:rsid w:val="00127E21"/>
    <w:rsid w:val="00131172"/>
    <w:rsid w:val="00131E88"/>
    <w:rsid w:val="00132115"/>
    <w:rsid w:val="00132359"/>
    <w:rsid w:val="0013245C"/>
    <w:rsid w:val="00132566"/>
    <w:rsid w:val="00133FCC"/>
    <w:rsid w:val="00135562"/>
    <w:rsid w:val="0014200C"/>
    <w:rsid w:val="0014286F"/>
    <w:rsid w:val="001439D0"/>
    <w:rsid w:val="0014513B"/>
    <w:rsid w:val="00147381"/>
    <w:rsid w:val="001502C3"/>
    <w:rsid w:val="001507DC"/>
    <w:rsid w:val="001512AA"/>
    <w:rsid w:val="001512AB"/>
    <w:rsid w:val="0015148A"/>
    <w:rsid w:val="00151B3A"/>
    <w:rsid w:val="0015247B"/>
    <w:rsid w:val="00152C0E"/>
    <w:rsid w:val="00154508"/>
    <w:rsid w:val="00154E7E"/>
    <w:rsid w:val="00155FD0"/>
    <w:rsid w:val="00156027"/>
    <w:rsid w:val="001570EE"/>
    <w:rsid w:val="00157694"/>
    <w:rsid w:val="00157816"/>
    <w:rsid w:val="001617E8"/>
    <w:rsid w:val="00161A82"/>
    <w:rsid w:val="001624BE"/>
    <w:rsid w:val="00162FF8"/>
    <w:rsid w:val="00163849"/>
    <w:rsid w:val="001640D8"/>
    <w:rsid w:val="00164133"/>
    <w:rsid w:val="0016686B"/>
    <w:rsid w:val="00166ABB"/>
    <w:rsid w:val="00166B7E"/>
    <w:rsid w:val="001675D3"/>
    <w:rsid w:val="001677FC"/>
    <w:rsid w:val="0017209E"/>
    <w:rsid w:val="00172E49"/>
    <w:rsid w:val="00174038"/>
    <w:rsid w:val="00174661"/>
    <w:rsid w:val="0017466F"/>
    <w:rsid w:val="0017468E"/>
    <w:rsid w:val="001759EE"/>
    <w:rsid w:val="00176889"/>
    <w:rsid w:val="00177A8F"/>
    <w:rsid w:val="00180741"/>
    <w:rsid w:val="001821A8"/>
    <w:rsid w:val="001828A1"/>
    <w:rsid w:val="00185CFF"/>
    <w:rsid w:val="001860C2"/>
    <w:rsid w:val="0019118F"/>
    <w:rsid w:val="00192043"/>
    <w:rsid w:val="001935EF"/>
    <w:rsid w:val="00193616"/>
    <w:rsid w:val="00193B61"/>
    <w:rsid w:val="00197433"/>
    <w:rsid w:val="001A03AD"/>
    <w:rsid w:val="001A0496"/>
    <w:rsid w:val="001A095A"/>
    <w:rsid w:val="001A0FAB"/>
    <w:rsid w:val="001A14A7"/>
    <w:rsid w:val="001A24BC"/>
    <w:rsid w:val="001A39EE"/>
    <w:rsid w:val="001A4160"/>
    <w:rsid w:val="001A4D15"/>
    <w:rsid w:val="001A7007"/>
    <w:rsid w:val="001A76FF"/>
    <w:rsid w:val="001B03C4"/>
    <w:rsid w:val="001B20F4"/>
    <w:rsid w:val="001B3063"/>
    <w:rsid w:val="001B34FD"/>
    <w:rsid w:val="001B4E26"/>
    <w:rsid w:val="001B552D"/>
    <w:rsid w:val="001B5841"/>
    <w:rsid w:val="001B5C0C"/>
    <w:rsid w:val="001B656E"/>
    <w:rsid w:val="001B7656"/>
    <w:rsid w:val="001B7896"/>
    <w:rsid w:val="001B7E05"/>
    <w:rsid w:val="001C0C56"/>
    <w:rsid w:val="001C0CEB"/>
    <w:rsid w:val="001C2527"/>
    <w:rsid w:val="001C2A73"/>
    <w:rsid w:val="001C2C00"/>
    <w:rsid w:val="001C35BD"/>
    <w:rsid w:val="001C4049"/>
    <w:rsid w:val="001C42EA"/>
    <w:rsid w:val="001C4614"/>
    <w:rsid w:val="001C46F8"/>
    <w:rsid w:val="001C4804"/>
    <w:rsid w:val="001C77E8"/>
    <w:rsid w:val="001D1B2E"/>
    <w:rsid w:val="001D1C2A"/>
    <w:rsid w:val="001D230C"/>
    <w:rsid w:val="001D3832"/>
    <w:rsid w:val="001D4B7B"/>
    <w:rsid w:val="001D4C1F"/>
    <w:rsid w:val="001D51FD"/>
    <w:rsid w:val="001D5576"/>
    <w:rsid w:val="001D6A30"/>
    <w:rsid w:val="001D6F74"/>
    <w:rsid w:val="001E0A53"/>
    <w:rsid w:val="001E11AF"/>
    <w:rsid w:val="001E2713"/>
    <w:rsid w:val="001E5180"/>
    <w:rsid w:val="001F13C1"/>
    <w:rsid w:val="001F1B09"/>
    <w:rsid w:val="001F1BB4"/>
    <w:rsid w:val="001F356E"/>
    <w:rsid w:val="001F384D"/>
    <w:rsid w:val="001F4204"/>
    <w:rsid w:val="001F4317"/>
    <w:rsid w:val="001F6806"/>
    <w:rsid w:val="001F73DA"/>
    <w:rsid w:val="001F7AA2"/>
    <w:rsid w:val="002008D0"/>
    <w:rsid w:val="00203BC9"/>
    <w:rsid w:val="00204533"/>
    <w:rsid w:val="002046F0"/>
    <w:rsid w:val="002056CB"/>
    <w:rsid w:val="002077E8"/>
    <w:rsid w:val="002107C8"/>
    <w:rsid w:val="00212489"/>
    <w:rsid w:val="00213385"/>
    <w:rsid w:val="002140E9"/>
    <w:rsid w:val="00215329"/>
    <w:rsid w:val="002153F3"/>
    <w:rsid w:val="00215628"/>
    <w:rsid w:val="00215A88"/>
    <w:rsid w:val="00215ADF"/>
    <w:rsid w:val="002164EA"/>
    <w:rsid w:val="0021681C"/>
    <w:rsid w:val="00216884"/>
    <w:rsid w:val="00217101"/>
    <w:rsid w:val="00217A4D"/>
    <w:rsid w:val="002205D5"/>
    <w:rsid w:val="00220996"/>
    <w:rsid w:val="002223E2"/>
    <w:rsid w:val="00222F8C"/>
    <w:rsid w:val="00224C88"/>
    <w:rsid w:val="00224F72"/>
    <w:rsid w:val="002255D3"/>
    <w:rsid w:val="00225A5A"/>
    <w:rsid w:val="0022668C"/>
    <w:rsid w:val="00226C67"/>
    <w:rsid w:val="00226C78"/>
    <w:rsid w:val="002313E1"/>
    <w:rsid w:val="00231ED8"/>
    <w:rsid w:val="00231F91"/>
    <w:rsid w:val="00233D4A"/>
    <w:rsid w:val="00234828"/>
    <w:rsid w:val="00235DE0"/>
    <w:rsid w:val="00236019"/>
    <w:rsid w:val="00236B5D"/>
    <w:rsid w:val="00237C96"/>
    <w:rsid w:val="00240A28"/>
    <w:rsid w:val="00241B48"/>
    <w:rsid w:val="0024340C"/>
    <w:rsid w:val="00243930"/>
    <w:rsid w:val="00244CEA"/>
    <w:rsid w:val="002460FB"/>
    <w:rsid w:val="00246443"/>
    <w:rsid w:val="00246538"/>
    <w:rsid w:val="00246950"/>
    <w:rsid w:val="00247164"/>
    <w:rsid w:val="002505A1"/>
    <w:rsid w:val="002512E5"/>
    <w:rsid w:val="00254CC9"/>
    <w:rsid w:val="002557C3"/>
    <w:rsid w:val="002559A0"/>
    <w:rsid w:val="00256378"/>
    <w:rsid w:val="0025773F"/>
    <w:rsid w:val="002607D7"/>
    <w:rsid w:val="002616EF"/>
    <w:rsid w:val="00261ACF"/>
    <w:rsid w:val="002641DC"/>
    <w:rsid w:val="00266C7E"/>
    <w:rsid w:val="00270C2B"/>
    <w:rsid w:val="00270F17"/>
    <w:rsid w:val="002712BA"/>
    <w:rsid w:val="00272563"/>
    <w:rsid w:val="00275D79"/>
    <w:rsid w:val="00275FD7"/>
    <w:rsid w:val="0027603E"/>
    <w:rsid w:val="00276CC8"/>
    <w:rsid w:val="0028026B"/>
    <w:rsid w:val="0028047E"/>
    <w:rsid w:val="002806F8"/>
    <w:rsid w:val="00280DB2"/>
    <w:rsid w:val="00280E5B"/>
    <w:rsid w:val="00281A7D"/>
    <w:rsid w:val="00285554"/>
    <w:rsid w:val="002908D0"/>
    <w:rsid w:val="00290BFD"/>
    <w:rsid w:val="00291413"/>
    <w:rsid w:val="00291C02"/>
    <w:rsid w:val="00292F05"/>
    <w:rsid w:val="00295245"/>
    <w:rsid w:val="0029574E"/>
    <w:rsid w:val="00295B26"/>
    <w:rsid w:val="002960DD"/>
    <w:rsid w:val="00297D39"/>
    <w:rsid w:val="002A039C"/>
    <w:rsid w:val="002A105C"/>
    <w:rsid w:val="002A16EC"/>
    <w:rsid w:val="002A1956"/>
    <w:rsid w:val="002A19D3"/>
    <w:rsid w:val="002A2459"/>
    <w:rsid w:val="002A2E06"/>
    <w:rsid w:val="002A63C8"/>
    <w:rsid w:val="002A656E"/>
    <w:rsid w:val="002A7230"/>
    <w:rsid w:val="002A7E21"/>
    <w:rsid w:val="002B0179"/>
    <w:rsid w:val="002B0CF2"/>
    <w:rsid w:val="002B198C"/>
    <w:rsid w:val="002B5926"/>
    <w:rsid w:val="002B67C9"/>
    <w:rsid w:val="002C1E57"/>
    <w:rsid w:val="002C2D99"/>
    <w:rsid w:val="002C30ED"/>
    <w:rsid w:val="002C39D8"/>
    <w:rsid w:val="002C3C1B"/>
    <w:rsid w:val="002C776C"/>
    <w:rsid w:val="002D01D3"/>
    <w:rsid w:val="002D05D2"/>
    <w:rsid w:val="002D0828"/>
    <w:rsid w:val="002D1797"/>
    <w:rsid w:val="002D18AC"/>
    <w:rsid w:val="002D2170"/>
    <w:rsid w:val="002D2B43"/>
    <w:rsid w:val="002D2DBE"/>
    <w:rsid w:val="002D336B"/>
    <w:rsid w:val="002D3B31"/>
    <w:rsid w:val="002D5026"/>
    <w:rsid w:val="002D5061"/>
    <w:rsid w:val="002D5AE9"/>
    <w:rsid w:val="002E0523"/>
    <w:rsid w:val="002E0BA5"/>
    <w:rsid w:val="002E1242"/>
    <w:rsid w:val="002E2A06"/>
    <w:rsid w:val="002E39FC"/>
    <w:rsid w:val="002E4086"/>
    <w:rsid w:val="002E5CB1"/>
    <w:rsid w:val="002E614C"/>
    <w:rsid w:val="002E65F7"/>
    <w:rsid w:val="002E71FD"/>
    <w:rsid w:val="002E7EC4"/>
    <w:rsid w:val="002F3646"/>
    <w:rsid w:val="002F3CE5"/>
    <w:rsid w:val="002F6A97"/>
    <w:rsid w:val="002F7212"/>
    <w:rsid w:val="00301CBB"/>
    <w:rsid w:val="00302834"/>
    <w:rsid w:val="0030317B"/>
    <w:rsid w:val="003045BF"/>
    <w:rsid w:val="003061EB"/>
    <w:rsid w:val="003070AD"/>
    <w:rsid w:val="00307200"/>
    <w:rsid w:val="003116C6"/>
    <w:rsid w:val="003127B2"/>
    <w:rsid w:val="00313240"/>
    <w:rsid w:val="003138AF"/>
    <w:rsid w:val="00315B39"/>
    <w:rsid w:val="0031627E"/>
    <w:rsid w:val="00316654"/>
    <w:rsid w:val="003166B1"/>
    <w:rsid w:val="00320C54"/>
    <w:rsid w:val="00321A10"/>
    <w:rsid w:val="00321C65"/>
    <w:rsid w:val="00322673"/>
    <w:rsid w:val="00322CBF"/>
    <w:rsid w:val="00323C8A"/>
    <w:rsid w:val="003263D6"/>
    <w:rsid w:val="003265EC"/>
    <w:rsid w:val="00326BE3"/>
    <w:rsid w:val="00326E12"/>
    <w:rsid w:val="003270DA"/>
    <w:rsid w:val="00327A33"/>
    <w:rsid w:val="00327AD9"/>
    <w:rsid w:val="00331A4A"/>
    <w:rsid w:val="003332FB"/>
    <w:rsid w:val="00333DF8"/>
    <w:rsid w:val="00334868"/>
    <w:rsid w:val="003366AC"/>
    <w:rsid w:val="00340AF6"/>
    <w:rsid w:val="003410F2"/>
    <w:rsid w:val="00342B2D"/>
    <w:rsid w:val="003444FB"/>
    <w:rsid w:val="00345141"/>
    <w:rsid w:val="00346FA0"/>
    <w:rsid w:val="00347E77"/>
    <w:rsid w:val="0035056F"/>
    <w:rsid w:val="00350AFD"/>
    <w:rsid w:val="00350CDD"/>
    <w:rsid w:val="003513FF"/>
    <w:rsid w:val="00351B85"/>
    <w:rsid w:val="003545B4"/>
    <w:rsid w:val="00354646"/>
    <w:rsid w:val="003558D2"/>
    <w:rsid w:val="00355FC4"/>
    <w:rsid w:val="003614CB"/>
    <w:rsid w:val="00361A31"/>
    <w:rsid w:val="00361E04"/>
    <w:rsid w:val="00364F4C"/>
    <w:rsid w:val="00365044"/>
    <w:rsid w:val="00365360"/>
    <w:rsid w:val="00366965"/>
    <w:rsid w:val="00367014"/>
    <w:rsid w:val="003673CD"/>
    <w:rsid w:val="003704F9"/>
    <w:rsid w:val="00373872"/>
    <w:rsid w:val="00374321"/>
    <w:rsid w:val="003747E1"/>
    <w:rsid w:val="00375387"/>
    <w:rsid w:val="00375E1D"/>
    <w:rsid w:val="003760D2"/>
    <w:rsid w:val="00377805"/>
    <w:rsid w:val="0038297E"/>
    <w:rsid w:val="00383A25"/>
    <w:rsid w:val="00383A32"/>
    <w:rsid w:val="00383AA3"/>
    <w:rsid w:val="00384D84"/>
    <w:rsid w:val="00386E13"/>
    <w:rsid w:val="0038758A"/>
    <w:rsid w:val="00387F78"/>
    <w:rsid w:val="0039006C"/>
    <w:rsid w:val="003926DB"/>
    <w:rsid w:val="00392EE5"/>
    <w:rsid w:val="003933EB"/>
    <w:rsid w:val="00393D98"/>
    <w:rsid w:val="00395079"/>
    <w:rsid w:val="00395802"/>
    <w:rsid w:val="0039585D"/>
    <w:rsid w:val="00395F9D"/>
    <w:rsid w:val="0039629E"/>
    <w:rsid w:val="00396C8D"/>
    <w:rsid w:val="003970AB"/>
    <w:rsid w:val="003972AB"/>
    <w:rsid w:val="003A048F"/>
    <w:rsid w:val="003A0832"/>
    <w:rsid w:val="003A23C9"/>
    <w:rsid w:val="003A2F0F"/>
    <w:rsid w:val="003A5BEC"/>
    <w:rsid w:val="003A6158"/>
    <w:rsid w:val="003A64D6"/>
    <w:rsid w:val="003A6E0F"/>
    <w:rsid w:val="003A6E27"/>
    <w:rsid w:val="003A7893"/>
    <w:rsid w:val="003A7D03"/>
    <w:rsid w:val="003B1222"/>
    <w:rsid w:val="003B34E7"/>
    <w:rsid w:val="003B4228"/>
    <w:rsid w:val="003B4845"/>
    <w:rsid w:val="003B4C78"/>
    <w:rsid w:val="003B5596"/>
    <w:rsid w:val="003B61C9"/>
    <w:rsid w:val="003B7560"/>
    <w:rsid w:val="003C0A9E"/>
    <w:rsid w:val="003C19FC"/>
    <w:rsid w:val="003C2770"/>
    <w:rsid w:val="003C323A"/>
    <w:rsid w:val="003C386D"/>
    <w:rsid w:val="003C536D"/>
    <w:rsid w:val="003C6081"/>
    <w:rsid w:val="003C6A00"/>
    <w:rsid w:val="003C746E"/>
    <w:rsid w:val="003C7871"/>
    <w:rsid w:val="003D0FC9"/>
    <w:rsid w:val="003D17F2"/>
    <w:rsid w:val="003D1F78"/>
    <w:rsid w:val="003D2686"/>
    <w:rsid w:val="003D29D4"/>
    <w:rsid w:val="003D34B3"/>
    <w:rsid w:val="003D39A5"/>
    <w:rsid w:val="003D3F74"/>
    <w:rsid w:val="003D545B"/>
    <w:rsid w:val="003D5A50"/>
    <w:rsid w:val="003D5DCB"/>
    <w:rsid w:val="003D768F"/>
    <w:rsid w:val="003E5DB0"/>
    <w:rsid w:val="003E7736"/>
    <w:rsid w:val="003E7F83"/>
    <w:rsid w:val="003F14DF"/>
    <w:rsid w:val="003F18C3"/>
    <w:rsid w:val="003F1948"/>
    <w:rsid w:val="003F1953"/>
    <w:rsid w:val="003F1C9F"/>
    <w:rsid w:val="003F3D25"/>
    <w:rsid w:val="003F435F"/>
    <w:rsid w:val="003F4E77"/>
    <w:rsid w:val="003F4FD2"/>
    <w:rsid w:val="003F6705"/>
    <w:rsid w:val="003F68D1"/>
    <w:rsid w:val="003F6AFF"/>
    <w:rsid w:val="003F7108"/>
    <w:rsid w:val="003F7B03"/>
    <w:rsid w:val="003F7E0A"/>
    <w:rsid w:val="004003A4"/>
    <w:rsid w:val="00400D35"/>
    <w:rsid w:val="0040118D"/>
    <w:rsid w:val="00401E1C"/>
    <w:rsid w:val="004025D5"/>
    <w:rsid w:val="00403F67"/>
    <w:rsid w:val="00404C84"/>
    <w:rsid w:val="00404DCB"/>
    <w:rsid w:val="004052E4"/>
    <w:rsid w:val="004058BA"/>
    <w:rsid w:val="004067B8"/>
    <w:rsid w:val="0040765D"/>
    <w:rsid w:val="004101A7"/>
    <w:rsid w:val="0041109F"/>
    <w:rsid w:val="00411CF9"/>
    <w:rsid w:val="00413BE8"/>
    <w:rsid w:val="00413F8C"/>
    <w:rsid w:val="00414334"/>
    <w:rsid w:val="00415891"/>
    <w:rsid w:val="004161F0"/>
    <w:rsid w:val="0041637D"/>
    <w:rsid w:val="0041707C"/>
    <w:rsid w:val="0042216D"/>
    <w:rsid w:val="00422A5C"/>
    <w:rsid w:val="00422B45"/>
    <w:rsid w:val="004232D9"/>
    <w:rsid w:val="00423747"/>
    <w:rsid w:val="00423DB3"/>
    <w:rsid w:val="00423DC8"/>
    <w:rsid w:val="00424B93"/>
    <w:rsid w:val="00425119"/>
    <w:rsid w:val="00426D1F"/>
    <w:rsid w:val="00427B65"/>
    <w:rsid w:val="004304E0"/>
    <w:rsid w:val="00430C39"/>
    <w:rsid w:val="00432A59"/>
    <w:rsid w:val="004337CC"/>
    <w:rsid w:val="004349DC"/>
    <w:rsid w:val="00436036"/>
    <w:rsid w:val="00436E96"/>
    <w:rsid w:val="0044043B"/>
    <w:rsid w:val="00440553"/>
    <w:rsid w:val="00441337"/>
    <w:rsid w:val="0044205F"/>
    <w:rsid w:val="00442AA6"/>
    <w:rsid w:val="00443019"/>
    <w:rsid w:val="00443343"/>
    <w:rsid w:val="00444395"/>
    <w:rsid w:val="00444AF0"/>
    <w:rsid w:val="00444B74"/>
    <w:rsid w:val="00444F44"/>
    <w:rsid w:val="00447786"/>
    <w:rsid w:val="00451EF8"/>
    <w:rsid w:val="004524D3"/>
    <w:rsid w:val="0045266E"/>
    <w:rsid w:val="00452B88"/>
    <w:rsid w:val="00454995"/>
    <w:rsid w:val="00454A0B"/>
    <w:rsid w:val="00455CC3"/>
    <w:rsid w:val="00456FC8"/>
    <w:rsid w:val="004572E8"/>
    <w:rsid w:val="0046185E"/>
    <w:rsid w:val="00464F2A"/>
    <w:rsid w:val="00464F38"/>
    <w:rsid w:val="0046503E"/>
    <w:rsid w:val="00465A44"/>
    <w:rsid w:val="0046600C"/>
    <w:rsid w:val="0046660E"/>
    <w:rsid w:val="004669D0"/>
    <w:rsid w:val="00466A98"/>
    <w:rsid w:val="00466E84"/>
    <w:rsid w:val="0047192D"/>
    <w:rsid w:val="00472B55"/>
    <w:rsid w:val="00472C6F"/>
    <w:rsid w:val="004742C6"/>
    <w:rsid w:val="00474FF5"/>
    <w:rsid w:val="00475F8C"/>
    <w:rsid w:val="004769CE"/>
    <w:rsid w:val="00477477"/>
    <w:rsid w:val="004779C4"/>
    <w:rsid w:val="00480394"/>
    <w:rsid w:val="00481946"/>
    <w:rsid w:val="004837FE"/>
    <w:rsid w:val="00483DF0"/>
    <w:rsid w:val="00484666"/>
    <w:rsid w:val="00485210"/>
    <w:rsid w:val="00485CF2"/>
    <w:rsid w:val="00487ACF"/>
    <w:rsid w:val="004903AF"/>
    <w:rsid w:val="0049072F"/>
    <w:rsid w:val="0049202D"/>
    <w:rsid w:val="00492BFB"/>
    <w:rsid w:val="00492EC3"/>
    <w:rsid w:val="004940B4"/>
    <w:rsid w:val="004942D5"/>
    <w:rsid w:val="004945C5"/>
    <w:rsid w:val="004945E6"/>
    <w:rsid w:val="00497A51"/>
    <w:rsid w:val="004A14B0"/>
    <w:rsid w:val="004A14EE"/>
    <w:rsid w:val="004A247A"/>
    <w:rsid w:val="004A3A65"/>
    <w:rsid w:val="004A3AA1"/>
    <w:rsid w:val="004A436C"/>
    <w:rsid w:val="004A46DC"/>
    <w:rsid w:val="004A7671"/>
    <w:rsid w:val="004B0537"/>
    <w:rsid w:val="004B145C"/>
    <w:rsid w:val="004B1DAC"/>
    <w:rsid w:val="004B238D"/>
    <w:rsid w:val="004B48FB"/>
    <w:rsid w:val="004B4A57"/>
    <w:rsid w:val="004B6E4F"/>
    <w:rsid w:val="004B7E84"/>
    <w:rsid w:val="004C07CD"/>
    <w:rsid w:val="004C3333"/>
    <w:rsid w:val="004C393A"/>
    <w:rsid w:val="004C3F3A"/>
    <w:rsid w:val="004C4BFE"/>
    <w:rsid w:val="004C7375"/>
    <w:rsid w:val="004C774A"/>
    <w:rsid w:val="004D0B82"/>
    <w:rsid w:val="004D0E60"/>
    <w:rsid w:val="004D18F4"/>
    <w:rsid w:val="004D2D6D"/>
    <w:rsid w:val="004D3D49"/>
    <w:rsid w:val="004D4668"/>
    <w:rsid w:val="004D4A16"/>
    <w:rsid w:val="004D4CDC"/>
    <w:rsid w:val="004D745A"/>
    <w:rsid w:val="004D7CD2"/>
    <w:rsid w:val="004E12F4"/>
    <w:rsid w:val="004E1684"/>
    <w:rsid w:val="004E22CC"/>
    <w:rsid w:val="004E3015"/>
    <w:rsid w:val="004E3E35"/>
    <w:rsid w:val="004E48EB"/>
    <w:rsid w:val="004E4C2E"/>
    <w:rsid w:val="004E560D"/>
    <w:rsid w:val="004E5D9C"/>
    <w:rsid w:val="004E7FF7"/>
    <w:rsid w:val="004F0CA7"/>
    <w:rsid w:val="004F0F4A"/>
    <w:rsid w:val="004F155B"/>
    <w:rsid w:val="004F1B88"/>
    <w:rsid w:val="004F207E"/>
    <w:rsid w:val="004F3A3A"/>
    <w:rsid w:val="004F4AD1"/>
    <w:rsid w:val="00501305"/>
    <w:rsid w:val="0050195D"/>
    <w:rsid w:val="00502CFF"/>
    <w:rsid w:val="00502E0A"/>
    <w:rsid w:val="00502FB1"/>
    <w:rsid w:val="00503829"/>
    <w:rsid w:val="00504528"/>
    <w:rsid w:val="00504EE1"/>
    <w:rsid w:val="005060EB"/>
    <w:rsid w:val="00507194"/>
    <w:rsid w:val="00512A55"/>
    <w:rsid w:val="005136F1"/>
    <w:rsid w:val="00515EFF"/>
    <w:rsid w:val="0051705F"/>
    <w:rsid w:val="005174C3"/>
    <w:rsid w:val="0052088B"/>
    <w:rsid w:val="00520E3C"/>
    <w:rsid w:val="00520EC6"/>
    <w:rsid w:val="00522E81"/>
    <w:rsid w:val="005231A3"/>
    <w:rsid w:val="00523693"/>
    <w:rsid w:val="005243EC"/>
    <w:rsid w:val="00525641"/>
    <w:rsid w:val="00526221"/>
    <w:rsid w:val="0052626B"/>
    <w:rsid w:val="00526580"/>
    <w:rsid w:val="0052681E"/>
    <w:rsid w:val="00527579"/>
    <w:rsid w:val="00527636"/>
    <w:rsid w:val="005308BB"/>
    <w:rsid w:val="0053161F"/>
    <w:rsid w:val="0053409E"/>
    <w:rsid w:val="00534132"/>
    <w:rsid w:val="00534F5A"/>
    <w:rsid w:val="0053550D"/>
    <w:rsid w:val="00535782"/>
    <w:rsid w:val="005357BA"/>
    <w:rsid w:val="00536117"/>
    <w:rsid w:val="00536B70"/>
    <w:rsid w:val="00536C8F"/>
    <w:rsid w:val="005373EB"/>
    <w:rsid w:val="0053763D"/>
    <w:rsid w:val="00540101"/>
    <w:rsid w:val="005422DE"/>
    <w:rsid w:val="00542344"/>
    <w:rsid w:val="00542568"/>
    <w:rsid w:val="00543CAE"/>
    <w:rsid w:val="005445D6"/>
    <w:rsid w:val="005447DF"/>
    <w:rsid w:val="005451DC"/>
    <w:rsid w:val="005452BD"/>
    <w:rsid w:val="00550E5F"/>
    <w:rsid w:val="00550EF2"/>
    <w:rsid w:val="00551451"/>
    <w:rsid w:val="00553205"/>
    <w:rsid w:val="0055395B"/>
    <w:rsid w:val="0055491E"/>
    <w:rsid w:val="005564CB"/>
    <w:rsid w:val="00556592"/>
    <w:rsid w:val="005565FF"/>
    <w:rsid w:val="00557C4E"/>
    <w:rsid w:val="005611DF"/>
    <w:rsid w:val="005625E9"/>
    <w:rsid w:val="00562661"/>
    <w:rsid w:val="00562B6A"/>
    <w:rsid w:val="0056322A"/>
    <w:rsid w:val="005637E3"/>
    <w:rsid w:val="0056534D"/>
    <w:rsid w:val="00566F5C"/>
    <w:rsid w:val="00570840"/>
    <w:rsid w:val="005715E2"/>
    <w:rsid w:val="00572F16"/>
    <w:rsid w:val="00573B24"/>
    <w:rsid w:val="00575D2F"/>
    <w:rsid w:val="005764BD"/>
    <w:rsid w:val="005764DE"/>
    <w:rsid w:val="005775D0"/>
    <w:rsid w:val="00577C55"/>
    <w:rsid w:val="005805F8"/>
    <w:rsid w:val="00581984"/>
    <w:rsid w:val="00581D7F"/>
    <w:rsid w:val="00582243"/>
    <w:rsid w:val="005832FC"/>
    <w:rsid w:val="00583A23"/>
    <w:rsid w:val="00583F7A"/>
    <w:rsid w:val="005847C7"/>
    <w:rsid w:val="00584A52"/>
    <w:rsid w:val="00585BB6"/>
    <w:rsid w:val="0058600C"/>
    <w:rsid w:val="00586334"/>
    <w:rsid w:val="00587686"/>
    <w:rsid w:val="00591357"/>
    <w:rsid w:val="00591F4D"/>
    <w:rsid w:val="00592DAD"/>
    <w:rsid w:val="005938CE"/>
    <w:rsid w:val="00595631"/>
    <w:rsid w:val="00595A38"/>
    <w:rsid w:val="005A0F44"/>
    <w:rsid w:val="005A1EEB"/>
    <w:rsid w:val="005A272F"/>
    <w:rsid w:val="005A31C9"/>
    <w:rsid w:val="005A5FA4"/>
    <w:rsid w:val="005B0CEA"/>
    <w:rsid w:val="005B134F"/>
    <w:rsid w:val="005B21FF"/>
    <w:rsid w:val="005B49BF"/>
    <w:rsid w:val="005B4C1B"/>
    <w:rsid w:val="005B5B41"/>
    <w:rsid w:val="005B5B63"/>
    <w:rsid w:val="005B6A13"/>
    <w:rsid w:val="005B6AFF"/>
    <w:rsid w:val="005C0C7B"/>
    <w:rsid w:val="005C1DA0"/>
    <w:rsid w:val="005C1F7A"/>
    <w:rsid w:val="005C2651"/>
    <w:rsid w:val="005C3EB6"/>
    <w:rsid w:val="005C5097"/>
    <w:rsid w:val="005C50EA"/>
    <w:rsid w:val="005C51AE"/>
    <w:rsid w:val="005C55C5"/>
    <w:rsid w:val="005C5CF8"/>
    <w:rsid w:val="005C641B"/>
    <w:rsid w:val="005C6674"/>
    <w:rsid w:val="005D074D"/>
    <w:rsid w:val="005D0D5F"/>
    <w:rsid w:val="005D1E0B"/>
    <w:rsid w:val="005D293B"/>
    <w:rsid w:val="005D2973"/>
    <w:rsid w:val="005D3995"/>
    <w:rsid w:val="005D5CD6"/>
    <w:rsid w:val="005D5D04"/>
    <w:rsid w:val="005D5FBB"/>
    <w:rsid w:val="005D73E3"/>
    <w:rsid w:val="005D7E5A"/>
    <w:rsid w:val="005E026B"/>
    <w:rsid w:val="005E0CC9"/>
    <w:rsid w:val="005E2502"/>
    <w:rsid w:val="005E2D6C"/>
    <w:rsid w:val="005E3308"/>
    <w:rsid w:val="005E3352"/>
    <w:rsid w:val="005E413A"/>
    <w:rsid w:val="005E515E"/>
    <w:rsid w:val="005E585D"/>
    <w:rsid w:val="005E5A27"/>
    <w:rsid w:val="005E5C4B"/>
    <w:rsid w:val="005E60CE"/>
    <w:rsid w:val="005E63E1"/>
    <w:rsid w:val="005E6594"/>
    <w:rsid w:val="005E6B74"/>
    <w:rsid w:val="005E6E7F"/>
    <w:rsid w:val="005E7299"/>
    <w:rsid w:val="005F14D8"/>
    <w:rsid w:val="005F1786"/>
    <w:rsid w:val="005F2620"/>
    <w:rsid w:val="005F4A63"/>
    <w:rsid w:val="005F4C7E"/>
    <w:rsid w:val="005F52C6"/>
    <w:rsid w:val="005F70A2"/>
    <w:rsid w:val="005F73F2"/>
    <w:rsid w:val="005F7544"/>
    <w:rsid w:val="00600450"/>
    <w:rsid w:val="00600B1F"/>
    <w:rsid w:val="0060208F"/>
    <w:rsid w:val="00602A16"/>
    <w:rsid w:val="0060300D"/>
    <w:rsid w:val="00603835"/>
    <w:rsid w:val="00604F25"/>
    <w:rsid w:val="006053E7"/>
    <w:rsid w:val="00605B78"/>
    <w:rsid w:val="00606D8B"/>
    <w:rsid w:val="0060741B"/>
    <w:rsid w:val="006074AC"/>
    <w:rsid w:val="00607566"/>
    <w:rsid w:val="00607FDA"/>
    <w:rsid w:val="006111D2"/>
    <w:rsid w:val="006118EB"/>
    <w:rsid w:val="0061309C"/>
    <w:rsid w:val="006154C3"/>
    <w:rsid w:val="00615D6E"/>
    <w:rsid w:val="00616070"/>
    <w:rsid w:val="00616C99"/>
    <w:rsid w:val="00617047"/>
    <w:rsid w:val="006249F8"/>
    <w:rsid w:val="00624BB9"/>
    <w:rsid w:val="00626122"/>
    <w:rsid w:val="006271A0"/>
    <w:rsid w:val="00627D9A"/>
    <w:rsid w:val="00630DFC"/>
    <w:rsid w:val="0063210E"/>
    <w:rsid w:val="00633B72"/>
    <w:rsid w:val="00633F0E"/>
    <w:rsid w:val="006343F5"/>
    <w:rsid w:val="00634741"/>
    <w:rsid w:val="00634A41"/>
    <w:rsid w:val="00634C5A"/>
    <w:rsid w:val="00634F84"/>
    <w:rsid w:val="0063671F"/>
    <w:rsid w:val="00640C1D"/>
    <w:rsid w:val="0064160C"/>
    <w:rsid w:val="00641AAB"/>
    <w:rsid w:val="00641C87"/>
    <w:rsid w:val="006427B8"/>
    <w:rsid w:val="006429BC"/>
    <w:rsid w:val="00642D91"/>
    <w:rsid w:val="00642F4B"/>
    <w:rsid w:val="006431A0"/>
    <w:rsid w:val="006433DF"/>
    <w:rsid w:val="0064347E"/>
    <w:rsid w:val="0064404C"/>
    <w:rsid w:val="00644724"/>
    <w:rsid w:val="006456DA"/>
    <w:rsid w:val="006504AD"/>
    <w:rsid w:val="006510AA"/>
    <w:rsid w:val="006514F9"/>
    <w:rsid w:val="006526ED"/>
    <w:rsid w:val="0065550C"/>
    <w:rsid w:val="006562CC"/>
    <w:rsid w:val="006570C8"/>
    <w:rsid w:val="00657297"/>
    <w:rsid w:val="006578A5"/>
    <w:rsid w:val="0066058C"/>
    <w:rsid w:val="00660D04"/>
    <w:rsid w:val="00661693"/>
    <w:rsid w:val="0066172E"/>
    <w:rsid w:val="00662EB6"/>
    <w:rsid w:val="00663C45"/>
    <w:rsid w:val="00663FBC"/>
    <w:rsid w:val="006640E0"/>
    <w:rsid w:val="00664666"/>
    <w:rsid w:val="00665C0F"/>
    <w:rsid w:val="00666945"/>
    <w:rsid w:val="00667286"/>
    <w:rsid w:val="00670580"/>
    <w:rsid w:val="006709D4"/>
    <w:rsid w:val="00671EE7"/>
    <w:rsid w:val="006721B7"/>
    <w:rsid w:val="00672211"/>
    <w:rsid w:val="00672CD3"/>
    <w:rsid w:val="0067335B"/>
    <w:rsid w:val="00681569"/>
    <w:rsid w:val="006824AE"/>
    <w:rsid w:val="00682A50"/>
    <w:rsid w:val="00683D9A"/>
    <w:rsid w:val="00686010"/>
    <w:rsid w:val="006863ED"/>
    <w:rsid w:val="0068740F"/>
    <w:rsid w:val="00690A5E"/>
    <w:rsid w:val="00690C47"/>
    <w:rsid w:val="006910DC"/>
    <w:rsid w:val="00693F4B"/>
    <w:rsid w:val="0069528E"/>
    <w:rsid w:val="006959E4"/>
    <w:rsid w:val="00696828"/>
    <w:rsid w:val="006970F5"/>
    <w:rsid w:val="00697613"/>
    <w:rsid w:val="006A12A4"/>
    <w:rsid w:val="006A166B"/>
    <w:rsid w:val="006A388E"/>
    <w:rsid w:val="006A4A10"/>
    <w:rsid w:val="006A5006"/>
    <w:rsid w:val="006A52D5"/>
    <w:rsid w:val="006A5435"/>
    <w:rsid w:val="006A5E1F"/>
    <w:rsid w:val="006A6165"/>
    <w:rsid w:val="006A720D"/>
    <w:rsid w:val="006B111E"/>
    <w:rsid w:val="006B14C7"/>
    <w:rsid w:val="006B3223"/>
    <w:rsid w:val="006B390A"/>
    <w:rsid w:val="006B3B3F"/>
    <w:rsid w:val="006B4637"/>
    <w:rsid w:val="006B7F68"/>
    <w:rsid w:val="006C022B"/>
    <w:rsid w:val="006C0805"/>
    <w:rsid w:val="006C0DDF"/>
    <w:rsid w:val="006C1BC0"/>
    <w:rsid w:val="006C1EB7"/>
    <w:rsid w:val="006C2E5E"/>
    <w:rsid w:val="006C3B69"/>
    <w:rsid w:val="006C4DBE"/>
    <w:rsid w:val="006C4F16"/>
    <w:rsid w:val="006C5165"/>
    <w:rsid w:val="006C6A27"/>
    <w:rsid w:val="006C6AFC"/>
    <w:rsid w:val="006C713D"/>
    <w:rsid w:val="006C7417"/>
    <w:rsid w:val="006D0999"/>
    <w:rsid w:val="006D1B40"/>
    <w:rsid w:val="006D2D71"/>
    <w:rsid w:val="006D446A"/>
    <w:rsid w:val="006D491F"/>
    <w:rsid w:val="006D5701"/>
    <w:rsid w:val="006D6583"/>
    <w:rsid w:val="006D6B5F"/>
    <w:rsid w:val="006D6D9C"/>
    <w:rsid w:val="006E046F"/>
    <w:rsid w:val="006E066F"/>
    <w:rsid w:val="006E09F7"/>
    <w:rsid w:val="006E3F55"/>
    <w:rsid w:val="006E4B8B"/>
    <w:rsid w:val="006E4D72"/>
    <w:rsid w:val="006E55F1"/>
    <w:rsid w:val="006E72CC"/>
    <w:rsid w:val="006E7B87"/>
    <w:rsid w:val="006F0F52"/>
    <w:rsid w:val="006F1BAF"/>
    <w:rsid w:val="006F1E38"/>
    <w:rsid w:val="006F2CD3"/>
    <w:rsid w:val="006F3891"/>
    <w:rsid w:val="006F5041"/>
    <w:rsid w:val="006F5ED1"/>
    <w:rsid w:val="006F6A03"/>
    <w:rsid w:val="006F703B"/>
    <w:rsid w:val="006F7A9A"/>
    <w:rsid w:val="0070188A"/>
    <w:rsid w:val="00701D65"/>
    <w:rsid w:val="0070329F"/>
    <w:rsid w:val="00703E9F"/>
    <w:rsid w:val="007042CE"/>
    <w:rsid w:val="0070479B"/>
    <w:rsid w:val="00705A51"/>
    <w:rsid w:val="00705E44"/>
    <w:rsid w:val="0070616A"/>
    <w:rsid w:val="00706D71"/>
    <w:rsid w:val="0070789B"/>
    <w:rsid w:val="007115AD"/>
    <w:rsid w:val="00711EA0"/>
    <w:rsid w:val="00711FC6"/>
    <w:rsid w:val="00712199"/>
    <w:rsid w:val="0071224E"/>
    <w:rsid w:val="00713028"/>
    <w:rsid w:val="0071378B"/>
    <w:rsid w:val="00715621"/>
    <w:rsid w:val="00715852"/>
    <w:rsid w:val="00716166"/>
    <w:rsid w:val="0071637F"/>
    <w:rsid w:val="00720892"/>
    <w:rsid w:val="0072281D"/>
    <w:rsid w:val="00723158"/>
    <w:rsid w:val="00723520"/>
    <w:rsid w:val="007261E2"/>
    <w:rsid w:val="0072622B"/>
    <w:rsid w:val="0072676E"/>
    <w:rsid w:val="0072709E"/>
    <w:rsid w:val="00727107"/>
    <w:rsid w:val="00727D70"/>
    <w:rsid w:val="00730D1F"/>
    <w:rsid w:val="007321BC"/>
    <w:rsid w:val="00732F5B"/>
    <w:rsid w:val="00732FA2"/>
    <w:rsid w:val="00733E2C"/>
    <w:rsid w:val="007359D6"/>
    <w:rsid w:val="00735CC2"/>
    <w:rsid w:val="0073613B"/>
    <w:rsid w:val="00736493"/>
    <w:rsid w:val="00736D7C"/>
    <w:rsid w:val="00737BA7"/>
    <w:rsid w:val="00740D9D"/>
    <w:rsid w:val="007422D7"/>
    <w:rsid w:val="00742829"/>
    <w:rsid w:val="00743053"/>
    <w:rsid w:val="00744F22"/>
    <w:rsid w:val="00746451"/>
    <w:rsid w:val="00746C64"/>
    <w:rsid w:val="00747FED"/>
    <w:rsid w:val="007500E4"/>
    <w:rsid w:val="007503A2"/>
    <w:rsid w:val="00751B08"/>
    <w:rsid w:val="00751BCD"/>
    <w:rsid w:val="00753724"/>
    <w:rsid w:val="00753899"/>
    <w:rsid w:val="00753903"/>
    <w:rsid w:val="00754138"/>
    <w:rsid w:val="00755D28"/>
    <w:rsid w:val="00756BF8"/>
    <w:rsid w:val="00757710"/>
    <w:rsid w:val="00757A21"/>
    <w:rsid w:val="00757D96"/>
    <w:rsid w:val="007625D7"/>
    <w:rsid w:val="007639FE"/>
    <w:rsid w:val="00763AA7"/>
    <w:rsid w:val="00764AF8"/>
    <w:rsid w:val="007671F8"/>
    <w:rsid w:val="0076744B"/>
    <w:rsid w:val="0076781A"/>
    <w:rsid w:val="00770158"/>
    <w:rsid w:val="0077334B"/>
    <w:rsid w:val="00773C28"/>
    <w:rsid w:val="00773C90"/>
    <w:rsid w:val="00774659"/>
    <w:rsid w:val="0078198E"/>
    <w:rsid w:val="00781DD8"/>
    <w:rsid w:val="0078363B"/>
    <w:rsid w:val="00783B2E"/>
    <w:rsid w:val="00784C87"/>
    <w:rsid w:val="00784FAB"/>
    <w:rsid w:val="00786E08"/>
    <w:rsid w:val="00787409"/>
    <w:rsid w:val="0078786B"/>
    <w:rsid w:val="00790E65"/>
    <w:rsid w:val="007923A5"/>
    <w:rsid w:val="00792E6A"/>
    <w:rsid w:val="00793DBD"/>
    <w:rsid w:val="00793E88"/>
    <w:rsid w:val="00796270"/>
    <w:rsid w:val="007A0C27"/>
    <w:rsid w:val="007A17FA"/>
    <w:rsid w:val="007A277D"/>
    <w:rsid w:val="007A2F84"/>
    <w:rsid w:val="007A3790"/>
    <w:rsid w:val="007A3D65"/>
    <w:rsid w:val="007A41D9"/>
    <w:rsid w:val="007A45E0"/>
    <w:rsid w:val="007A52E9"/>
    <w:rsid w:val="007A7ABE"/>
    <w:rsid w:val="007B0311"/>
    <w:rsid w:val="007B1784"/>
    <w:rsid w:val="007B1933"/>
    <w:rsid w:val="007B1A0B"/>
    <w:rsid w:val="007B1CA8"/>
    <w:rsid w:val="007B21A4"/>
    <w:rsid w:val="007B3F39"/>
    <w:rsid w:val="007B4716"/>
    <w:rsid w:val="007B563A"/>
    <w:rsid w:val="007B5898"/>
    <w:rsid w:val="007B7956"/>
    <w:rsid w:val="007B7ACE"/>
    <w:rsid w:val="007C13CF"/>
    <w:rsid w:val="007C180E"/>
    <w:rsid w:val="007C1861"/>
    <w:rsid w:val="007C1CA0"/>
    <w:rsid w:val="007C3A79"/>
    <w:rsid w:val="007C3C9E"/>
    <w:rsid w:val="007C4E4A"/>
    <w:rsid w:val="007C625C"/>
    <w:rsid w:val="007C75B9"/>
    <w:rsid w:val="007C7657"/>
    <w:rsid w:val="007C7FD3"/>
    <w:rsid w:val="007D01F5"/>
    <w:rsid w:val="007D1278"/>
    <w:rsid w:val="007D18FB"/>
    <w:rsid w:val="007D1A10"/>
    <w:rsid w:val="007D2AC1"/>
    <w:rsid w:val="007D6559"/>
    <w:rsid w:val="007D77D8"/>
    <w:rsid w:val="007D7AE3"/>
    <w:rsid w:val="007D7D33"/>
    <w:rsid w:val="007E0092"/>
    <w:rsid w:val="007E0B39"/>
    <w:rsid w:val="007E13B3"/>
    <w:rsid w:val="007E1879"/>
    <w:rsid w:val="007E2274"/>
    <w:rsid w:val="007E2566"/>
    <w:rsid w:val="007E2B37"/>
    <w:rsid w:val="007E3DEB"/>
    <w:rsid w:val="007E425E"/>
    <w:rsid w:val="007E4748"/>
    <w:rsid w:val="007E4BC1"/>
    <w:rsid w:val="007E4FC8"/>
    <w:rsid w:val="007E5B60"/>
    <w:rsid w:val="007E6391"/>
    <w:rsid w:val="007E6AF0"/>
    <w:rsid w:val="007E6C85"/>
    <w:rsid w:val="007E6DF8"/>
    <w:rsid w:val="007E78E0"/>
    <w:rsid w:val="007E7EDC"/>
    <w:rsid w:val="007F071D"/>
    <w:rsid w:val="007F132E"/>
    <w:rsid w:val="007F262A"/>
    <w:rsid w:val="007F3D49"/>
    <w:rsid w:val="007F5596"/>
    <w:rsid w:val="007F5A40"/>
    <w:rsid w:val="007F69BF"/>
    <w:rsid w:val="007F6B6E"/>
    <w:rsid w:val="007F70BC"/>
    <w:rsid w:val="008011C4"/>
    <w:rsid w:val="00802482"/>
    <w:rsid w:val="008026F5"/>
    <w:rsid w:val="008033C6"/>
    <w:rsid w:val="00804590"/>
    <w:rsid w:val="008046FC"/>
    <w:rsid w:val="00805456"/>
    <w:rsid w:val="0080548B"/>
    <w:rsid w:val="00810469"/>
    <w:rsid w:val="00810D16"/>
    <w:rsid w:val="00813CE7"/>
    <w:rsid w:val="008146E4"/>
    <w:rsid w:val="008171E3"/>
    <w:rsid w:val="0082132C"/>
    <w:rsid w:val="0082185F"/>
    <w:rsid w:val="008218AA"/>
    <w:rsid w:val="00821EE7"/>
    <w:rsid w:val="00822D4C"/>
    <w:rsid w:val="00825979"/>
    <w:rsid w:val="00825FBE"/>
    <w:rsid w:val="008262F5"/>
    <w:rsid w:val="00826B76"/>
    <w:rsid w:val="00826B88"/>
    <w:rsid w:val="0082741D"/>
    <w:rsid w:val="008302CE"/>
    <w:rsid w:val="008303BC"/>
    <w:rsid w:val="008305F7"/>
    <w:rsid w:val="00832997"/>
    <w:rsid w:val="00832B1A"/>
    <w:rsid w:val="00833E0C"/>
    <w:rsid w:val="00834DC0"/>
    <w:rsid w:val="00834F80"/>
    <w:rsid w:val="00836183"/>
    <w:rsid w:val="00836D34"/>
    <w:rsid w:val="00837133"/>
    <w:rsid w:val="0084142B"/>
    <w:rsid w:val="00841830"/>
    <w:rsid w:val="00842B9C"/>
    <w:rsid w:val="00845B39"/>
    <w:rsid w:val="00846FB2"/>
    <w:rsid w:val="00847329"/>
    <w:rsid w:val="00847E78"/>
    <w:rsid w:val="0085086D"/>
    <w:rsid w:val="0085097D"/>
    <w:rsid w:val="008515FE"/>
    <w:rsid w:val="00851B00"/>
    <w:rsid w:val="00851F46"/>
    <w:rsid w:val="00852114"/>
    <w:rsid w:val="00852634"/>
    <w:rsid w:val="00854B37"/>
    <w:rsid w:val="00856DF5"/>
    <w:rsid w:val="00856E1F"/>
    <w:rsid w:val="00860A2F"/>
    <w:rsid w:val="0086134F"/>
    <w:rsid w:val="00861BCC"/>
    <w:rsid w:val="00861EC2"/>
    <w:rsid w:val="00862681"/>
    <w:rsid w:val="00862EAB"/>
    <w:rsid w:val="00865D04"/>
    <w:rsid w:val="008666A9"/>
    <w:rsid w:val="00872E4B"/>
    <w:rsid w:val="0087304A"/>
    <w:rsid w:val="008734FF"/>
    <w:rsid w:val="00873951"/>
    <w:rsid w:val="00873D6C"/>
    <w:rsid w:val="00874200"/>
    <w:rsid w:val="008749AD"/>
    <w:rsid w:val="00874EC6"/>
    <w:rsid w:val="008756F1"/>
    <w:rsid w:val="008763D4"/>
    <w:rsid w:val="008769D0"/>
    <w:rsid w:val="00876A0D"/>
    <w:rsid w:val="008770A6"/>
    <w:rsid w:val="00880A30"/>
    <w:rsid w:val="00884208"/>
    <w:rsid w:val="00884C69"/>
    <w:rsid w:val="00885793"/>
    <w:rsid w:val="00885E10"/>
    <w:rsid w:val="00886EC7"/>
    <w:rsid w:val="00887590"/>
    <w:rsid w:val="008908E2"/>
    <w:rsid w:val="00893AB8"/>
    <w:rsid w:val="0089515D"/>
    <w:rsid w:val="00897578"/>
    <w:rsid w:val="008A0589"/>
    <w:rsid w:val="008A05EA"/>
    <w:rsid w:val="008A217E"/>
    <w:rsid w:val="008A3452"/>
    <w:rsid w:val="008A3B87"/>
    <w:rsid w:val="008A45C0"/>
    <w:rsid w:val="008A4A8A"/>
    <w:rsid w:val="008A58A7"/>
    <w:rsid w:val="008B1189"/>
    <w:rsid w:val="008B2CD8"/>
    <w:rsid w:val="008B4215"/>
    <w:rsid w:val="008B527A"/>
    <w:rsid w:val="008B57AB"/>
    <w:rsid w:val="008B6215"/>
    <w:rsid w:val="008B6D53"/>
    <w:rsid w:val="008B73C0"/>
    <w:rsid w:val="008B7C50"/>
    <w:rsid w:val="008C1E19"/>
    <w:rsid w:val="008C2266"/>
    <w:rsid w:val="008C2583"/>
    <w:rsid w:val="008C30CB"/>
    <w:rsid w:val="008C3642"/>
    <w:rsid w:val="008C3A6A"/>
    <w:rsid w:val="008C42A9"/>
    <w:rsid w:val="008C52E6"/>
    <w:rsid w:val="008C5FE5"/>
    <w:rsid w:val="008C707E"/>
    <w:rsid w:val="008C757A"/>
    <w:rsid w:val="008D01B9"/>
    <w:rsid w:val="008D0482"/>
    <w:rsid w:val="008D0EE8"/>
    <w:rsid w:val="008D2481"/>
    <w:rsid w:val="008D2D0C"/>
    <w:rsid w:val="008D30EC"/>
    <w:rsid w:val="008D5992"/>
    <w:rsid w:val="008D64F2"/>
    <w:rsid w:val="008D6648"/>
    <w:rsid w:val="008D6AB4"/>
    <w:rsid w:val="008E0678"/>
    <w:rsid w:val="008E07DD"/>
    <w:rsid w:val="008E0840"/>
    <w:rsid w:val="008E08CA"/>
    <w:rsid w:val="008E112D"/>
    <w:rsid w:val="008E3D9F"/>
    <w:rsid w:val="008E52D0"/>
    <w:rsid w:val="008E769D"/>
    <w:rsid w:val="008F0D37"/>
    <w:rsid w:val="008F0F1F"/>
    <w:rsid w:val="008F11EF"/>
    <w:rsid w:val="008F1B77"/>
    <w:rsid w:val="008F2970"/>
    <w:rsid w:val="008F468C"/>
    <w:rsid w:val="008F588F"/>
    <w:rsid w:val="008F765A"/>
    <w:rsid w:val="008F7E4F"/>
    <w:rsid w:val="009009F7"/>
    <w:rsid w:val="00900B34"/>
    <w:rsid w:val="00900E9F"/>
    <w:rsid w:val="009017CB"/>
    <w:rsid w:val="00902D1B"/>
    <w:rsid w:val="00904065"/>
    <w:rsid w:val="00904239"/>
    <w:rsid w:val="00905F5E"/>
    <w:rsid w:val="0090697D"/>
    <w:rsid w:val="00907007"/>
    <w:rsid w:val="00907A26"/>
    <w:rsid w:val="00907A28"/>
    <w:rsid w:val="0091022C"/>
    <w:rsid w:val="009104B2"/>
    <w:rsid w:val="00910D9A"/>
    <w:rsid w:val="00912188"/>
    <w:rsid w:val="009129F4"/>
    <w:rsid w:val="009143B0"/>
    <w:rsid w:val="0091496B"/>
    <w:rsid w:val="00915747"/>
    <w:rsid w:val="00915D1B"/>
    <w:rsid w:val="0091784D"/>
    <w:rsid w:val="00920450"/>
    <w:rsid w:val="00920E65"/>
    <w:rsid w:val="0092157F"/>
    <w:rsid w:val="00921626"/>
    <w:rsid w:val="009226D6"/>
    <w:rsid w:val="00923426"/>
    <w:rsid w:val="00923FF7"/>
    <w:rsid w:val="00924049"/>
    <w:rsid w:val="009245E6"/>
    <w:rsid w:val="00925A56"/>
    <w:rsid w:val="00925E6A"/>
    <w:rsid w:val="00926C55"/>
    <w:rsid w:val="00926FC5"/>
    <w:rsid w:val="009273C3"/>
    <w:rsid w:val="0092759E"/>
    <w:rsid w:val="009277B8"/>
    <w:rsid w:val="00930723"/>
    <w:rsid w:val="009320E4"/>
    <w:rsid w:val="00932274"/>
    <w:rsid w:val="00933905"/>
    <w:rsid w:val="00933F38"/>
    <w:rsid w:val="0093470E"/>
    <w:rsid w:val="00934762"/>
    <w:rsid w:val="009365CE"/>
    <w:rsid w:val="009373B4"/>
    <w:rsid w:val="009377F1"/>
    <w:rsid w:val="00941AA7"/>
    <w:rsid w:val="00942CC1"/>
    <w:rsid w:val="0094352D"/>
    <w:rsid w:val="00943B64"/>
    <w:rsid w:val="0094414E"/>
    <w:rsid w:val="00944D0E"/>
    <w:rsid w:val="00945031"/>
    <w:rsid w:val="00946825"/>
    <w:rsid w:val="00951EA8"/>
    <w:rsid w:val="00953B5E"/>
    <w:rsid w:val="009552A4"/>
    <w:rsid w:val="00956747"/>
    <w:rsid w:val="00957550"/>
    <w:rsid w:val="009579C0"/>
    <w:rsid w:val="0096001F"/>
    <w:rsid w:val="00960920"/>
    <w:rsid w:val="00960F5E"/>
    <w:rsid w:val="00961571"/>
    <w:rsid w:val="009628AA"/>
    <w:rsid w:val="00962940"/>
    <w:rsid w:val="009640F4"/>
    <w:rsid w:val="00964C53"/>
    <w:rsid w:val="0096562C"/>
    <w:rsid w:val="00965AD0"/>
    <w:rsid w:val="00966214"/>
    <w:rsid w:val="00970187"/>
    <w:rsid w:val="00970445"/>
    <w:rsid w:val="00971081"/>
    <w:rsid w:val="0097273E"/>
    <w:rsid w:val="00972D58"/>
    <w:rsid w:val="00972EA4"/>
    <w:rsid w:val="0097349B"/>
    <w:rsid w:val="009743DB"/>
    <w:rsid w:val="00974942"/>
    <w:rsid w:val="00974F1D"/>
    <w:rsid w:val="00975362"/>
    <w:rsid w:val="00975E1F"/>
    <w:rsid w:val="009777BF"/>
    <w:rsid w:val="00980368"/>
    <w:rsid w:val="00980C45"/>
    <w:rsid w:val="0098536E"/>
    <w:rsid w:val="009875C6"/>
    <w:rsid w:val="00987975"/>
    <w:rsid w:val="00990FF6"/>
    <w:rsid w:val="00992646"/>
    <w:rsid w:val="0099391A"/>
    <w:rsid w:val="00994C6F"/>
    <w:rsid w:val="00996544"/>
    <w:rsid w:val="009969FD"/>
    <w:rsid w:val="00996E9C"/>
    <w:rsid w:val="00997CDE"/>
    <w:rsid w:val="009A1579"/>
    <w:rsid w:val="009A235E"/>
    <w:rsid w:val="009A23A2"/>
    <w:rsid w:val="009A2A56"/>
    <w:rsid w:val="009A50C5"/>
    <w:rsid w:val="009A5185"/>
    <w:rsid w:val="009A5D8C"/>
    <w:rsid w:val="009A6C12"/>
    <w:rsid w:val="009B1474"/>
    <w:rsid w:val="009B3E1A"/>
    <w:rsid w:val="009B749F"/>
    <w:rsid w:val="009B7934"/>
    <w:rsid w:val="009C02DA"/>
    <w:rsid w:val="009C1BBA"/>
    <w:rsid w:val="009C1D83"/>
    <w:rsid w:val="009C2399"/>
    <w:rsid w:val="009C2417"/>
    <w:rsid w:val="009C2898"/>
    <w:rsid w:val="009C2FB1"/>
    <w:rsid w:val="009C40BD"/>
    <w:rsid w:val="009C6214"/>
    <w:rsid w:val="009C65BC"/>
    <w:rsid w:val="009C7848"/>
    <w:rsid w:val="009C7BE8"/>
    <w:rsid w:val="009D00B6"/>
    <w:rsid w:val="009D1286"/>
    <w:rsid w:val="009D15F4"/>
    <w:rsid w:val="009D1864"/>
    <w:rsid w:val="009D30BD"/>
    <w:rsid w:val="009D5DDF"/>
    <w:rsid w:val="009D63D8"/>
    <w:rsid w:val="009D6D85"/>
    <w:rsid w:val="009D7328"/>
    <w:rsid w:val="009E0650"/>
    <w:rsid w:val="009E120E"/>
    <w:rsid w:val="009E1B81"/>
    <w:rsid w:val="009E353B"/>
    <w:rsid w:val="009E3D46"/>
    <w:rsid w:val="009E50B1"/>
    <w:rsid w:val="009E609F"/>
    <w:rsid w:val="009E70AA"/>
    <w:rsid w:val="009F0985"/>
    <w:rsid w:val="009F0BD7"/>
    <w:rsid w:val="009F303D"/>
    <w:rsid w:val="009F5041"/>
    <w:rsid w:val="009F5A06"/>
    <w:rsid w:val="009F5C7F"/>
    <w:rsid w:val="009F652A"/>
    <w:rsid w:val="009F6E4E"/>
    <w:rsid w:val="00A00779"/>
    <w:rsid w:val="00A00952"/>
    <w:rsid w:val="00A02485"/>
    <w:rsid w:val="00A02A54"/>
    <w:rsid w:val="00A03983"/>
    <w:rsid w:val="00A04101"/>
    <w:rsid w:val="00A05605"/>
    <w:rsid w:val="00A064C5"/>
    <w:rsid w:val="00A07DE8"/>
    <w:rsid w:val="00A106D2"/>
    <w:rsid w:val="00A10E10"/>
    <w:rsid w:val="00A114E5"/>
    <w:rsid w:val="00A11F60"/>
    <w:rsid w:val="00A1200E"/>
    <w:rsid w:val="00A12871"/>
    <w:rsid w:val="00A1302C"/>
    <w:rsid w:val="00A1399A"/>
    <w:rsid w:val="00A13AC8"/>
    <w:rsid w:val="00A14F04"/>
    <w:rsid w:val="00A1512A"/>
    <w:rsid w:val="00A15339"/>
    <w:rsid w:val="00A15D7D"/>
    <w:rsid w:val="00A216EF"/>
    <w:rsid w:val="00A21741"/>
    <w:rsid w:val="00A21F31"/>
    <w:rsid w:val="00A23065"/>
    <w:rsid w:val="00A2367B"/>
    <w:rsid w:val="00A25A75"/>
    <w:rsid w:val="00A26BAE"/>
    <w:rsid w:val="00A30DB5"/>
    <w:rsid w:val="00A31915"/>
    <w:rsid w:val="00A31AEE"/>
    <w:rsid w:val="00A32626"/>
    <w:rsid w:val="00A3385D"/>
    <w:rsid w:val="00A339D2"/>
    <w:rsid w:val="00A3423D"/>
    <w:rsid w:val="00A34554"/>
    <w:rsid w:val="00A348EC"/>
    <w:rsid w:val="00A36378"/>
    <w:rsid w:val="00A365FD"/>
    <w:rsid w:val="00A367A6"/>
    <w:rsid w:val="00A40FA6"/>
    <w:rsid w:val="00A423D0"/>
    <w:rsid w:val="00A42A81"/>
    <w:rsid w:val="00A42B8D"/>
    <w:rsid w:val="00A42CFF"/>
    <w:rsid w:val="00A43470"/>
    <w:rsid w:val="00A435C2"/>
    <w:rsid w:val="00A439BB"/>
    <w:rsid w:val="00A45F75"/>
    <w:rsid w:val="00A46EEE"/>
    <w:rsid w:val="00A472EC"/>
    <w:rsid w:val="00A47425"/>
    <w:rsid w:val="00A47EC0"/>
    <w:rsid w:val="00A50104"/>
    <w:rsid w:val="00A5149E"/>
    <w:rsid w:val="00A51A50"/>
    <w:rsid w:val="00A51C14"/>
    <w:rsid w:val="00A5288B"/>
    <w:rsid w:val="00A52F2F"/>
    <w:rsid w:val="00A531B3"/>
    <w:rsid w:val="00A5422F"/>
    <w:rsid w:val="00A54D28"/>
    <w:rsid w:val="00A560BE"/>
    <w:rsid w:val="00A57CCE"/>
    <w:rsid w:val="00A615D2"/>
    <w:rsid w:val="00A61AFF"/>
    <w:rsid w:val="00A61DFC"/>
    <w:rsid w:val="00A65002"/>
    <w:rsid w:val="00A662D0"/>
    <w:rsid w:val="00A663A7"/>
    <w:rsid w:val="00A66510"/>
    <w:rsid w:val="00A67E10"/>
    <w:rsid w:val="00A700E7"/>
    <w:rsid w:val="00A706EF"/>
    <w:rsid w:val="00A72A7B"/>
    <w:rsid w:val="00A73935"/>
    <w:rsid w:val="00A74131"/>
    <w:rsid w:val="00A75EEE"/>
    <w:rsid w:val="00A76EB2"/>
    <w:rsid w:val="00A84F73"/>
    <w:rsid w:val="00A86613"/>
    <w:rsid w:val="00A908CF"/>
    <w:rsid w:val="00A90FC6"/>
    <w:rsid w:val="00A920DB"/>
    <w:rsid w:val="00A92BCC"/>
    <w:rsid w:val="00A93193"/>
    <w:rsid w:val="00A93236"/>
    <w:rsid w:val="00A9354C"/>
    <w:rsid w:val="00A93BB0"/>
    <w:rsid w:val="00A93FE1"/>
    <w:rsid w:val="00A953DD"/>
    <w:rsid w:val="00AA39CB"/>
    <w:rsid w:val="00AA3B1D"/>
    <w:rsid w:val="00AA411E"/>
    <w:rsid w:val="00AA4BAE"/>
    <w:rsid w:val="00AA530D"/>
    <w:rsid w:val="00AB020E"/>
    <w:rsid w:val="00AB0448"/>
    <w:rsid w:val="00AB153E"/>
    <w:rsid w:val="00AB427A"/>
    <w:rsid w:val="00AB47EA"/>
    <w:rsid w:val="00AB4AE9"/>
    <w:rsid w:val="00AB519A"/>
    <w:rsid w:val="00AB58E0"/>
    <w:rsid w:val="00AB72D3"/>
    <w:rsid w:val="00AB784F"/>
    <w:rsid w:val="00AB7A43"/>
    <w:rsid w:val="00AC0A5F"/>
    <w:rsid w:val="00AC2077"/>
    <w:rsid w:val="00AC2A6A"/>
    <w:rsid w:val="00AC387F"/>
    <w:rsid w:val="00AC5E3E"/>
    <w:rsid w:val="00AC6576"/>
    <w:rsid w:val="00AC6BA7"/>
    <w:rsid w:val="00AC6C7C"/>
    <w:rsid w:val="00AC751D"/>
    <w:rsid w:val="00AD00C9"/>
    <w:rsid w:val="00AD081B"/>
    <w:rsid w:val="00AD0CB4"/>
    <w:rsid w:val="00AD0E7A"/>
    <w:rsid w:val="00AD6963"/>
    <w:rsid w:val="00AD7E91"/>
    <w:rsid w:val="00AE0DB0"/>
    <w:rsid w:val="00AE1156"/>
    <w:rsid w:val="00AE2887"/>
    <w:rsid w:val="00AE2D3C"/>
    <w:rsid w:val="00AE4079"/>
    <w:rsid w:val="00AE53F3"/>
    <w:rsid w:val="00AE58B5"/>
    <w:rsid w:val="00AE6AE4"/>
    <w:rsid w:val="00AE6E28"/>
    <w:rsid w:val="00AE7D5B"/>
    <w:rsid w:val="00AF11DE"/>
    <w:rsid w:val="00AF5111"/>
    <w:rsid w:val="00AF5431"/>
    <w:rsid w:val="00AF5868"/>
    <w:rsid w:val="00AF6D45"/>
    <w:rsid w:val="00AF7990"/>
    <w:rsid w:val="00B050EF"/>
    <w:rsid w:val="00B05162"/>
    <w:rsid w:val="00B05F20"/>
    <w:rsid w:val="00B06FC4"/>
    <w:rsid w:val="00B118E9"/>
    <w:rsid w:val="00B14735"/>
    <w:rsid w:val="00B14B69"/>
    <w:rsid w:val="00B16FE3"/>
    <w:rsid w:val="00B1717D"/>
    <w:rsid w:val="00B20372"/>
    <w:rsid w:val="00B20593"/>
    <w:rsid w:val="00B2300B"/>
    <w:rsid w:val="00B231EC"/>
    <w:rsid w:val="00B233A1"/>
    <w:rsid w:val="00B23CB5"/>
    <w:rsid w:val="00B24290"/>
    <w:rsid w:val="00B2463D"/>
    <w:rsid w:val="00B254ED"/>
    <w:rsid w:val="00B25A42"/>
    <w:rsid w:val="00B26CC4"/>
    <w:rsid w:val="00B2731B"/>
    <w:rsid w:val="00B27A4F"/>
    <w:rsid w:val="00B30277"/>
    <w:rsid w:val="00B306CB"/>
    <w:rsid w:val="00B30AA0"/>
    <w:rsid w:val="00B319DF"/>
    <w:rsid w:val="00B3259D"/>
    <w:rsid w:val="00B32CD1"/>
    <w:rsid w:val="00B3347C"/>
    <w:rsid w:val="00B33678"/>
    <w:rsid w:val="00B34A43"/>
    <w:rsid w:val="00B3695D"/>
    <w:rsid w:val="00B42813"/>
    <w:rsid w:val="00B4353F"/>
    <w:rsid w:val="00B437F3"/>
    <w:rsid w:val="00B43C73"/>
    <w:rsid w:val="00B44712"/>
    <w:rsid w:val="00B44753"/>
    <w:rsid w:val="00B46B16"/>
    <w:rsid w:val="00B46E03"/>
    <w:rsid w:val="00B473CB"/>
    <w:rsid w:val="00B5161B"/>
    <w:rsid w:val="00B54A28"/>
    <w:rsid w:val="00B55C0F"/>
    <w:rsid w:val="00B5656D"/>
    <w:rsid w:val="00B6024C"/>
    <w:rsid w:val="00B60A0B"/>
    <w:rsid w:val="00B61CEE"/>
    <w:rsid w:val="00B624B6"/>
    <w:rsid w:val="00B62797"/>
    <w:rsid w:val="00B637CF"/>
    <w:rsid w:val="00B63F52"/>
    <w:rsid w:val="00B63F87"/>
    <w:rsid w:val="00B71189"/>
    <w:rsid w:val="00B716B7"/>
    <w:rsid w:val="00B73D09"/>
    <w:rsid w:val="00B7469D"/>
    <w:rsid w:val="00B748C6"/>
    <w:rsid w:val="00B74FBD"/>
    <w:rsid w:val="00B75040"/>
    <w:rsid w:val="00B754A0"/>
    <w:rsid w:val="00B75798"/>
    <w:rsid w:val="00B75A56"/>
    <w:rsid w:val="00B7678F"/>
    <w:rsid w:val="00B77EAC"/>
    <w:rsid w:val="00B80149"/>
    <w:rsid w:val="00B8151E"/>
    <w:rsid w:val="00B81EAC"/>
    <w:rsid w:val="00B81FDA"/>
    <w:rsid w:val="00B8387D"/>
    <w:rsid w:val="00B84BFA"/>
    <w:rsid w:val="00B84C98"/>
    <w:rsid w:val="00B854DD"/>
    <w:rsid w:val="00B859C6"/>
    <w:rsid w:val="00B86E3A"/>
    <w:rsid w:val="00B9216F"/>
    <w:rsid w:val="00B97E6F"/>
    <w:rsid w:val="00BA12A2"/>
    <w:rsid w:val="00BA20F3"/>
    <w:rsid w:val="00BA2A63"/>
    <w:rsid w:val="00BA33C5"/>
    <w:rsid w:val="00BA4BD7"/>
    <w:rsid w:val="00BA57EB"/>
    <w:rsid w:val="00BA5E18"/>
    <w:rsid w:val="00BA656F"/>
    <w:rsid w:val="00BA6B3C"/>
    <w:rsid w:val="00BA701F"/>
    <w:rsid w:val="00BA7AD7"/>
    <w:rsid w:val="00BB029B"/>
    <w:rsid w:val="00BB146D"/>
    <w:rsid w:val="00BB37D2"/>
    <w:rsid w:val="00BB4EDB"/>
    <w:rsid w:val="00BB53A7"/>
    <w:rsid w:val="00BB567C"/>
    <w:rsid w:val="00BB688E"/>
    <w:rsid w:val="00BB73FC"/>
    <w:rsid w:val="00BB7601"/>
    <w:rsid w:val="00BB7E82"/>
    <w:rsid w:val="00BC13DA"/>
    <w:rsid w:val="00BC143E"/>
    <w:rsid w:val="00BC1BB0"/>
    <w:rsid w:val="00BC2848"/>
    <w:rsid w:val="00BC38A2"/>
    <w:rsid w:val="00BC3B6D"/>
    <w:rsid w:val="00BC52D3"/>
    <w:rsid w:val="00BC5480"/>
    <w:rsid w:val="00BC6D52"/>
    <w:rsid w:val="00BC6ED7"/>
    <w:rsid w:val="00BC70A1"/>
    <w:rsid w:val="00BC75CB"/>
    <w:rsid w:val="00BD0CFA"/>
    <w:rsid w:val="00BD2198"/>
    <w:rsid w:val="00BD230E"/>
    <w:rsid w:val="00BD2BA4"/>
    <w:rsid w:val="00BD520D"/>
    <w:rsid w:val="00BD5CA8"/>
    <w:rsid w:val="00BD6238"/>
    <w:rsid w:val="00BD679D"/>
    <w:rsid w:val="00BD687C"/>
    <w:rsid w:val="00BE0DC2"/>
    <w:rsid w:val="00BE12EE"/>
    <w:rsid w:val="00BE32C8"/>
    <w:rsid w:val="00BE4FA9"/>
    <w:rsid w:val="00BE5D27"/>
    <w:rsid w:val="00BE664C"/>
    <w:rsid w:val="00BE7287"/>
    <w:rsid w:val="00BF04FC"/>
    <w:rsid w:val="00BF16DB"/>
    <w:rsid w:val="00BF3270"/>
    <w:rsid w:val="00BF3796"/>
    <w:rsid w:val="00BF37DB"/>
    <w:rsid w:val="00BF3EE9"/>
    <w:rsid w:val="00BF45AC"/>
    <w:rsid w:val="00C009AB"/>
    <w:rsid w:val="00C028F1"/>
    <w:rsid w:val="00C02B41"/>
    <w:rsid w:val="00C03DCD"/>
    <w:rsid w:val="00C056A7"/>
    <w:rsid w:val="00C07302"/>
    <w:rsid w:val="00C10F41"/>
    <w:rsid w:val="00C11DF6"/>
    <w:rsid w:val="00C1239A"/>
    <w:rsid w:val="00C12433"/>
    <w:rsid w:val="00C12CB6"/>
    <w:rsid w:val="00C136DC"/>
    <w:rsid w:val="00C13860"/>
    <w:rsid w:val="00C13A10"/>
    <w:rsid w:val="00C179EA"/>
    <w:rsid w:val="00C200D4"/>
    <w:rsid w:val="00C202A6"/>
    <w:rsid w:val="00C228E3"/>
    <w:rsid w:val="00C22AE3"/>
    <w:rsid w:val="00C2546D"/>
    <w:rsid w:val="00C269D3"/>
    <w:rsid w:val="00C26A14"/>
    <w:rsid w:val="00C27520"/>
    <w:rsid w:val="00C300DD"/>
    <w:rsid w:val="00C320EC"/>
    <w:rsid w:val="00C35F44"/>
    <w:rsid w:val="00C36270"/>
    <w:rsid w:val="00C36B4B"/>
    <w:rsid w:val="00C37F8A"/>
    <w:rsid w:val="00C401FF"/>
    <w:rsid w:val="00C40431"/>
    <w:rsid w:val="00C41E27"/>
    <w:rsid w:val="00C424C3"/>
    <w:rsid w:val="00C45552"/>
    <w:rsid w:val="00C4592E"/>
    <w:rsid w:val="00C45D84"/>
    <w:rsid w:val="00C46C95"/>
    <w:rsid w:val="00C475DA"/>
    <w:rsid w:val="00C47DFA"/>
    <w:rsid w:val="00C506F8"/>
    <w:rsid w:val="00C50E32"/>
    <w:rsid w:val="00C516FB"/>
    <w:rsid w:val="00C53665"/>
    <w:rsid w:val="00C53C33"/>
    <w:rsid w:val="00C545F4"/>
    <w:rsid w:val="00C5526F"/>
    <w:rsid w:val="00C55BC9"/>
    <w:rsid w:val="00C55D9F"/>
    <w:rsid w:val="00C56200"/>
    <w:rsid w:val="00C56EF9"/>
    <w:rsid w:val="00C57315"/>
    <w:rsid w:val="00C626DA"/>
    <w:rsid w:val="00C629DE"/>
    <w:rsid w:val="00C63B97"/>
    <w:rsid w:val="00C6632D"/>
    <w:rsid w:val="00C66344"/>
    <w:rsid w:val="00C668A9"/>
    <w:rsid w:val="00C66F0F"/>
    <w:rsid w:val="00C6754A"/>
    <w:rsid w:val="00C6781F"/>
    <w:rsid w:val="00C71B20"/>
    <w:rsid w:val="00C72D14"/>
    <w:rsid w:val="00C7365F"/>
    <w:rsid w:val="00C7435F"/>
    <w:rsid w:val="00C74D7B"/>
    <w:rsid w:val="00C75EC9"/>
    <w:rsid w:val="00C7604B"/>
    <w:rsid w:val="00C764A0"/>
    <w:rsid w:val="00C76C18"/>
    <w:rsid w:val="00C80773"/>
    <w:rsid w:val="00C819C6"/>
    <w:rsid w:val="00C82ACB"/>
    <w:rsid w:val="00C82B4E"/>
    <w:rsid w:val="00C8344D"/>
    <w:rsid w:val="00C8368F"/>
    <w:rsid w:val="00C844B2"/>
    <w:rsid w:val="00C85BED"/>
    <w:rsid w:val="00C869BA"/>
    <w:rsid w:val="00C86F8A"/>
    <w:rsid w:val="00C8754D"/>
    <w:rsid w:val="00C9042C"/>
    <w:rsid w:val="00C9168D"/>
    <w:rsid w:val="00C92DCB"/>
    <w:rsid w:val="00C93226"/>
    <w:rsid w:val="00C9375F"/>
    <w:rsid w:val="00C93BC8"/>
    <w:rsid w:val="00C9522A"/>
    <w:rsid w:val="00C95D46"/>
    <w:rsid w:val="00C96407"/>
    <w:rsid w:val="00C978DF"/>
    <w:rsid w:val="00CA0170"/>
    <w:rsid w:val="00CA1422"/>
    <w:rsid w:val="00CA2CDD"/>
    <w:rsid w:val="00CA2E47"/>
    <w:rsid w:val="00CA4B19"/>
    <w:rsid w:val="00CA52D2"/>
    <w:rsid w:val="00CA5C7C"/>
    <w:rsid w:val="00CA5CEC"/>
    <w:rsid w:val="00CA5FFA"/>
    <w:rsid w:val="00CB053F"/>
    <w:rsid w:val="00CB0A83"/>
    <w:rsid w:val="00CB1900"/>
    <w:rsid w:val="00CB3E92"/>
    <w:rsid w:val="00CB4FCE"/>
    <w:rsid w:val="00CB61CC"/>
    <w:rsid w:val="00CB6D12"/>
    <w:rsid w:val="00CB6F08"/>
    <w:rsid w:val="00CB70E4"/>
    <w:rsid w:val="00CC10C4"/>
    <w:rsid w:val="00CC1674"/>
    <w:rsid w:val="00CC1736"/>
    <w:rsid w:val="00CC196D"/>
    <w:rsid w:val="00CC2D82"/>
    <w:rsid w:val="00CC34F5"/>
    <w:rsid w:val="00CC444A"/>
    <w:rsid w:val="00CC5299"/>
    <w:rsid w:val="00CC5773"/>
    <w:rsid w:val="00CC5B34"/>
    <w:rsid w:val="00CC7A0A"/>
    <w:rsid w:val="00CD1391"/>
    <w:rsid w:val="00CD298C"/>
    <w:rsid w:val="00CD41F6"/>
    <w:rsid w:val="00CD48C5"/>
    <w:rsid w:val="00CD4ED0"/>
    <w:rsid w:val="00CD510D"/>
    <w:rsid w:val="00CD5415"/>
    <w:rsid w:val="00CD5D92"/>
    <w:rsid w:val="00CD63A7"/>
    <w:rsid w:val="00CD7195"/>
    <w:rsid w:val="00CD7E13"/>
    <w:rsid w:val="00CE043E"/>
    <w:rsid w:val="00CE06A2"/>
    <w:rsid w:val="00CE0CE3"/>
    <w:rsid w:val="00CE18D6"/>
    <w:rsid w:val="00CE1E66"/>
    <w:rsid w:val="00CE1E8B"/>
    <w:rsid w:val="00CE2589"/>
    <w:rsid w:val="00CE29A0"/>
    <w:rsid w:val="00CE2BD7"/>
    <w:rsid w:val="00CE2CCF"/>
    <w:rsid w:val="00CE31EA"/>
    <w:rsid w:val="00CE4BB1"/>
    <w:rsid w:val="00CE5D60"/>
    <w:rsid w:val="00CE5F50"/>
    <w:rsid w:val="00CE6548"/>
    <w:rsid w:val="00CE65BF"/>
    <w:rsid w:val="00CE75BE"/>
    <w:rsid w:val="00CF05FA"/>
    <w:rsid w:val="00CF0D2D"/>
    <w:rsid w:val="00CF3010"/>
    <w:rsid w:val="00CF3794"/>
    <w:rsid w:val="00CF4121"/>
    <w:rsid w:val="00CF4A43"/>
    <w:rsid w:val="00CF54DF"/>
    <w:rsid w:val="00CF5509"/>
    <w:rsid w:val="00CF6EC3"/>
    <w:rsid w:val="00CF76E7"/>
    <w:rsid w:val="00CF7790"/>
    <w:rsid w:val="00D0175E"/>
    <w:rsid w:val="00D01D62"/>
    <w:rsid w:val="00D047E0"/>
    <w:rsid w:val="00D05755"/>
    <w:rsid w:val="00D07241"/>
    <w:rsid w:val="00D10642"/>
    <w:rsid w:val="00D11590"/>
    <w:rsid w:val="00D12776"/>
    <w:rsid w:val="00D13571"/>
    <w:rsid w:val="00D13CC8"/>
    <w:rsid w:val="00D1416B"/>
    <w:rsid w:val="00D14279"/>
    <w:rsid w:val="00D15916"/>
    <w:rsid w:val="00D1632E"/>
    <w:rsid w:val="00D17C03"/>
    <w:rsid w:val="00D209C8"/>
    <w:rsid w:val="00D22410"/>
    <w:rsid w:val="00D22AEF"/>
    <w:rsid w:val="00D2313B"/>
    <w:rsid w:val="00D23D0A"/>
    <w:rsid w:val="00D244E0"/>
    <w:rsid w:val="00D24973"/>
    <w:rsid w:val="00D25193"/>
    <w:rsid w:val="00D26390"/>
    <w:rsid w:val="00D27188"/>
    <w:rsid w:val="00D30E78"/>
    <w:rsid w:val="00D333E0"/>
    <w:rsid w:val="00D33C9C"/>
    <w:rsid w:val="00D346B3"/>
    <w:rsid w:val="00D36744"/>
    <w:rsid w:val="00D37431"/>
    <w:rsid w:val="00D40A6B"/>
    <w:rsid w:val="00D42272"/>
    <w:rsid w:val="00D43D24"/>
    <w:rsid w:val="00D4499E"/>
    <w:rsid w:val="00D46EA4"/>
    <w:rsid w:val="00D51C3E"/>
    <w:rsid w:val="00D51D32"/>
    <w:rsid w:val="00D52C64"/>
    <w:rsid w:val="00D52C99"/>
    <w:rsid w:val="00D53609"/>
    <w:rsid w:val="00D536FA"/>
    <w:rsid w:val="00D54DAA"/>
    <w:rsid w:val="00D5679C"/>
    <w:rsid w:val="00D56807"/>
    <w:rsid w:val="00D6213E"/>
    <w:rsid w:val="00D62982"/>
    <w:rsid w:val="00D6433A"/>
    <w:rsid w:val="00D654C4"/>
    <w:rsid w:val="00D6661A"/>
    <w:rsid w:val="00D675ED"/>
    <w:rsid w:val="00D70505"/>
    <w:rsid w:val="00D717B8"/>
    <w:rsid w:val="00D72829"/>
    <w:rsid w:val="00D728F2"/>
    <w:rsid w:val="00D72BC4"/>
    <w:rsid w:val="00D72EEB"/>
    <w:rsid w:val="00D73A56"/>
    <w:rsid w:val="00D73BF5"/>
    <w:rsid w:val="00D74A68"/>
    <w:rsid w:val="00D74EE4"/>
    <w:rsid w:val="00D768CA"/>
    <w:rsid w:val="00D76E79"/>
    <w:rsid w:val="00D76FF1"/>
    <w:rsid w:val="00D7774D"/>
    <w:rsid w:val="00D77D6A"/>
    <w:rsid w:val="00D816A9"/>
    <w:rsid w:val="00D82CA3"/>
    <w:rsid w:val="00D840D8"/>
    <w:rsid w:val="00D842CC"/>
    <w:rsid w:val="00D846E8"/>
    <w:rsid w:val="00D85E94"/>
    <w:rsid w:val="00D8604C"/>
    <w:rsid w:val="00D86224"/>
    <w:rsid w:val="00D87179"/>
    <w:rsid w:val="00D87532"/>
    <w:rsid w:val="00D87FB1"/>
    <w:rsid w:val="00D902D7"/>
    <w:rsid w:val="00D90CF4"/>
    <w:rsid w:val="00D91703"/>
    <w:rsid w:val="00D918DD"/>
    <w:rsid w:val="00D94068"/>
    <w:rsid w:val="00D95103"/>
    <w:rsid w:val="00D9524A"/>
    <w:rsid w:val="00D96062"/>
    <w:rsid w:val="00D979D4"/>
    <w:rsid w:val="00D97A31"/>
    <w:rsid w:val="00DA0C3F"/>
    <w:rsid w:val="00DA1237"/>
    <w:rsid w:val="00DA1648"/>
    <w:rsid w:val="00DA1715"/>
    <w:rsid w:val="00DA1ACD"/>
    <w:rsid w:val="00DA2C9A"/>
    <w:rsid w:val="00DA32B9"/>
    <w:rsid w:val="00DA38DC"/>
    <w:rsid w:val="00DA42C9"/>
    <w:rsid w:val="00DA555D"/>
    <w:rsid w:val="00DA74B7"/>
    <w:rsid w:val="00DA79BE"/>
    <w:rsid w:val="00DB121F"/>
    <w:rsid w:val="00DB227E"/>
    <w:rsid w:val="00DB2833"/>
    <w:rsid w:val="00DB31B1"/>
    <w:rsid w:val="00DC1EE0"/>
    <w:rsid w:val="00DC22B8"/>
    <w:rsid w:val="00DC25AF"/>
    <w:rsid w:val="00DC2D12"/>
    <w:rsid w:val="00DC2F6F"/>
    <w:rsid w:val="00DC3E99"/>
    <w:rsid w:val="00DC4FD7"/>
    <w:rsid w:val="00DC6960"/>
    <w:rsid w:val="00DC7F10"/>
    <w:rsid w:val="00DD0700"/>
    <w:rsid w:val="00DD0BC1"/>
    <w:rsid w:val="00DD0E31"/>
    <w:rsid w:val="00DD1585"/>
    <w:rsid w:val="00DD19E2"/>
    <w:rsid w:val="00DD1A51"/>
    <w:rsid w:val="00DD1ED8"/>
    <w:rsid w:val="00DD38BA"/>
    <w:rsid w:val="00DD43F2"/>
    <w:rsid w:val="00DD4965"/>
    <w:rsid w:val="00DD5CBA"/>
    <w:rsid w:val="00DD6B23"/>
    <w:rsid w:val="00DD7620"/>
    <w:rsid w:val="00DD7665"/>
    <w:rsid w:val="00DD7875"/>
    <w:rsid w:val="00DE0171"/>
    <w:rsid w:val="00DE2723"/>
    <w:rsid w:val="00DE4B48"/>
    <w:rsid w:val="00DE4F64"/>
    <w:rsid w:val="00DE51DF"/>
    <w:rsid w:val="00DE7DED"/>
    <w:rsid w:val="00DF0361"/>
    <w:rsid w:val="00DF0491"/>
    <w:rsid w:val="00DF05BA"/>
    <w:rsid w:val="00DF10BE"/>
    <w:rsid w:val="00DF2307"/>
    <w:rsid w:val="00DF2FDD"/>
    <w:rsid w:val="00DF52AE"/>
    <w:rsid w:val="00DF5B2E"/>
    <w:rsid w:val="00DF6045"/>
    <w:rsid w:val="00DF7C8B"/>
    <w:rsid w:val="00E0000C"/>
    <w:rsid w:val="00E00D59"/>
    <w:rsid w:val="00E00ED4"/>
    <w:rsid w:val="00E0130B"/>
    <w:rsid w:val="00E01F72"/>
    <w:rsid w:val="00E048E5"/>
    <w:rsid w:val="00E05367"/>
    <w:rsid w:val="00E0775E"/>
    <w:rsid w:val="00E07CE7"/>
    <w:rsid w:val="00E10941"/>
    <w:rsid w:val="00E12531"/>
    <w:rsid w:val="00E1300E"/>
    <w:rsid w:val="00E13154"/>
    <w:rsid w:val="00E14A7B"/>
    <w:rsid w:val="00E15B72"/>
    <w:rsid w:val="00E16C66"/>
    <w:rsid w:val="00E1753D"/>
    <w:rsid w:val="00E17D24"/>
    <w:rsid w:val="00E17EDC"/>
    <w:rsid w:val="00E20900"/>
    <w:rsid w:val="00E21E13"/>
    <w:rsid w:val="00E250C2"/>
    <w:rsid w:val="00E265F0"/>
    <w:rsid w:val="00E26A29"/>
    <w:rsid w:val="00E2715C"/>
    <w:rsid w:val="00E27D6C"/>
    <w:rsid w:val="00E30B12"/>
    <w:rsid w:val="00E31CE2"/>
    <w:rsid w:val="00E33847"/>
    <w:rsid w:val="00E33DB5"/>
    <w:rsid w:val="00E35D6E"/>
    <w:rsid w:val="00E35D70"/>
    <w:rsid w:val="00E373D1"/>
    <w:rsid w:val="00E37729"/>
    <w:rsid w:val="00E400EE"/>
    <w:rsid w:val="00E40108"/>
    <w:rsid w:val="00E4219C"/>
    <w:rsid w:val="00E424D3"/>
    <w:rsid w:val="00E42743"/>
    <w:rsid w:val="00E43E77"/>
    <w:rsid w:val="00E45AF0"/>
    <w:rsid w:val="00E45D84"/>
    <w:rsid w:val="00E503BD"/>
    <w:rsid w:val="00E517C5"/>
    <w:rsid w:val="00E56862"/>
    <w:rsid w:val="00E56BB6"/>
    <w:rsid w:val="00E56D78"/>
    <w:rsid w:val="00E57EFA"/>
    <w:rsid w:val="00E604D9"/>
    <w:rsid w:val="00E6245F"/>
    <w:rsid w:val="00E626CB"/>
    <w:rsid w:val="00E62A0E"/>
    <w:rsid w:val="00E6340F"/>
    <w:rsid w:val="00E649CD"/>
    <w:rsid w:val="00E656E8"/>
    <w:rsid w:val="00E65969"/>
    <w:rsid w:val="00E66683"/>
    <w:rsid w:val="00E677E6"/>
    <w:rsid w:val="00E71189"/>
    <w:rsid w:val="00E7164C"/>
    <w:rsid w:val="00E716B1"/>
    <w:rsid w:val="00E7206B"/>
    <w:rsid w:val="00E72522"/>
    <w:rsid w:val="00E73395"/>
    <w:rsid w:val="00E7544F"/>
    <w:rsid w:val="00E75545"/>
    <w:rsid w:val="00E75611"/>
    <w:rsid w:val="00E75DA8"/>
    <w:rsid w:val="00E75DAA"/>
    <w:rsid w:val="00E76AA9"/>
    <w:rsid w:val="00E77484"/>
    <w:rsid w:val="00E77649"/>
    <w:rsid w:val="00E81AF0"/>
    <w:rsid w:val="00E82197"/>
    <w:rsid w:val="00E83FFF"/>
    <w:rsid w:val="00E8505C"/>
    <w:rsid w:val="00E87847"/>
    <w:rsid w:val="00E87BEF"/>
    <w:rsid w:val="00E9030B"/>
    <w:rsid w:val="00E90753"/>
    <w:rsid w:val="00E91944"/>
    <w:rsid w:val="00E91994"/>
    <w:rsid w:val="00E9341B"/>
    <w:rsid w:val="00E9449E"/>
    <w:rsid w:val="00E96F83"/>
    <w:rsid w:val="00EA0B0A"/>
    <w:rsid w:val="00EA112A"/>
    <w:rsid w:val="00EA1B19"/>
    <w:rsid w:val="00EA2EF0"/>
    <w:rsid w:val="00EA350A"/>
    <w:rsid w:val="00EA4974"/>
    <w:rsid w:val="00EA49F7"/>
    <w:rsid w:val="00EA59AB"/>
    <w:rsid w:val="00EB16AC"/>
    <w:rsid w:val="00EB3629"/>
    <w:rsid w:val="00EB4DA0"/>
    <w:rsid w:val="00EB61E8"/>
    <w:rsid w:val="00EB7478"/>
    <w:rsid w:val="00EC084D"/>
    <w:rsid w:val="00EC114E"/>
    <w:rsid w:val="00EC1450"/>
    <w:rsid w:val="00EC3AAC"/>
    <w:rsid w:val="00EC4110"/>
    <w:rsid w:val="00EC433D"/>
    <w:rsid w:val="00EC6133"/>
    <w:rsid w:val="00EC7A4C"/>
    <w:rsid w:val="00EC7BB0"/>
    <w:rsid w:val="00ED0001"/>
    <w:rsid w:val="00ED1A0F"/>
    <w:rsid w:val="00ED22FE"/>
    <w:rsid w:val="00ED2991"/>
    <w:rsid w:val="00ED2AD3"/>
    <w:rsid w:val="00ED322E"/>
    <w:rsid w:val="00ED51E3"/>
    <w:rsid w:val="00ED6A68"/>
    <w:rsid w:val="00EE1A1B"/>
    <w:rsid w:val="00EE22BE"/>
    <w:rsid w:val="00EE3AD3"/>
    <w:rsid w:val="00EE5614"/>
    <w:rsid w:val="00EE5BF5"/>
    <w:rsid w:val="00EE63B7"/>
    <w:rsid w:val="00EE6BB1"/>
    <w:rsid w:val="00EE76DE"/>
    <w:rsid w:val="00EE7823"/>
    <w:rsid w:val="00EE78C7"/>
    <w:rsid w:val="00EF0CCC"/>
    <w:rsid w:val="00EF16D2"/>
    <w:rsid w:val="00EF3320"/>
    <w:rsid w:val="00EF3C8D"/>
    <w:rsid w:val="00EF3EDA"/>
    <w:rsid w:val="00EF4844"/>
    <w:rsid w:val="00EF7149"/>
    <w:rsid w:val="00F005C2"/>
    <w:rsid w:val="00F0063A"/>
    <w:rsid w:val="00F00A0D"/>
    <w:rsid w:val="00F016D8"/>
    <w:rsid w:val="00F01C71"/>
    <w:rsid w:val="00F01F12"/>
    <w:rsid w:val="00F03883"/>
    <w:rsid w:val="00F03D0B"/>
    <w:rsid w:val="00F04EDD"/>
    <w:rsid w:val="00F05C3A"/>
    <w:rsid w:val="00F06976"/>
    <w:rsid w:val="00F06CD6"/>
    <w:rsid w:val="00F071BB"/>
    <w:rsid w:val="00F07E58"/>
    <w:rsid w:val="00F12F62"/>
    <w:rsid w:val="00F14A64"/>
    <w:rsid w:val="00F15E32"/>
    <w:rsid w:val="00F16330"/>
    <w:rsid w:val="00F1669B"/>
    <w:rsid w:val="00F17439"/>
    <w:rsid w:val="00F17F90"/>
    <w:rsid w:val="00F2237F"/>
    <w:rsid w:val="00F22856"/>
    <w:rsid w:val="00F229BA"/>
    <w:rsid w:val="00F23734"/>
    <w:rsid w:val="00F23ADD"/>
    <w:rsid w:val="00F2431D"/>
    <w:rsid w:val="00F26AC5"/>
    <w:rsid w:val="00F30836"/>
    <w:rsid w:val="00F31912"/>
    <w:rsid w:val="00F32A8B"/>
    <w:rsid w:val="00F35D55"/>
    <w:rsid w:val="00F371E4"/>
    <w:rsid w:val="00F40CA7"/>
    <w:rsid w:val="00F42FF4"/>
    <w:rsid w:val="00F43B18"/>
    <w:rsid w:val="00F4421A"/>
    <w:rsid w:val="00F45E44"/>
    <w:rsid w:val="00F47475"/>
    <w:rsid w:val="00F4792B"/>
    <w:rsid w:val="00F51784"/>
    <w:rsid w:val="00F525C0"/>
    <w:rsid w:val="00F52F77"/>
    <w:rsid w:val="00F535B6"/>
    <w:rsid w:val="00F535D1"/>
    <w:rsid w:val="00F542C3"/>
    <w:rsid w:val="00F545B8"/>
    <w:rsid w:val="00F54AA8"/>
    <w:rsid w:val="00F55AB0"/>
    <w:rsid w:val="00F568E3"/>
    <w:rsid w:val="00F57085"/>
    <w:rsid w:val="00F5747C"/>
    <w:rsid w:val="00F607EC"/>
    <w:rsid w:val="00F62967"/>
    <w:rsid w:val="00F62FB6"/>
    <w:rsid w:val="00F634DE"/>
    <w:rsid w:val="00F6491A"/>
    <w:rsid w:val="00F65AC1"/>
    <w:rsid w:val="00F67C14"/>
    <w:rsid w:val="00F67CCC"/>
    <w:rsid w:val="00F7008B"/>
    <w:rsid w:val="00F7113D"/>
    <w:rsid w:val="00F714A9"/>
    <w:rsid w:val="00F7409B"/>
    <w:rsid w:val="00F7561C"/>
    <w:rsid w:val="00F76517"/>
    <w:rsid w:val="00F80042"/>
    <w:rsid w:val="00F800C0"/>
    <w:rsid w:val="00F80B30"/>
    <w:rsid w:val="00F80D61"/>
    <w:rsid w:val="00F85A73"/>
    <w:rsid w:val="00F85C2E"/>
    <w:rsid w:val="00F85D65"/>
    <w:rsid w:val="00F862E5"/>
    <w:rsid w:val="00F86401"/>
    <w:rsid w:val="00F900A8"/>
    <w:rsid w:val="00F90952"/>
    <w:rsid w:val="00F92239"/>
    <w:rsid w:val="00F95391"/>
    <w:rsid w:val="00F962B6"/>
    <w:rsid w:val="00F96701"/>
    <w:rsid w:val="00F97730"/>
    <w:rsid w:val="00FA35A9"/>
    <w:rsid w:val="00FA39F8"/>
    <w:rsid w:val="00FA418D"/>
    <w:rsid w:val="00FA50AF"/>
    <w:rsid w:val="00FA5B13"/>
    <w:rsid w:val="00FA6E37"/>
    <w:rsid w:val="00FA72DF"/>
    <w:rsid w:val="00FB0654"/>
    <w:rsid w:val="00FB12BC"/>
    <w:rsid w:val="00FB1B09"/>
    <w:rsid w:val="00FB243E"/>
    <w:rsid w:val="00FB2CB9"/>
    <w:rsid w:val="00FB3FA5"/>
    <w:rsid w:val="00FB4D77"/>
    <w:rsid w:val="00FB67FE"/>
    <w:rsid w:val="00FB7289"/>
    <w:rsid w:val="00FB73D0"/>
    <w:rsid w:val="00FB7ABD"/>
    <w:rsid w:val="00FB7B30"/>
    <w:rsid w:val="00FC0BFB"/>
    <w:rsid w:val="00FC0C0D"/>
    <w:rsid w:val="00FC112E"/>
    <w:rsid w:val="00FC2869"/>
    <w:rsid w:val="00FC3226"/>
    <w:rsid w:val="00FC54C5"/>
    <w:rsid w:val="00FC5E97"/>
    <w:rsid w:val="00FC682B"/>
    <w:rsid w:val="00FC6D92"/>
    <w:rsid w:val="00FC7145"/>
    <w:rsid w:val="00FD028B"/>
    <w:rsid w:val="00FD0F83"/>
    <w:rsid w:val="00FD1411"/>
    <w:rsid w:val="00FD1ACB"/>
    <w:rsid w:val="00FD2225"/>
    <w:rsid w:val="00FD3218"/>
    <w:rsid w:val="00FD42E2"/>
    <w:rsid w:val="00FD4F3E"/>
    <w:rsid w:val="00FD719E"/>
    <w:rsid w:val="00FE071A"/>
    <w:rsid w:val="00FE0B87"/>
    <w:rsid w:val="00FE2438"/>
    <w:rsid w:val="00FE32B3"/>
    <w:rsid w:val="00FE3B5E"/>
    <w:rsid w:val="00FE458E"/>
    <w:rsid w:val="00FE4E26"/>
    <w:rsid w:val="00FE52AD"/>
    <w:rsid w:val="00FE53A5"/>
    <w:rsid w:val="00FE5A33"/>
    <w:rsid w:val="00FE701C"/>
    <w:rsid w:val="00FE77B9"/>
    <w:rsid w:val="00FF042D"/>
    <w:rsid w:val="00FF124D"/>
    <w:rsid w:val="00FF17CD"/>
    <w:rsid w:val="00FF3536"/>
    <w:rsid w:val="00FF6081"/>
    <w:rsid w:val="00FF77E4"/>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EB3772"/>
  <w15:docId w15:val="{10A1E992-18BD-4276-AEA3-6FB78E02E0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P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210E"/>
  </w:style>
  <w:style w:type="paragraph" w:styleId="Heading1">
    <w:name w:val="heading 1"/>
    <w:basedOn w:val="Normal"/>
    <w:next w:val="Normal"/>
    <w:link w:val="Heading1Char"/>
    <w:uiPriority w:val="9"/>
    <w:qFormat/>
    <w:rsid w:val="00B46E88"/>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478C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Subtitle"/>
    <w:next w:val="Normal"/>
    <w:link w:val="Heading3Char"/>
    <w:uiPriority w:val="9"/>
    <w:semiHidden/>
    <w:unhideWhenUsed/>
    <w:qFormat/>
    <w:rsid w:val="00025503"/>
    <w:pPr>
      <w:outlineLvl w:val="2"/>
    </w:p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507619"/>
    <w:pPr>
      <w:tabs>
        <w:tab w:val="center" w:pos="4252"/>
        <w:tab w:val="right" w:pos="8504"/>
      </w:tabs>
      <w:spacing w:after="0" w:line="240" w:lineRule="auto"/>
    </w:pPr>
  </w:style>
  <w:style w:type="character" w:customStyle="1" w:styleId="HeaderChar">
    <w:name w:val="Header Char"/>
    <w:basedOn w:val="DefaultParagraphFont"/>
    <w:link w:val="Header"/>
    <w:uiPriority w:val="99"/>
    <w:rsid w:val="00507619"/>
  </w:style>
  <w:style w:type="paragraph" w:styleId="Footer">
    <w:name w:val="footer"/>
    <w:basedOn w:val="Normal"/>
    <w:link w:val="FooterChar"/>
    <w:uiPriority w:val="99"/>
    <w:unhideWhenUsed/>
    <w:rsid w:val="00507619"/>
    <w:pPr>
      <w:tabs>
        <w:tab w:val="center" w:pos="4252"/>
        <w:tab w:val="right" w:pos="8504"/>
      </w:tabs>
      <w:spacing w:after="0" w:line="240" w:lineRule="auto"/>
    </w:pPr>
  </w:style>
  <w:style w:type="character" w:customStyle="1" w:styleId="FooterChar">
    <w:name w:val="Footer Char"/>
    <w:basedOn w:val="DefaultParagraphFont"/>
    <w:link w:val="Footer"/>
    <w:uiPriority w:val="99"/>
    <w:rsid w:val="00507619"/>
  </w:style>
  <w:style w:type="paragraph" w:styleId="ListParagraph">
    <w:name w:val="List Paragraph"/>
    <w:basedOn w:val="Normal"/>
    <w:uiPriority w:val="34"/>
    <w:qFormat/>
    <w:rsid w:val="00187614"/>
    <w:pPr>
      <w:ind w:left="720"/>
      <w:contextualSpacing/>
    </w:pPr>
  </w:style>
  <w:style w:type="character" w:customStyle="1" w:styleId="Heading1Char">
    <w:name w:val="Heading 1 Char"/>
    <w:basedOn w:val="DefaultParagraphFont"/>
    <w:link w:val="Heading1"/>
    <w:uiPriority w:val="9"/>
    <w:rsid w:val="00B46E88"/>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46E88"/>
    <w:pPr>
      <w:numPr>
        <w:numId w:val="0"/>
      </w:numPr>
      <w:outlineLvl w:val="9"/>
    </w:pPr>
  </w:style>
  <w:style w:type="paragraph" w:styleId="TOC1">
    <w:name w:val="toc 1"/>
    <w:basedOn w:val="Normal"/>
    <w:next w:val="Normal"/>
    <w:autoRedefine/>
    <w:uiPriority w:val="39"/>
    <w:unhideWhenUsed/>
    <w:rsid w:val="00AE7D5B"/>
    <w:pPr>
      <w:tabs>
        <w:tab w:val="left" w:pos="440"/>
        <w:tab w:val="right" w:pos="8494"/>
      </w:tabs>
      <w:spacing w:after="100"/>
    </w:pPr>
  </w:style>
  <w:style w:type="character" w:styleId="Hyperlink">
    <w:name w:val="Hyperlink"/>
    <w:basedOn w:val="DefaultParagraphFont"/>
    <w:uiPriority w:val="99"/>
    <w:unhideWhenUsed/>
    <w:rsid w:val="00B46E88"/>
    <w:rPr>
      <w:color w:val="0563C1" w:themeColor="hyperlink"/>
      <w:u w:val="single"/>
    </w:rPr>
  </w:style>
  <w:style w:type="character" w:customStyle="1" w:styleId="Heading2Char">
    <w:name w:val="Heading 2 Char"/>
    <w:basedOn w:val="DefaultParagraphFont"/>
    <w:link w:val="Heading2"/>
    <w:uiPriority w:val="9"/>
    <w:rsid w:val="003478C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25503"/>
    <w:rPr>
      <w:rFonts w:eastAsiaTheme="minorEastAsia"/>
      <w:color w:val="5A5A5A" w:themeColor="text1" w:themeTint="A5"/>
      <w:spacing w:val="15"/>
    </w:rPr>
  </w:style>
  <w:style w:type="paragraph" w:styleId="Subtitle">
    <w:name w:val="Subtitle"/>
    <w:basedOn w:val="Normal"/>
    <w:next w:val="Normal"/>
    <w:link w:val="SubtitleChar"/>
    <w:uiPriority w:val="11"/>
    <w:qFormat/>
    <w:pPr>
      <w:spacing w:after="120" w:line="240" w:lineRule="auto"/>
      <w:ind w:left="1276" w:hanging="720"/>
    </w:pPr>
    <w:rPr>
      <w:color w:val="5A5A5A"/>
    </w:rPr>
  </w:style>
  <w:style w:type="character" w:customStyle="1" w:styleId="SubtitleChar">
    <w:name w:val="Subtitle Char"/>
    <w:basedOn w:val="DefaultParagraphFont"/>
    <w:link w:val="Subtitle"/>
    <w:uiPriority w:val="11"/>
    <w:rsid w:val="003478C6"/>
    <w:rPr>
      <w:rFonts w:eastAsiaTheme="minorEastAsia"/>
      <w:color w:val="5A5A5A" w:themeColor="text1" w:themeTint="A5"/>
      <w:spacing w:val="15"/>
    </w:rPr>
  </w:style>
  <w:style w:type="paragraph" w:styleId="TOC2">
    <w:name w:val="toc 2"/>
    <w:basedOn w:val="Normal"/>
    <w:next w:val="Normal"/>
    <w:autoRedefine/>
    <w:uiPriority w:val="39"/>
    <w:unhideWhenUsed/>
    <w:rsid w:val="003478C6"/>
    <w:pPr>
      <w:spacing w:after="100"/>
      <w:ind w:left="220"/>
    </w:pPr>
  </w:style>
  <w:style w:type="paragraph" w:styleId="TOC3">
    <w:name w:val="toc 3"/>
    <w:basedOn w:val="Normal"/>
    <w:next w:val="Normal"/>
    <w:autoRedefine/>
    <w:uiPriority w:val="39"/>
    <w:unhideWhenUsed/>
    <w:rsid w:val="00025503"/>
    <w:pPr>
      <w:spacing w:after="100"/>
      <w:ind w:left="440"/>
    </w:pPr>
  </w:style>
  <w:style w:type="character" w:styleId="CommentReference">
    <w:name w:val="annotation reference"/>
    <w:basedOn w:val="DefaultParagraphFont"/>
    <w:uiPriority w:val="99"/>
    <w:semiHidden/>
    <w:unhideWhenUsed/>
    <w:rsid w:val="00321184"/>
    <w:rPr>
      <w:sz w:val="16"/>
      <w:szCs w:val="16"/>
    </w:rPr>
  </w:style>
  <w:style w:type="paragraph" w:styleId="CommentText">
    <w:name w:val="annotation text"/>
    <w:basedOn w:val="Normal"/>
    <w:link w:val="CommentTextChar"/>
    <w:uiPriority w:val="99"/>
    <w:unhideWhenUsed/>
    <w:rsid w:val="00321184"/>
    <w:pPr>
      <w:spacing w:line="240" w:lineRule="auto"/>
    </w:pPr>
    <w:rPr>
      <w:sz w:val="20"/>
      <w:szCs w:val="20"/>
    </w:rPr>
  </w:style>
  <w:style w:type="character" w:customStyle="1" w:styleId="CommentTextChar">
    <w:name w:val="Comment Text Char"/>
    <w:basedOn w:val="DefaultParagraphFont"/>
    <w:link w:val="CommentText"/>
    <w:uiPriority w:val="99"/>
    <w:rsid w:val="00321184"/>
    <w:rPr>
      <w:sz w:val="20"/>
      <w:szCs w:val="20"/>
    </w:rPr>
  </w:style>
  <w:style w:type="paragraph" w:styleId="CommentSubject">
    <w:name w:val="annotation subject"/>
    <w:basedOn w:val="CommentText"/>
    <w:next w:val="CommentText"/>
    <w:link w:val="CommentSubjectChar"/>
    <w:uiPriority w:val="99"/>
    <w:semiHidden/>
    <w:unhideWhenUsed/>
    <w:rsid w:val="00321184"/>
    <w:rPr>
      <w:b/>
      <w:bCs/>
    </w:rPr>
  </w:style>
  <w:style w:type="character" w:customStyle="1" w:styleId="CommentSubjectChar">
    <w:name w:val="Comment Subject Char"/>
    <w:basedOn w:val="CommentTextChar"/>
    <w:link w:val="CommentSubject"/>
    <w:uiPriority w:val="99"/>
    <w:semiHidden/>
    <w:rsid w:val="00321184"/>
    <w:rPr>
      <w:b/>
      <w:bCs/>
      <w:sz w:val="20"/>
      <w:szCs w:val="20"/>
    </w:rPr>
  </w:style>
  <w:style w:type="table" w:styleId="TableGrid">
    <w:name w:val="Table Grid"/>
    <w:basedOn w:val="TableNormal"/>
    <w:uiPriority w:val="39"/>
    <w:rsid w:val="00E252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7"/>
    <w:basedOn w:val="TableNormal1"/>
    <w:tblPr>
      <w:tblStyleRowBandSize w:val="1"/>
      <w:tblStyleColBandSize w:val="1"/>
      <w:tblCellMar>
        <w:left w:w="70" w:type="dxa"/>
        <w:right w:w="70" w:type="dxa"/>
      </w:tblCellMar>
    </w:tblPr>
  </w:style>
  <w:style w:type="table" w:customStyle="1" w:styleId="6">
    <w:name w:val="6"/>
    <w:basedOn w:val="TableNormal1"/>
    <w:pPr>
      <w:spacing w:after="0" w:line="240" w:lineRule="auto"/>
    </w:pPr>
    <w:tblPr>
      <w:tblStyleRowBandSize w:val="1"/>
      <w:tblStyleColBandSize w:val="1"/>
      <w:tblCellMar>
        <w:left w:w="108" w:type="dxa"/>
        <w:right w:w="108" w:type="dxa"/>
      </w:tblCellMar>
    </w:tblPr>
  </w:style>
  <w:style w:type="table" w:customStyle="1" w:styleId="5">
    <w:name w:val="5"/>
    <w:basedOn w:val="TableNormal1"/>
    <w:pPr>
      <w:spacing w:after="0" w:line="240" w:lineRule="auto"/>
    </w:pPr>
    <w:tblPr>
      <w:tblStyleRowBandSize w:val="1"/>
      <w:tblStyleColBandSize w:val="1"/>
      <w:tblCellMar>
        <w:left w:w="108" w:type="dxa"/>
        <w:right w:w="108" w:type="dxa"/>
      </w:tblCellMar>
    </w:tblPr>
  </w:style>
  <w:style w:type="table" w:customStyle="1" w:styleId="4">
    <w:name w:val="4"/>
    <w:basedOn w:val="TableNormal1"/>
    <w:pPr>
      <w:spacing w:after="0" w:line="240" w:lineRule="auto"/>
    </w:pPr>
    <w:tblPr>
      <w:tblStyleRowBandSize w:val="1"/>
      <w:tblStyleColBandSize w:val="1"/>
      <w:tblCellMar>
        <w:left w:w="108" w:type="dxa"/>
        <w:right w:w="108" w:type="dxa"/>
      </w:tblCellMar>
    </w:tblPr>
  </w:style>
  <w:style w:type="table" w:customStyle="1" w:styleId="3">
    <w:name w:val="3"/>
    <w:basedOn w:val="TableNormal1"/>
    <w:pPr>
      <w:spacing w:after="0" w:line="240" w:lineRule="auto"/>
    </w:pPr>
    <w:tblPr>
      <w:tblStyleRowBandSize w:val="1"/>
      <w:tblStyleColBandSize w:val="1"/>
      <w:tblCellMar>
        <w:left w:w="108" w:type="dxa"/>
        <w:right w:w="108" w:type="dxa"/>
      </w:tblCellMar>
    </w:tblPr>
  </w:style>
  <w:style w:type="table" w:customStyle="1" w:styleId="2">
    <w:name w:val="2"/>
    <w:basedOn w:val="TableNormal1"/>
    <w:pPr>
      <w:spacing w:after="0" w:line="240" w:lineRule="auto"/>
    </w:pPr>
    <w:tblPr>
      <w:tblStyleRowBandSize w:val="1"/>
      <w:tblStyleColBandSize w:val="1"/>
      <w:tblCellMar>
        <w:left w:w="108" w:type="dxa"/>
        <w:right w:w="108" w:type="dxa"/>
      </w:tblCellMar>
    </w:tblPr>
  </w:style>
  <w:style w:type="table" w:customStyle="1" w:styleId="1">
    <w:name w:val="1"/>
    <w:basedOn w:val="TableNormal1"/>
    <w:pPr>
      <w:spacing w:after="0" w:line="240" w:lineRule="auto"/>
    </w:pPr>
    <w:tblPr>
      <w:tblStyleRowBandSize w:val="1"/>
      <w:tblStyleColBandSize w:val="1"/>
      <w:tblCellMar>
        <w:left w:w="108" w:type="dxa"/>
        <w:right w:w="108" w:type="dxa"/>
      </w:tblCellMar>
    </w:tblPr>
  </w:style>
  <w:style w:type="character" w:styleId="Strong">
    <w:name w:val="Strong"/>
    <w:basedOn w:val="DefaultParagraphFont"/>
    <w:uiPriority w:val="22"/>
    <w:qFormat/>
    <w:rsid w:val="006A5E1F"/>
    <w:rPr>
      <w:b/>
      <w:bCs/>
    </w:rPr>
  </w:style>
  <w:style w:type="paragraph" w:styleId="FootnoteText">
    <w:name w:val="footnote text"/>
    <w:basedOn w:val="Normal"/>
    <w:link w:val="FootnoteTextChar"/>
    <w:uiPriority w:val="99"/>
    <w:semiHidden/>
    <w:unhideWhenUsed/>
    <w:rsid w:val="00276C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76CC8"/>
    <w:rPr>
      <w:sz w:val="20"/>
      <w:szCs w:val="20"/>
    </w:rPr>
  </w:style>
  <w:style w:type="character" w:styleId="FootnoteReference">
    <w:name w:val="footnote reference"/>
    <w:basedOn w:val="DefaultParagraphFont"/>
    <w:uiPriority w:val="99"/>
    <w:semiHidden/>
    <w:unhideWhenUsed/>
    <w:rsid w:val="00276CC8"/>
    <w:rPr>
      <w:vertAlign w:val="superscript"/>
    </w:rPr>
  </w:style>
  <w:style w:type="paragraph" w:styleId="Revision">
    <w:name w:val="Revision"/>
    <w:hidden/>
    <w:uiPriority w:val="99"/>
    <w:semiHidden/>
    <w:rsid w:val="001D3832"/>
    <w:pPr>
      <w:spacing w:after="0" w:line="240" w:lineRule="auto"/>
    </w:pPr>
  </w:style>
  <w:style w:type="paragraph" w:styleId="NoSpacing">
    <w:name w:val="No Spacing"/>
    <w:link w:val="NoSpacingChar"/>
    <w:uiPriority w:val="1"/>
    <w:qFormat/>
    <w:rsid w:val="0086134F"/>
    <w:pPr>
      <w:spacing w:after="0" w:line="240" w:lineRule="auto"/>
    </w:pPr>
    <w:rPr>
      <w:rFonts w:asciiTheme="minorHAnsi" w:eastAsiaTheme="minorEastAsia" w:hAnsiTheme="minorHAnsi" w:cstheme="minorBidi"/>
      <w:lang w:val="es-PE"/>
    </w:rPr>
  </w:style>
  <w:style w:type="character" w:customStyle="1" w:styleId="NoSpacingChar">
    <w:name w:val="No Spacing Char"/>
    <w:basedOn w:val="DefaultParagraphFont"/>
    <w:link w:val="NoSpacing"/>
    <w:uiPriority w:val="1"/>
    <w:rsid w:val="0086134F"/>
    <w:rPr>
      <w:rFonts w:asciiTheme="minorHAnsi" w:eastAsiaTheme="minorEastAsia" w:hAnsiTheme="minorHAnsi" w:cstheme="minorBidi"/>
      <w:lang w:val="es-PE"/>
    </w:rPr>
  </w:style>
  <w:style w:type="paragraph" w:styleId="BalloonText">
    <w:name w:val="Balloon Text"/>
    <w:basedOn w:val="Normal"/>
    <w:link w:val="BalloonTextChar"/>
    <w:uiPriority w:val="99"/>
    <w:semiHidden/>
    <w:unhideWhenUsed/>
    <w:rsid w:val="00F962B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62B6"/>
    <w:rPr>
      <w:rFonts w:ascii="Segoe UI" w:hAnsi="Segoe UI" w:cs="Segoe UI"/>
      <w:sz w:val="18"/>
      <w:szCs w:val="18"/>
    </w:rPr>
  </w:style>
  <w:style w:type="paragraph" w:styleId="Caption">
    <w:name w:val="caption"/>
    <w:basedOn w:val="Normal"/>
    <w:next w:val="Normal"/>
    <w:uiPriority w:val="35"/>
    <w:unhideWhenUsed/>
    <w:qFormat/>
    <w:rsid w:val="00147381"/>
    <w:pPr>
      <w:spacing w:after="200" w:line="240" w:lineRule="auto"/>
    </w:pPr>
    <w:rPr>
      <w:i/>
      <w:iCs/>
      <w:color w:val="44546A" w:themeColor="text2"/>
      <w:sz w:val="18"/>
      <w:szCs w:val="18"/>
    </w:rPr>
  </w:style>
  <w:style w:type="paragraph" w:customStyle="1" w:styleId="ESTILOTABLA">
    <w:name w:val="ESTILO TABLA"/>
    <w:basedOn w:val="Normal"/>
    <w:link w:val="ESTILOTABLACar"/>
    <w:qFormat/>
    <w:rsid w:val="00E1300E"/>
    <w:pPr>
      <w:spacing w:after="0" w:line="240" w:lineRule="auto"/>
      <w:jc w:val="center"/>
    </w:pPr>
    <w:rPr>
      <w:rFonts w:ascii="Open Sans Light" w:hAnsi="Open Sans Light" w:cs="Open Sans Light"/>
      <w:i/>
      <w:sz w:val="24"/>
    </w:rPr>
  </w:style>
  <w:style w:type="character" w:customStyle="1" w:styleId="ESTILOTABLACar">
    <w:name w:val="ESTILO TABLA Car"/>
    <w:basedOn w:val="DefaultParagraphFont"/>
    <w:link w:val="ESTILOTABLA"/>
    <w:rsid w:val="00E1300E"/>
    <w:rPr>
      <w:rFonts w:ascii="Open Sans Light" w:hAnsi="Open Sans Light" w:cs="Open Sans Light"/>
      <w: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219731">
      <w:bodyDiv w:val="1"/>
      <w:marLeft w:val="0"/>
      <w:marRight w:val="0"/>
      <w:marTop w:val="0"/>
      <w:marBottom w:val="0"/>
      <w:divBdr>
        <w:top w:val="none" w:sz="0" w:space="0" w:color="auto"/>
        <w:left w:val="none" w:sz="0" w:space="0" w:color="auto"/>
        <w:bottom w:val="none" w:sz="0" w:space="0" w:color="auto"/>
        <w:right w:val="none" w:sz="0" w:space="0" w:color="auto"/>
      </w:divBdr>
    </w:div>
    <w:div w:id="69272294">
      <w:bodyDiv w:val="1"/>
      <w:marLeft w:val="0"/>
      <w:marRight w:val="0"/>
      <w:marTop w:val="0"/>
      <w:marBottom w:val="0"/>
      <w:divBdr>
        <w:top w:val="none" w:sz="0" w:space="0" w:color="auto"/>
        <w:left w:val="none" w:sz="0" w:space="0" w:color="auto"/>
        <w:bottom w:val="none" w:sz="0" w:space="0" w:color="auto"/>
        <w:right w:val="none" w:sz="0" w:space="0" w:color="auto"/>
      </w:divBdr>
    </w:div>
    <w:div w:id="84037256">
      <w:bodyDiv w:val="1"/>
      <w:marLeft w:val="0"/>
      <w:marRight w:val="0"/>
      <w:marTop w:val="0"/>
      <w:marBottom w:val="0"/>
      <w:divBdr>
        <w:top w:val="none" w:sz="0" w:space="0" w:color="auto"/>
        <w:left w:val="none" w:sz="0" w:space="0" w:color="auto"/>
        <w:bottom w:val="none" w:sz="0" w:space="0" w:color="auto"/>
        <w:right w:val="none" w:sz="0" w:space="0" w:color="auto"/>
      </w:divBdr>
    </w:div>
    <w:div w:id="121120591">
      <w:bodyDiv w:val="1"/>
      <w:marLeft w:val="0"/>
      <w:marRight w:val="0"/>
      <w:marTop w:val="0"/>
      <w:marBottom w:val="0"/>
      <w:divBdr>
        <w:top w:val="none" w:sz="0" w:space="0" w:color="auto"/>
        <w:left w:val="none" w:sz="0" w:space="0" w:color="auto"/>
        <w:bottom w:val="none" w:sz="0" w:space="0" w:color="auto"/>
        <w:right w:val="none" w:sz="0" w:space="0" w:color="auto"/>
      </w:divBdr>
    </w:div>
    <w:div w:id="137847321">
      <w:bodyDiv w:val="1"/>
      <w:marLeft w:val="0"/>
      <w:marRight w:val="0"/>
      <w:marTop w:val="0"/>
      <w:marBottom w:val="0"/>
      <w:divBdr>
        <w:top w:val="none" w:sz="0" w:space="0" w:color="auto"/>
        <w:left w:val="none" w:sz="0" w:space="0" w:color="auto"/>
        <w:bottom w:val="none" w:sz="0" w:space="0" w:color="auto"/>
        <w:right w:val="none" w:sz="0" w:space="0" w:color="auto"/>
      </w:divBdr>
    </w:div>
    <w:div w:id="141049483">
      <w:bodyDiv w:val="1"/>
      <w:marLeft w:val="0"/>
      <w:marRight w:val="0"/>
      <w:marTop w:val="0"/>
      <w:marBottom w:val="0"/>
      <w:divBdr>
        <w:top w:val="none" w:sz="0" w:space="0" w:color="auto"/>
        <w:left w:val="none" w:sz="0" w:space="0" w:color="auto"/>
        <w:bottom w:val="none" w:sz="0" w:space="0" w:color="auto"/>
        <w:right w:val="none" w:sz="0" w:space="0" w:color="auto"/>
      </w:divBdr>
    </w:div>
    <w:div w:id="196351777">
      <w:bodyDiv w:val="1"/>
      <w:marLeft w:val="0"/>
      <w:marRight w:val="0"/>
      <w:marTop w:val="0"/>
      <w:marBottom w:val="0"/>
      <w:divBdr>
        <w:top w:val="none" w:sz="0" w:space="0" w:color="auto"/>
        <w:left w:val="none" w:sz="0" w:space="0" w:color="auto"/>
        <w:bottom w:val="none" w:sz="0" w:space="0" w:color="auto"/>
        <w:right w:val="none" w:sz="0" w:space="0" w:color="auto"/>
      </w:divBdr>
    </w:div>
    <w:div w:id="237178455">
      <w:bodyDiv w:val="1"/>
      <w:marLeft w:val="0"/>
      <w:marRight w:val="0"/>
      <w:marTop w:val="0"/>
      <w:marBottom w:val="0"/>
      <w:divBdr>
        <w:top w:val="none" w:sz="0" w:space="0" w:color="auto"/>
        <w:left w:val="none" w:sz="0" w:space="0" w:color="auto"/>
        <w:bottom w:val="none" w:sz="0" w:space="0" w:color="auto"/>
        <w:right w:val="none" w:sz="0" w:space="0" w:color="auto"/>
      </w:divBdr>
    </w:div>
    <w:div w:id="252712187">
      <w:bodyDiv w:val="1"/>
      <w:marLeft w:val="0"/>
      <w:marRight w:val="0"/>
      <w:marTop w:val="0"/>
      <w:marBottom w:val="0"/>
      <w:divBdr>
        <w:top w:val="none" w:sz="0" w:space="0" w:color="auto"/>
        <w:left w:val="none" w:sz="0" w:space="0" w:color="auto"/>
        <w:bottom w:val="none" w:sz="0" w:space="0" w:color="auto"/>
        <w:right w:val="none" w:sz="0" w:space="0" w:color="auto"/>
      </w:divBdr>
    </w:div>
    <w:div w:id="280841306">
      <w:bodyDiv w:val="1"/>
      <w:marLeft w:val="0"/>
      <w:marRight w:val="0"/>
      <w:marTop w:val="0"/>
      <w:marBottom w:val="0"/>
      <w:divBdr>
        <w:top w:val="none" w:sz="0" w:space="0" w:color="auto"/>
        <w:left w:val="none" w:sz="0" w:space="0" w:color="auto"/>
        <w:bottom w:val="none" w:sz="0" w:space="0" w:color="auto"/>
        <w:right w:val="none" w:sz="0" w:space="0" w:color="auto"/>
      </w:divBdr>
    </w:div>
    <w:div w:id="321663309">
      <w:bodyDiv w:val="1"/>
      <w:marLeft w:val="0"/>
      <w:marRight w:val="0"/>
      <w:marTop w:val="0"/>
      <w:marBottom w:val="0"/>
      <w:divBdr>
        <w:top w:val="none" w:sz="0" w:space="0" w:color="auto"/>
        <w:left w:val="none" w:sz="0" w:space="0" w:color="auto"/>
        <w:bottom w:val="none" w:sz="0" w:space="0" w:color="auto"/>
        <w:right w:val="none" w:sz="0" w:space="0" w:color="auto"/>
      </w:divBdr>
    </w:div>
    <w:div w:id="357464094">
      <w:bodyDiv w:val="1"/>
      <w:marLeft w:val="0"/>
      <w:marRight w:val="0"/>
      <w:marTop w:val="0"/>
      <w:marBottom w:val="0"/>
      <w:divBdr>
        <w:top w:val="none" w:sz="0" w:space="0" w:color="auto"/>
        <w:left w:val="none" w:sz="0" w:space="0" w:color="auto"/>
        <w:bottom w:val="none" w:sz="0" w:space="0" w:color="auto"/>
        <w:right w:val="none" w:sz="0" w:space="0" w:color="auto"/>
      </w:divBdr>
    </w:div>
    <w:div w:id="400492271">
      <w:bodyDiv w:val="1"/>
      <w:marLeft w:val="0"/>
      <w:marRight w:val="0"/>
      <w:marTop w:val="0"/>
      <w:marBottom w:val="0"/>
      <w:divBdr>
        <w:top w:val="none" w:sz="0" w:space="0" w:color="auto"/>
        <w:left w:val="none" w:sz="0" w:space="0" w:color="auto"/>
        <w:bottom w:val="none" w:sz="0" w:space="0" w:color="auto"/>
        <w:right w:val="none" w:sz="0" w:space="0" w:color="auto"/>
      </w:divBdr>
    </w:div>
    <w:div w:id="401682854">
      <w:bodyDiv w:val="1"/>
      <w:marLeft w:val="0"/>
      <w:marRight w:val="0"/>
      <w:marTop w:val="0"/>
      <w:marBottom w:val="0"/>
      <w:divBdr>
        <w:top w:val="none" w:sz="0" w:space="0" w:color="auto"/>
        <w:left w:val="none" w:sz="0" w:space="0" w:color="auto"/>
        <w:bottom w:val="none" w:sz="0" w:space="0" w:color="auto"/>
        <w:right w:val="none" w:sz="0" w:space="0" w:color="auto"/>
      </w:divBdr>
    </w:div>
    <w:div w:id="411632500">
      <w:bodyDiv w:val="1"/>
      <w:marLeft w:val="0"/>
      <w:marRight w:val="0"/>
      <w:marTop w:val="0"/>
      <w:marBottom w:val="0"/>
      <w:divBdr>
        <w:top w:val="none" w:sz="0" w:space="0" w:color="auto"/>
        <w:left w:val="none" w:sz="0" w:space="0" w:color="auto"/>
        <w:bottom w:val="none" w:sz="0" w:space="0" w:color="auto"/>
        <w:right w:val="none" w:sz="0" w:space="0" w:color="auto"/>
      </w:divBdr>
    </w:div>
    <w:div w:id="423962778">
      <w:bodyDiv w:val="1"/>
      <w:marLeft w:val="0"/>
      <w:marRight w:val="0"/>
      <w:marTop w:val="0"/>
      <w:marBottom w:val="0"/>
      <w:divBdr>
        <w:top w:val="none" w:sz="0" w:space="0" w:color="auto"/>
        <w:left w:val="none" w:sz="0" w:space="0" w:color="auto"/>
        <w:bottom w:val="none" w:sz="0" w:space="0" w:color="auto"/>
        <w:right w:val="none" w:sz="0" w:space="0" w:color="auto"/>
      </w:divBdr>
    </w:div>
    <w:div w:id="431317042">
      <w:bodyDiv w:val="1"/>
      <w:marLeft w:val="0"/>
      <w:marRight w:val="0"/>
      <w:marTop w:val="0"/>
      <w:marBottom w:val="0"/>
      <w:divBdr>
        <w:top w:val="none" w:sz="0" w:space="0" w:color="auto"/>
        <w:left w:val="none" w:sz="0" w:space="0" w:color="auto"/>
        <w:bottom w:val="none" w:sz="0" w:space="0" w:color="auto"/>
        <w:right w:val="none" w:sz="0" w:space="0" w:color="auto"/>
      </w:divBdr>
    </w:div>
    <w:div w:id="470901672">
      <w:bodyDiv w:val="1"/>
      <w:marLeft w:val="0"/>
      <w:marRight w:val="0"/>
      <w:marTop w:val="0"/>
      <w:marBottom w:val="0"/>
      <w:divBdr>
        <w:top w:val="none" w:sz="0" w:space="0" w:color="auto"/>
        <w:left w:val="none" w:sz="0" w:space="0" w:color="auto"/>
        <w:bottom w:val="none" w:sz="0" w:space="0" w:color="auto"/>
        <w:right w:val="none" w:sz="0" w:space="0" w:color="auto"/>
      </w:divBdr>
    </w:div>
    <w:div w:id="609975360">
      <w:bodyDiv w:val="1"/>
      <w:marLeft w:val="0"/>
      <w:marRight w:val="0"/>
      <w:marTop w:val="0"/>
      <w:marBottom w:val="0"/>
      <w:divBdr>
        <w:top w:val="none" w:sz="0" w:space="0" w:color="auto"/>
        <w:left w:val="none" w:sz="0" w:space="0" w:color="auto"/>
        <w:bottom w:val="none" w:sz="0" w:space="0" w:color="auto"/>
        <w:right w:val="none" w:sz="0" w:space="0" w:color="auto"/>
      </w:divBdr>
    </w:div>
    <w:div w:id="650987892">
      <w:bodyDiv w:val="1"/>
      <w:marLeft w:val="0"/>
      <w:marRight w:val="0"/>
      <w:marTop w:val="0"/>
      <w:marBottom w:val="0"/>
      <w:divBdr>
        <w:top w:val="none" w:sz="0" w:space="0" w:color="auto"/>
        <w:left w:val="none" w:sz="0" w:space="0" w:color="auto"/>
        <w:bottom w:val="none" w:sz="0" w:space="0" w:color="auto"/>
        <w:right w:val="none" w:sz="0" w:space="0" w:color="auto"/>
      </w:divBdr>
    </w:div>
    <w:div w:id="657610032">
      <w:bodyDiv w:val="1"/>
      <w:marLeft w:val="0"/>
      <w:marRight w:val="0"/>
      <w:marTop w:val="0"/>
      <w:marBottom w:val="0"/>
      <w:divBdr>
        <w:top w:val="none" w:sz="0" w:space="0" w:color="auto"/>
        <w:left w:val="none" w:sz="0" w:space="0" w:color="auto"/>
        <w:bottom w:val="none" w:sz="0" w:space="0" w:color="auto"/>
        <w:right w:val="none" w:sz="0" w:space="0" w:color="auto"/>
      </w:divBdr>
    </w:div>
    <w:div w:id="701243458">
      <w:bodyDiv w:val="1"/>
      <w:marLeft w:val="0"/>
      <w:marRight w:val="0"/>
      <w:marTop w:val="0"/>
      <w:marBottom w:val="0"/>
      <w:divBdr>
        <w:top w:val="none" w:sz="0" w:space="0" w:color="auto"/>
        <w:left w:val="none" w:sz="0" w:space="0" w:color="auto"/>
        <w:bottom w:val="none" w:sz="0" w:space="0" w:color="auto"/>
        <w:right w:val="none" w:sz="0" w:space="0" w:color="auto"/>
      </w:divBdr>
    </w:div>
    <w:div w:id="706491902">
      <w:bodyDiv w:val="1"/>
      <w:marLeft w:val="0"/>
      <w:marRight w:val="0"/>
      <w:marTop w:val="0"/>
      <w:marBottom w:val="0"/>
      <w:divBdr>
        <w:top w:val="none" w:sz="0" w:space="0" w:color="auto"/>
        <w:left w:val="none" w:sz="0" w:space="0" w:color="auto"/>
        <w:bottom w:val="none" w:sz="0" w:space="0" w:color="auto"/>
        <w:right w:val="none" w:sz="0" w:space="0" w:color="auto"/>
      </w:divBdr>
    </w:div>
    <w:div w:id="798955724">
      <w:bodyDiv w:val="1"/>
      <w:marLeft w:val="0"/>
      <w:marRight w:val="0"/>
      <w:marTop w:val="0"/>
      <w:marBottom w:val="0"/>
      <w:divBdr>
        <w:top w:val="none" w:sz="0" w:space="0" w:color="auto"/>
        <w:left w:val="none" w:sz="0" w:space="0" w:color="auto"/>
        <w:bottom w:val="none" w:sz="0" w:space="0" w:color="auto"/>
        <w:right w:val="none" w:sz="0" w:space="0" w:color="auto"/>
      </w:divBdr>
    </w:div>
    <w:div w:id="802625074">
      <w:bodyDiv w:val="1"/>
      <w:marLeft w:val="0"/>
      <w:marRight w:val="0"/>
      <w:marTop w:val="0"/>
      <w:marBottom w:val="0"/>
      <w:divBdr>
        <w:top w:val="none" w:sz="0" w:space="0" w:color="auto"/>
        <w:left w:val="none" w:sz="0" w:space="0" w:color="auto"/>
        <w:bottom w:val="none" w:sz="0" w:space="0" w:color="auto"/>
        <w:right w:val="none" w:sz="0" w:space="0" w:color="auto"/>
      </w:divBdr>
    </w:div>
    <w:div w:id="828254095">
      <w:bodyDiv w:val="1"/>
      <w:marLeft w:val="0"/>
      <w:marRight w:val="0"/>
      <w:marTop w:val="0"/>
      <w:marBottom w:val="0"/>
      <w:divBdr>
        <w:top w:val="none" w:sz="0" w:space="0" w:color="auto"/>
        <w:left w:val="none" w:sz="0" w:space="0" w:color="auto"/>
        <w:bottom w:val="none" w:sz="0" w:space="0" w:color="auto"/>
        <w:right w:val="none" w:sz="0" w:space="0" w:color="auto"/>
      </w:divBdr>
    </w:div>
    <w:div w:id="834612891">
      <w:bodyDiv w:val="1"/>
      <w:marLeft w:val="0"/>
      <w:marRight w:val="0"/>
      <w:marTop w:val="0"/>
      <w:marBottom w:val="0"/>
      <w:divBdr>
        <w:top w:val="none" w:sz="0" w:space="0" w:color="auto"/>
        <w:left w:val="none" w:sz="0" w:space="0" w:color="auto"/>
        <w:bottom w:val="none" w:sz="0" w:space="0" w:color="auto"/>
        <w:right w:val="none" w:sz="0" w:space="0" w:color="auto"/>
      </w:divBdr>
    </w:div>
    <w:div w:id="882978755">
      <w:bodyDiv w:val="1"/>
      <w:marLeft w:val="0"/>
      <w:marRight w:val="0"/>
      <w:marTop w:val="0"/>
      <w:marBottom w:val="0"/>
      <w:divBdr>
        <w:top w:val="none" w:sz="0" w:space="0" w:color="auto"/>
        <w:left w:val="none" w:sz="0" w:space="0" w:color="auto"/>
        <w:bottom w:val="none" w:sz="0" w:space="0" w:color="auto"/>
        <w:right w:val="none" w:sz="0" w:space="0" w:color="auto"/>
      </w:divBdr>
    </w:div>
    <w:div w:id="905800583">
      <w:bodyDiv w:val="1"/>
      <w:marLeft w:val="0"/>
      <w:marRight w:val="0"/>
      <w:marTop w:val="0"/>
      <w:marBottom w:val="0"/>
      <w:divBdr>
        <w:top w:val="none" w:sz="0" w:space="0" w:color="auto"/>
        <w:left w:val="none" w:sz="0" w:space="0" w:color="auto"/>
        <w:bottom w:val="none" w:sz="0" w:space="0" w:color="auto"/>
        <w:right w:val="none" w:sz="0" w:space="0" w:color="auto"/>
      </w:divBdr>
    </w:div>
    <w:div w:id="918514694">
      <w:bodyDiv w:val="1"/>
      <w:marLeft w:val="0"/>
      <w:marRight w:val="0"/>
      <w:marTop w:val="0"/>
      <w:marBottom w:val="0"/>
      <w:divBdr>
        <w:top w:val="none" w:sz="0" w:space="0" w:color="auto"/>
        <w:left w:val="none" w:sz="0" w:space="0" w:color="auto"/>
        <w:bottom w:val="none" w:sz="0" w:space="0" w:color="auto"/>
        <w:right w:val="none" w:sz="0" w:space="0" w:color="auto"/>
      </w:divBdr>
    </w:div>
    <w:div w:id="940839868">
      <w:bodyDiv w:val="1"/>
      <w:marLeft w:val="0"/>
      <w:marRight w:val="0"/>
      <w:marTop w:val="0"/>
      <w:marBottom w:val="0"/>
      <w:divBdr>
        <w:top w:val="none" w:sz="0" w:space="0" w:color="auto"/>
        <w:left w:val="none" w:sz="0" w:space="0" w:color="auto"/>
        <w:bottom w:val="none" w:sz="0" w:space="0" w:color="auto"/>
        <w:right w:val="none" w:sz="0" w:space="0" w:color="auto"/>
      </w:divBdr>
    </w:div>
    <w:div w:id="965232303">
      <w:bodyDiv w:val="1"/>
      <w:marLeft w:val="0"/>
      <w:marRight w:val="0"/>
      <w:marTop w:val="0"/>
      <w:marBottom w:val="0"/>
      <w:divBdr>
        <w:top w:val="none" w:sz="0" w:space="0" w:color="auto"/>
        <w:left w:val="none" w:sz="0" w:space="0" w:color="auto"/>
        <w:bottom w:val="none" w:sz="0" w:space="0" w:color="auto"/>
        <w:right w:val="none" w:sz="0" w:space="0" w:color="auto"/>
      </w:divBdr>
    </w:div>
    <w:div w:id="998384277">
      <w:bodyDiv w:val="1"/>
      <w:marLeft w:val="0"/>
      <w:marRight w:val="0"/>
      <w:marTop w:val="0"/>
      <w:marBottom w:val="0"/>
      <w:divBdr>
        <w:top w:val="none" w:sz="0" w:space="0" w:color="auto"/>
        <w:left w:val="none" w:sz="0" w:space="0" w:color="auto"/>
        <w:bottom w:val="none" w:sz="0" w:space="0" w:color="auto"/>
        <w:right w:val="none" w:sz="0" w:space="0" w:color="auto"/>
      </w:divBdr>
    </w:div>
    <w:div w:id="1011109641">
      <w:bodyDiv w:val="1"/>
      <w:marLeft w:val="0"/>
      <w:marRight w:val="0"/>
      <w:marTop w:val="0"/>
      <w:marBottom w:val="0"/>
      <w:divBdr>
        <w:top w:val="none" w:sz="0" w:space="0" w:color="auto"/>
        <w:left w:val="none" w:sz="0" w:space="0" w:color="auto"/>
        <w:bottom w:val="none" w:sz="0" w:space="0" w:color="auto"/>
        <w:right w:val="none" w:sz="0" w:space="0" w:color="auto"/>
      </w:divBdr>
    </w:div>
    <w:div w:id="1018584288">
      <w:bodyDiv w:val="1"/>
      <w:marLeft w:val="0"/>
      <w:marRight w:val="0"/>
      <w:marTop w:val="0"/>
      <w:marBottom w:val="0"/>
      <w:divBdr>
        <w:top w:val="none" w:sz="0" w:space="0" w:color="auto"/>
        <w:left w:val="none" w:sz="0" w:space="0" w:color="auto"/>
        <w:bottom w:val="none" w:sz="0" w:space="0" w:color="auto"/>
        <w:right w:val="none" w:sz="0" w:space="0" w:color="auto"/>
      </w:divBdr>
    </w:div>
    <w:div w:id="1041587897">
      <w:bodyDiv w:val="1"/>
      <w:marLeft w:val="0"/>
      <w:marRight w:val="0"/>
      <w:marTop w:val="0"/>
      <w:marBottom w:val="0"/>
      <w:divBdr>
        <w:top w:val="none" w:sz="0" w:space="0" w:color="auto"/>
        <w:left w:val="none" w:sz="0" w:space="0" w:color="auto"/>
        <w:bottom w:val="none" w:sz="0" w:space="0" w:color="auto"/>
        <w:right w:val="none" w:sz="0" w:space="0" w:color="auto"/>
      </w:divBdr>
    </w:div>
    <w:div w:id="1057825830">
      <w:bodyDiv w:val="1"/>
      <w:marLeft w:val="0"/>
      <w:marRight w:val="0"/>
      <w:marTop w:val="0"/>
      <w:marBottom w:val="0"/>
      <w:divBdr>
        <w:top w:val="none" w:sz="0" w:space="0" w:color="auto"/>
        <w:left w:val="none" w:sz="0" w:space="0" w:color="auto"/>
        <w:bottom w:val="none" w:sz="0" w:space="0" w:color="auto"/>
        <w:right w:val="none" w:sz="0" w:space="0" w:color="auto"/>
      </w:divBdr>
    </w:div>
    <w:div w:id="1070421156">
      <w:bodyDiv w:val="1"/>
      <w:marLeft w:val="0"/>
      <w:marRight w:val="0"/>
      <w:marTop w:val="0"/>
      <w:marBottom w:val="0"/>
      <w:divBdr>
        <w:top w:val="none" w:sz="0" w:space="0" w:color="auto"/>
        <w:left w:val="none" w:sz="0" w:space="0" w:color="auto"/>
        <w:bottom w:val="none" w:sz="0" w:space="0" w:color="auto"/>
        <w:right w:val="none" w:sz="0" w:space="0" w:color="auto"/>
      </w:divBdr>
    </w:div>
    <w:div w:id="1073315746">
      <w:bodyDiv w:val="1"/>
      <w:marLeft w:val="0"/>
      <w:marRight w:val="0"/>
      <w:marTop w:val="0"/>
      <w:marBottom w:val="0"/>
      <w:divBdr>
        <w:top w:val="none" w:sz="0" w:space="0" w:color="auto"/>
        <w:left w:val="none" w:sz="0" w:space="0" w:color="auto"/>
        <w:bottom w:val="none" w:sz="0" w:space="0" w:color="auto"/>
        <w:right w:val="none" w:sz="0" w:space="0" w:color="auto"/>
      </w:divBdr>
    </w:div>
    <w:div w:id="1077559480">
      <w:bodyDiv w:val="1"/>
      <w:marLeft w:val="0"/>
      <w:marRight w:val="0"/>
      <w:marTop w:val="0"/>
      <w:marBottom w:val="0"/>
      <w:divBdr>
        <w:top w:val="none" w:sz="0" w:space="0" w:color="auto"/>
        <w:left w:val="none" w:sz="0" w:space="0" w:color="auto"/>
        <w:bottom w:val="none" w:sz="0" w:space="0" w:color="auto"/>
        <w:right w:val="none" w:sz="0" w:space="0" w:color="auto"/>
      </w:divBdr>
    </w:div>
    <w:div w:id="1085566966">
      <w:bodyDiv w:val="1"/>
      <w:marLeft w:val="0"/>
      <w:marRight w:val="0"/>
      <w:marTop w:val="0"/>
      <w:marBottom w:val="0"/>
      <w:divBdr>
        <w:top w:val="none" w:sz="0" w:space="0" w:color="auto"/>
        <w:left w:val="none" w:sz="0" w:space="0" w:color="auto"/>
        <w:bottom w:val="none" w:sz="0" w:space="0" w:color="auto"/>
        <w:right w:val="none" w:sz="0" w:space="0" w:color="auto"/>
      </w:divBdr>
    </w:div>
    <w:div w:id="1098981807">
      <w:bodyDiv w:val="1"/>
      <w:marLeft w:val="0"/>
      <w:marRight w:val="0"/>
      <w:marTop w:val="0"/>
      <w:marBottom w:val="0"/>
      <w:divBdr>
        <w:top w:val="none" w:sz="0" w:space="0" w:color="auto"/>
        <w:left w:val="none" w:sz="0" w:space="0" w:color="auto"/>
        <w:bottom w:val="none" w:sz="0" w:space="0" w:color="auto"/>
        <w:right w:val="none" w:sz="0" w:space="0" w:color="auto"/>
      </w:divBdr>
    </w:div>
    <w:div w:id="1107702213">
      <w:bodyDiv w:val="1"/>
      <w:marLeft w:val="0"/>
      <w:marRight w:val="0"/>
      <w:marTop w:val="0"/>
      <w:marBottom w:val="0"/>
      <w:divBdr>
        <w:top w:val="none" w:sz="0" w:space="0" w:color="auto"/>
        <w:left w:val="none" w:sz="0" w:space="0" w:color="auto"/>
        <w:bottom w:val="none" w:sz="0" w:space="0" w:color="auto"/>
        <w:right w:val="none" w:sz="0" w:space="0" w:color="auto"/>
      </w:divBdr>
    </w:div>
    <w:div w:id="1230651362">
      <w:bodyDiv w:val="1"/>
      <w:marLeft w:val="0"/>
      <w:marRight w:val="0"/>
      <w:marTop w:val="0"/>
      <w:marBottom w:val="0"/>
      <w:divBdr>
        <w:top w:val="none" w:sz="0" w:space="0" w:color="auto"/>
        <w:left w:val="none" w:sz="0" w:space="0" w:color="auto"/>
        <w:bottom w:val="none" w:sz="0" w:space="0" w:color="auto"/>
        <w:right w:val="none" w:sz="0" w:space="0" w:color="auto"/>
      </w:divBdr>
    </w:div>
    <w:div w:id="1232882816">
      <w:bodyDiv w:val="1"/>
      <w:marLeft w:val="0"/>
      <w:marRight w:val="0"/>
      <w:marTop w:val="0"/>
      <w:marBottom w:val="0"/>
      <w:divBdr>
        <w:top w:val="none" w:sz="0" w:space="0" w:color="auto"/>
        <w:left w:val="none" w:sz="0" w:space="0" w:color="auto"/>
        <w:bottom w:val="none" w:sz="0" w:space="0" w:color="auto"/>
        <w:right w:val="none" w:sz="0" w:space="0" w:color="auto"/>
      </w:divBdr>
    </w:div>
    <w:div w:id="1274626808">
      <w:bodyDiv w:val="1"/>
      <w:marLeft w:val="0"/>
      <w:marRight w:val="0"/>
      <w:marTop w:val="0"/>
      <w:marBottom w:val="0"/>
      <w:divBdr>
        <w:top w:val="none" w:sz="0" w:space="0" w:color="auto"/>
        <w:left w:val="none" w:sz="0" w:space="0" w:color="auto"/>
        <w:bottom w:val="none" w:sz="0" w:space="0" w:color="auto"/>
        <w:right w:val="none" w:sz="0" w:space="0" w:color="auto"/>
      </w:divBdr>
    </w:div>
    <w:div w:id="1331904588">
      <w:bodyDiv w:val="1"/>
      <w:marLeft w:val="0"/>
      <w:marRight w:val="0"/>
      <w:marTop w:val="0"/>
      <w:marBottom w:val="0"/>
      <w:divBdr>
        <w:top w:val="none" w:sz="0" w:space="0" w:color="auto"/>
        <w:left w:val="none" w:sz="0" w:space="0" w:color="auto"/>
        <w:bottom w:val="none" w:sz="0" w:space="0" w:color="auto"/>
        <w:right w:val="none" w:sz="0" w:space="0" w:color="auto"/>
      </w:divBdr>
    </w:div>
    <w:div w:id="1342855026">
      <w:bodyDiv w:val="1"/>
      <w:marLeft w:val="0"/>
      <w:marRight w:val="0"/>
      <w:marTop w:val="0"/>
      <w:marBottom w:val="0"/>
      <w:divBdr>
        <w:top w:val="none" w:sz="0" w:space="0" w:color="auto"/>
        <w:left w:val="none" w:sz="0" w:space="0" w:color="auto"/>
        <w:bottom w:val="none" w:sz="0" w:space="0" w:color="auto"/>
        <w:right w:val="none" w:sz="0" w:space="0" w:color="auto"/>
      </w:divBdr>
    </w:div>
    <w:div w:id="1490445249">
      <w:bodyDiv w:val="1"/>
      <w:marLeft w:val="0"/>
      <w:marRight w:val="0"/>
      <w:marTop w:val="0"/>
      <w:marBottom w:val="0"/>
      <w:divBdr>
        <w:top w:val="none" w:sz="0" w:space="0" w:color="auto"/>
        <w:left w:val="none" w:sz="0" w:space="0" w:color="auto"/>
        <w:bottom w:val="none" w:sz="0" w:space="0" w:color="auto"/>
        <w:right w:val="none" w:sz="0" w:space="0" w:color="auto"/>
      </w:divBdr>
    </w:div>
    <w:div w:id="1509439308">
      <w:bodyDiv w:val="1"/>
      <w:marLeft w:val="0"/>
      <w:marRight w:val="0"/>
      <w:marTop w:val="0"/>
      <w:marBottom w:val="0"/>
      <w:divBdr>
        <w:top w:val="none" w:sz="0" w:space="0" w:color="auto"/>
        <w:left w:val="none" w:sz="0" w:space="0" w:color="auto"/>
        <w:bottom w:val="none" w:sz="0" w:space="0" w:color="auto"/>
        <w:right w:val="none" w:sz="0" w:space="0" w:color="auto"/>
      </w:divBdr>
    </w:div>
    <w:div w:id="1522889969">
      <w:bodyDiv w:val="1"/>
      <w:marLeft w:val="0"/>
      <w:marRight w:val="0"/>
      <w:marTop w:val="0"/>
      <w:marBottom w:val="0"/>
      <w:divBdr>
        <w:top w:val="none" w:sz="0" w:space="0" w:color="auto"/>
        <w:left w:val="none" w:sz="0" w:space="0" w:color="auto"/>
        <w:bottom w:val="none" w:sz="0" w:space="0" w:color="auto"/>
        <w:right w:val="none" w:sz="0" w:space="0" w:color="auto"/>
      </w:divBdr>
    </w:div>
    <w:div w:id="1532719749">
      <w:bodyDiv w:val="1"/>
      <w:marLeft w:val="0"/>
      <w:marRight w:val="0"/>
      <w:marTop w:val="0"/>
      <w:marBottom w:val="0"/>
      <w:divBdr>
        <w:top w:val="none" w:sz="0" w:space="0" w:color="auto"/>
        <w:left w:val="none" w:sz="0" w:space="0" w:color="auto"/>
        <w:bottom w:val="none" w:sz="0" w:space="0" w:color="auto"/>
        <w:right w:val="none" w:sz="0" w:space="0" w:color="auto"/>
      </w:divBdr>
    </w:div>
    <w:div w:id="1624188011">
      <w:bodyDiv w:val="1"/>
      <w:marLeft w:val="0"/>
      <w:marRight w:val="0"/>
      <w:marTop w:val="0"/>
      <w:marBottom w:val="0"/>
      <w:divBdr>
        <w:top w:val="none" w:sz="0" w:space="0" w:color="auto"/>
        <w:left w:val="none" w:sz="0" w:space="0" w:color="auto"/>
        <w:bottom w:val="none" w:sz="0" w:space="0" w:color="auto"/>
        <w:right w:val="none" w:sz="0" w:space="0" w:color="auto"/>
      </w:divBdr>
    </w:div>
    <w:div w:id="1701781113">
      <w:bodyDiv w:val="1"/>
      <w:marLeft w:val="0"/>
      <w:marRight w:val="0"/>
      <w:marTop w:val="0"/>
      <w:marBottom w:val="0"/>
      <w:divBdr>
        <w:top w:val="none" w:sz="0" w:space="0" w:color="auto"/>
        <w:left w:val="none" w:sz="0" w:space="0" w:color="auto"/>
        <w:bottom w:val="none" w:sz="0" w:space="0" w:color="auto"/>
        <w:right w:val="none" w:sz="0" w:space="0" w:color="auto"/>
      </w:divBdr>
    </w:div>
    <w:div w:id="1718967301">
      <w:bodyDiv w:val="1"/>
      <w:marLeft w:val="0"/>
      <w:marRight w:val="0"/>
      <w:marTop w:val="0"/>
      <w:marBottom w:val="0"/>
      <w:divBdr>
        <w:top w:val="none" w:sz="0" w:space="0" w:color="auto"/>
        <w:left w:val="none" w:sz="0" w:space="0" w:color="auto"/>
        <w:bottom w:val="none" w:sz="0" w:space="0" w:color="auto"/>
        <w:right w:val="none" w:sz="0" w:space="0" w:color="auto"/>
      </w:divBdr>
    </w:div>
    <w:div w:id="1727797801">
      <w:bodyDiv w:val="1"/>
      <w:marLeft w:val="0"/>
      <w:marRight w:val="0"/>
      <w:marTop w:val="0"/>
      <w:marBottom w:val="0"/>
      <w:divBdr>
        <w:top w:val="none" w:sz="0" w:space="0" w:color="auto"/>
        <w:left w:val="none" w:sz="0" w:space="0" w:color="auto"/>
        <w:bottom w:val="none" w:sz="0" w:space="0" w:color="auto"/>
        <w:right w:val="none" w:sz="0" w:space="0" w:color="auto"/>
      </w:divBdr>
    </w:div>
    <w:div w:id="1760171623">
      <w:bodyDiv w:val="1"/>
      <w:marLeft w:val="0"/>
      <w:marRight w:val="0"/>
      <w:marTop w:val="0"/>
      <w:marBottom w:val="0"/>
      <w:divBdr>
        <w:top w:val="none" w:sz="0" w:space="0" w:color="auto"/>
        <w:left w:val="none" w:sz="0" w:space="0" w:color="auto"/>
        <w:bottom w:val="none" w:sz="0" w:space="0" w:color="auto"/>
        <w:right w:val="none" w:sz="0" w:space="0" w:color="auto"/>
      </w:divBdr>
    </w:div>
    <w:div w:id="1779056142">
      <w:bodyDiv w:val="1"/>
      <w:marLeft w:val="0"/>
      <w:marRight w:val="0"/>
      <w:marTop w:val="0"/>
      <w:marBottom w:val="0"/>
      <w:divBdr>
        <w:top w:val="none" w:sz="0" w:space="0" w:color="auto"/>
        <w:left w:val="none" w:sz="0" w:space="0" w:color="auto"/>
        <w:bottom w:val="none" w:sz="0" w:space="0" w:color="auto"/>
        <w:right w:val="none" w:sz="0" w:space="0" w:color="auto"/>
      </w:divBdr>
    </w:div>
    <w:div w:id="1927033607">
      <w:bodyDiv w:val="1"/>
      <w:marLeft w:val="0"/>
      <w:marRight w:val="0"/>
      <w:marTop w:val="0"/>
      <w:marBottom w:val="0"/>
      <w:divBdr>
        <w:top w:val="none" w:sz="0" w:space="0" w:color="auto"/>
        <w:left w:val="none" w:sz="0" w:space="0" w:color="auto"/>
        <w:bottom w:val="none" w:sz="0" w:space="0" w:color="auto"/>
        <w:right w:val="none" w:sz="0" w:space="0" w:color="auto"/>
      </w:divBdr>
    </w:div>
    <w:div w:id="1991211505">
      <w:bodyDiv w:val="1"/>
      <w:marLeft w:val="0"/>
      <w:marRight w:val="0"/>
      <w:marTop w:val="0"/>
      <w:marBottom w:val="0"/>
      <w:divBdr>
        <w:top w:val="none" w:sz="0" w:space="0" w:color="auto"/>
        <w:left w:val="none" w:sz="0" w:space="0" w:color="auto"/>
        <w:bottom w:val="none" w:sz="0" w:space="0" w:color="auto"/>
        <w:right w:val="none" w:sz="0" w:space="0" w:color="auto"/>
      </w:divBdr>
    </w:div>
    <w:div w:id="1993832896">
      <w:bodyDiv w:val="1"/>
      <w:marLeft w:val="0"/>
      <w:marRight w:val="0"/>
      <w:marTop w:val="0"/>
      <w:marBottom w:val="0"/>
      <w:divBdr>
        <w:top w:val="none" w:sz="0" w:space="0" w:color="auto"/>
        <w:left w:val="none" w:sz="0" w:space="0" w:color="auto"/>
        <w:bottom w:val="none" w:sz="0" w:space="0" w:color="auto"/>
        <w:right w:val="none" w:sz="0" w:space="0" w:color="auto"/>
      </w:divBdr>
    </w:div>
    <w:div w:id="2062246991">
      <w:bodyDiv w:val="1"/>
      <w:marLeft w:val="0"/>
      <w:marRight w:val="0"/>
      <w:marTop w:val="0"/>
      <w:marBottom w:val="0"/>
      <w:divBdr>
        <w:top w:val="none" w:sz="0" w:space="0" w:color="auto"/>
        <w:left w:val="none" w:sz="0" w:space="0" w:color="auto"/>
        <w:bottom w:val="none" w:sz="0" w:space="0" w:color="auto"/>
        <w:right w:val="none" w:sz="0" w:space="0" w:color="auto"/>
      </w:divBdr>
    </w:div>
    <w:div w:id="2068914898">
      <w:bodyDiv w:val="1"/>
      <w:marLeft w:val="0"/>
      <w:marRight w:val="0"/>
      <w:marTop w:val="0"/>
      <w:marBottom w:val="0"/>
      <w:divBdr>
        <w:top w:val="none" w:sz="0" w:space="0" w:color="auto"/>
        <w:left w:val="none" w:sz="0" w:space="0" w:color="auto"/>
        <w:bottom w:val="none" w:sz="0" w:space="0" w:color="auto"/>
        <w:right w:val="none" w:sz="0" w:space="0" w:color="auto"/>
      </w:divBdr>
    </w:div>
    <w:div w:id="2070568611">
      <w:bodyDiv w:val="1"/>
      <w:marLeft w:val="0"/>
      <w:marRight w:val="0"/>
      <w:marTop w:val="0"/>
      <w:marBottom w:val="0"/>
      <w:divBdr>
        <w:top w:val="none" w:sz="0" w:space="0" w:color="auto"/>
        <w:left w:val="none" w:sz="0" w:space="0" w:color="auto"/>
        <w:bottom w:val="none" w:sz="0" w:space="0" w:color="auto"/>
        <w:right w:val="none" w:sz="0" w:space="0" w:color="auto"/>
      </w:divBdr>
    </w:div>
    <w:div w:id="2119639948">
      <w:bodyDiv w:val="1"/>
      <w:marLeft w:val="0"/>
      <w:marRight w:val="0"/>
      <w:marTop w:val="0"/>
      <w:marBottom w:val="0"/>
      <w:divBdr>
        <w:top w:val="none" w:sz="0" w:space="0" w:color="auto"/>
        <w:left w:val="none" w:sz="0" w:space="0" w:color="auto"/>
        <w:bottom w:val="none" w:sz="0" w:space="0" w:color="auto"/>
        <w:right w:val="none" w:sz="0" w:space="0" w:color="auto"/>
      </w:divBdr>
    </w:div>
    <w:div w:id="2134981545">
      <w:bodyDiv w:val="1"/>
      <w:marLeft w:val="0"/>
      <w:marRight w:val="0"/>
      <w:marTop w:val="0"/>
      <w:marBottom w:val="0"/>
      <w:divBdr>
        <w:top w:val="none" w:sz="0" w:space="0" w:color="auto"/>
        <w:left w:val="none" w:sz="0" w:space="0" w:color="auto"/>
        <w:bottom w:val="none" w:sz="0" w:space="0" w:color="auto"/>
        <w:right w:val="none" w:sz="0" w:space="0" w:color="auto"/>
      </w:divBdr>
    </w:div>
    <w:div w:id="21406870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chart" Target="charts/chart5.xml"/><Relationship Id="rId42" Type="http://schemas.openxmlformats.org/officeDocument/2006/relationships/image" Target="media/image21.emf"/><Relationship Id="rId47" Type="http://schemas.openxmlformats.org/officeDocument/2006/relationships/image" Target="media/image26.emf"/><Relationship Id="rId63" Type="http://schemas.openxmlformats.org/officeDocument/2006/relationships/image" Target="media/image42.png"/><Relationship Id="rId68" Type="http://schemas.openxmlformats.org/officeDocument/2006/relationships/image" Target="media/image47.emf"/><Relationship Id="rId84" Type="http://schemas.openxmlformats.org/officeDocument/2006/relationships/image" Target="media/image63.emf"/><Relationship Id="rId89" Type="http://schemas.openxmlformats.org/officeDocument/2006/relationships/image" Target="media/image68.emf"/><Relationship Id="rId16" Type="http://schemas.openxmlformats.org/officeDocument/2006/relationships/header" Target="header2.xml"/><Relationship Id="rId11" Type="http://schemas.openxmlformats.org/officeDocument/2006/relationships/image" Target="media/image10.png"/><Relationship Id="rId32" Type="http://schemas.openxmlformats.org/officeDocument/2006/relationships/image" Target="media/image11.emf"/><Relationship Id="rId37" Type="http://schemas.openxmlformats.org/officeDocument/2006/relationships/image" Target="media/image16.emf"/><Relationship Id="rId53" Type="http://schemas.openxmlformats.org/officeDocument/2006/relationships/image" Target="media/image32.emf"/><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emf"/><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69.emf"/><Relationship Id="rId95" Type="http://schemas.openxmlformats.org/officeDocument/2006/relationships/image" Target="media/image74.emf"/><Relationship Id="rId22" Type="http://schemas.microsoft.com/office/2014/relationships/chartEx" Target="charts/chartEx1.xml"/><Relationship Id="rId27" Type="http://schemas.openxmlformats.org/officeDocument/2006/relationships/image" Target="media/image7.png"/><Relationship Id="rId43" Type="http://schemas.openxmlformats.org/officeDocument/2006/relationships/image" Target="media/image22.emf"/><Relationship Id="rId48" Type="http://schemas.openxmlformats.org/officeDocument/2006/relationships/image" Target="media/image27.emf"/><Relationship Id="rId64" Type="http://schemas.openxmlformats.org/officeDocument/2006/relationships/image" Target="media/image43.png"/><Relationship Id="rId69" Type="http://schemas.openxmlformats.org/officeDocument/2006/relationships/image" Target="media/image48.emf"/><Relationship Id="rId80" Type="http://schemas.openxmlformats.org/officeDocument/2006/relationships/image" Target="media/image59.png"/><Relationship Id="rId85" Type="http://schemas.openxmlformats.org/officeDocument/2006/relationships/image" Target="media/image64.emf"/><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chart" Target="charts/chart1.xml"/><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5.emf"/><Relationship Id="rId59" Type="http://schemas.openxmlformats.org/officeDocument/2006/relationships/image" Target="media/image38.emf"/><Relationship Id="rId67" Type="http://schemas.openxmlformats.org/officeDocument/2006/relationships/image" Target="media/image46.png"/><Relationship Id="rId103" Type="http://schemas.openxmlformats.org/officeDocument/2006/relationships/theme" Target="theme/theme1.xml"/><Relationship Id="rId20" Type="http://schemas.openxmlformats.org/officeDocument/2006/relationships/chart" Target="charts/chart4.xml"/><Relationship Id="rId41" Type="http://schemas.openxmlformats.org/officeDocument/2006/relationships/image" Target="media/image20.emf"/><Relationship Id="rId54" Type="http://schemas.openxmlformats.org/officeDocument/2006/relationships/image" Target="media/image33.emf"/><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emf"/><Relationship Id="rId83" Type="http://schemas.openxmlformats.org/officeDocument/2006/relationships/image" Target="media/image62.png"/><Relationship Id="rId88" Type="http://schemas.openxmlformats.org/officeDocument/2006/relationships/image" Target="media/image67.emf"/><Relationship Id="rId91" Type="http://schemas.openxmlformats.org/officeDocument/2006/relationships/image" Target="media/image70.emf"/><Relationship Id="rId96" Type="http://schemas.openxmlformats.org/officeDocument/2006/relationships/image" Target="media/image7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8" Type="http://schemas.openxmlformats.org/officeDocument/2006/relationships/image" Target="media/image7.emf"/><Relationship Id="rId36" Type="http://schemas.openxmlformats.org/officeDocument/2006/relationships/image" Target="media/image15.emf"/><Relationship Id="rId49" Type="http://schemas.openxmlformats.org/officeDocument/2006/relationships/image" Target="media/image28.emf"/><Relationship Id="rId57" Type="http://schemas.openxmlformats.org/officeDocument/2006/relationships/image" Target="media/image36.emf"/><Relationship Id="rId10" Type="http://schemas.openxmlformats.org/officeDocument/2006/relationships/image" Target="media/image2.png"/><Relationship Id="rId31" Type="http://schemas.openxmlformats.org/officeDocument/2006/relationships/image" Target="media/image10.emf"/><Relationship Id="rId44" Type="http://schemas.openxmlformats.org/officeDocument/2006/relationships/image" Target="media/image23.em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emf"/><Relationship Id="rId81" Type="http://schemas.openxmlformats.org/officeDocument/2006/relationships/image" Target="media/image60.emf"/><Relationship Id="rId86" Type="http://schemas.openxmlformats.org/officeDocument/2006/relationships/image" Target="media/image65.png"/><Relationship Id="rId94" Type="http://schemas.openxmlformats.org/officeDocument/2006/relationships/image" Target="media/image73.emf"/><Relationship Id="rId99" Type="http://schemas.openxmlformats.org/officeDocument/2006/relationships/image" Target="media/image78.png"/><Relationship Id="rId101" Type="http://schemas.openxmlformats.org/officeDocument/2006/relationships/image" Target="media/image80.emf"/><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chart" Target="charts/chart2.xml"/><Relationship Id="rId39" Type="http://schemas.openxmlformats.org/officeDocument/2006/relationships/image" Target="media/image18.emf"/><Relationship Id="rId34" Type="http://schemas.openxmlformats.org/officeDocument/2006/relationships/image" Target="media/image13.emf"/><Relationship Id="rId50" Type="http://schemas.openxmlformats.org/officeDocument/2006/relationships/image" Target="media/image29.emf"/><Relationship Id="rId55" Type="http://schemas.openxmlformats.org/officeDocument/2006/relationships/image" Target="media/image34.emf"/><Relationship Id="rId76" Type="http://schemas.openxmlformats.org/officeDocument/2006/relationships/image" Target="media/image55.emf"/><Relationship Id="rId97" Type="http://schemas.openxmlformats.org/officeDocument/2006/relationships/image" Target="media/image76.emf"/><Relationship Id="rId7" Type="http://schemas.openxmlformats.org/officeDocument/2006/relationships/footnotes" Target="footnotes.xml"/><Relationship Id="rId71" Type="http://schemas.openxmlformats.org/officeDocument/2006/relationships/image" Target="media/image50.emf"/><Relationship Id="rId92" Type="http://schemas.openxmlformats.org/officeDocument/2006/relationships/image" Target="media/image71.emf"/><Relationship Id="rId2" Type="http://schemas.openxmlformats.org/officeDocument/2006/relationships/customXml" Target="../customXml/item2.xml"/><Relationship Id="rId29" Type="http://schemas.openxmlformats.org/officeDocument/2006/relationships/image" Target="media/image8.emf"/><Relationship Id="rId40" Type="http://schemas.openxmlformats.org/officeDocument/2006/relationships/image" Target="media/image19.emf"/><Relationship Id="rId45" Type="http://schemas.openxmlformats.org/officeDocument/2006/relationships/image" Target="media/image24.emf"/><Relationship Id="rId66" Type="http://schemas.openxmlformats.org/officeDocument/2006/relationships/image" Target="media/image45.png"/><Relationship Id="rId87" Type="http://schemas.openxmlformats.org/officeDocument/2006/relationships/image" Target="media/image66.emf"/><Relationship Id="rId61" Type="http://schemas.openxmlformats.org/officeDocument/2006/relationships/image" Target="media/image40.png"/><Relationship Id="rId82" Type="http://schemas.openxmlformats.org/officeDocument/2006/relationships/image" Target="media/image61.emf"/><Relationship Id="rId19" Type="http://schemas.openxmlformats.org/officeDocument/2006/relationships/chart" Target="charts/chart3.xml"/><Relationship Id="rId14" Type="http://schemas.openxmlformats.org/officeDocument/2006/relationships/footer" Target="footer1.xml"/><Relationship Id="rId30" Type="http://schemas.openxmlformats.org/officeDocument/2006/relationships/image" Target="media/image9.emf"/><Relationship Id="rId35" Type="http://schemas.openxmlformats.org/officeDocument/2006/relationships/image" Target="media/image14.emf"/><Relationship Id="rId56" Type="http://schemas.openxmlformats.org/officeDocument/2006/relationships/image" Target="media/image35.emf"/><Relationship Id="rId77" Type="http://schemas.openxmlformats.org/officeDocument/2006/relationships/image" Target="media/image56.png"/><Relationship Id="rId100" Type="http://schemas.openxmlformats.org/officeDocument/2006/relationships/image" Target="media/image79.emf"/><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image" Target="media/image51.emf"/><Relationship Id="rId93" Type="http://schemas.openxmlformats.org/officeDocument/2006/relationships/image" Target="media/image72.emf"/><Relationship Id="rId98" Type="http://schemas.openxmlformats.org/officeDocument/2006/relationships/image" Target="media/image77.emf"/></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esktop\W-MIMP\Informe%20preliminar\Proyecciones%202021%2029.11.2021%20-%20Evaluaci&#243;n%20PNAI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esktop\W-MIMP\Informe%20preliminar\Proyecciones%202021%2029.11.2021%20-%20Evaluaci&#243;n%20PNAI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P\Desktop\W-MIMP\Informe%20preliminar\Proyecciones%202021%2029.11.2021%20-%20Evaluaci&#243;n%20PNAI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P\Desktop\W-MIMP\Informe%20preliminar\Proyecciones%202021%2029.11.2021%20-%20Evaluaci&#243;n%20PNAI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P\Desktop\W-MIMP\Informe%20preliminar\Proyecciones%202021%2029.11.2021%20-%20Evaluaci&#243;n%20PNAIA.xlsx" TargetMode="External"/><Relationship Id="rId2" Type="http://schemas.microsoft.com/office/2011/relationships/chartColorStyle" Target="colors5.xml"/><Relationship Id="rId1" Type="http://schemas.microsoft.com/office/2011/relationships/chartStyle" Target="style5.xml"/></Relationships>
</file>

<file path=word/charts/_rels/chartEx1.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C:\Users\HP\Desktop\W-MIMP\Informe%20preliminar\Proyecciones%202021%2029.11.2021%20-%20Evaluaci&#243;n%20PNAI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28575" cap="rnd">
              <a:solidFill>
                <a:srgbClr val="FFC000"/>
              </a:solidFill>
              <a:round/>
            </a:ln>
            <a:effectLst/>
          </c:spPr>
          <c:marker>
            <c:symbol val="none"/>
          </c:marker>
          <c:dLbls>
            <c:dLbl>
              <c:idx val="4"/>
              <c:layout>
                <c:manualLayout>
                  <c:x val="1.8386577798207307E-2"/>
                  <c:y val="-3.001500750375187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14A-4E8E-B5D4-38A1387A4D17}"/>
                </c:ext>
              </c:extLst>
            </c:dLbl>
            <c:dLbl>
              <c:idx val="6"/>
              <c:layout>
                <c:manualLayout>
                  <c:x val="1.3789933348655482E-2"/>
                  <c:y val="-3.335000833750208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14A-4E8E-B5D4-38A1387A4D17}"/>
                </c:ext>
              </c:extLst>
            </c:dLbl>
            <c:dLbl>
              <c:idx val="9"/>
              <c:layout>
                <c:manualLayout>
                  <c:x val="3.6773155596414614E-2"/>
                  <c:y val="-1.667500416875104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14A-4E8E-B5D4-38A1387A4D17}"/>
                </c:ext>
              </c:extLst>
            </c:dLbl>
            <c:dLbl>
              <c:idx val="10"/>
              <c:layout>
                <c:manualLayout>
                  <c:x val="1.1491611123879569E-2"/>
                  <c:y val="0"/>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14A-4E8E-B5D4-38A1387A4D17}"/>
                </c:ext>
              </c:extLst>
            </c:dLbl>
            <c:dLbl>
              <c:idx val="11"/>
              <c:layout>
                <c:manualLayout>
                  <c:x val="4.8264766720294186E-2"/>
                  <c:y val="5.002501250625312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14A-4E8E-B5D4-38A1387A4D17}"/>
                </c:ext>
              </c:extLst>
            </c:dLbl>
            <c:dLbl>
              <c:idx val="12"/>
              <c:layout>
                <c:manualLayout>
                  <c:x val="-3.950073926348726E-2"/>
                  <c:y val="6.852402579242364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14A-4E8E-B5D4-38A1387A4D17}"/>
                </c:ext>
              </c:extLst>
            </c:dLbl>
            <c:dLbl>
              <c:idx val="13"/>
              <c:layout>
                <c:manualLayout>
                  <c:x val="-6.8949666743277826E-3"/>
                  <c:y val="-1.000500250125062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14A-4E8E-B5D4-38A1387A4D17}"/>
                </c:ext>
              </c:extLst>
            </c:dLbl>
            <c:dLbl>
              <c:idx val="14"/>
              <c:layout>
                <c:manualLayout>
                  <c:x val="-7.2419590391927316E-2"/>
                  <c:y val="-1.1263111870896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14A-4E8E-B5D4-38A1387A4D17}"/>
                </c:ext>
              </c:extLst>
            </c:dLbl>
            <c:dLbl>
              <c:idx val="16"/>
              <c:layout>
                <c:manualLayout>
                  <c:x val="-6.1625438626652936E-2"/>
                  <c:y val="-3.3506517038046579E-2"/>
                </c:manualLayout>
              </c:layout>
              <c:showLegendKey val="0"/>
              <c:showVal val="1"/>
              <c:showCatName val="1"/>
              <c:showSerName val="0"/>
              <c:showPercent val="0"/>
              <c:showBubbleSize val="0"/>
              <c:extLst>
                <c:ext xmlns:c15="http://schemas.microsoft.com/office/drawing/2012/chart" uri="{CE6537A1-D6FC-4f65-9D91-7224C49458BB}">
                  <c15:layout>
                    <c:manualLayout>
                      <c:w val="0.23615079889318594"/>
                      <c:h val="4.7403229173641939E-2"/>
                    </c:manualLayout>
                  </c15:layout>
                </c:ext>
                <c:ext xmlns:c16="http://schemas.microsoft.com/office/drawing/2014/chart" uri="{C3380CC4-5D6E-409C-BE32-E72D297353CC}">
                  <c16:uniqueId val="{00000008-B14A-4E8E-B5D4-38A1387A4D17}"/>
                </c:ext>
              </c:extLst>
            </c:dLbl>
            <c:dLbl>
              <c:idx val="17"/>
              <c:layout>
                <c:manualLayout>
                  <c:x val="2.244668911335574E-2"/>
                  <c:y val="1.84989429175475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14A-4E8E-B5D4-38A1387A4D17}"/>
                </c:ext>
              </c:extLst>
            </c:dLbl>
            <c:dLbl>
              <c:idx val="20"/>
              <c:layout>
                <c:manualLayout>
                  <c:x val="-1.149161112387961E-2"/>
                  <c:y val="3.335000833750208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14A-4E8E-B5D4-38A1387A4D17}"/>
                </c:ext>
              </c:extLst>
            </c:dLbl>
            <c:dLbl>
              <c:idx val="21"/>
              <c:layout>
                <c:manualLayout>
                  <c:x val="-4.2135420702249572E-17"/>
                  <c:y val="-1.000500250125062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14A-4E8E-B5D4-38A1387A4D17}"/>
                </c:ext>
              </c:extLst>
            </c:dLbl>
            <c:dLbl>
              <c:idx val="23"/>
              <c:layout>
                <c:manualLayout>
                  <c:x val="2.2983222247759134E-3"/>
                  <c:y val="1.334000333500080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14A-4E8E-B5D4-38A1387A4D17}"/>
                </c:ext>
              </c:extLst>
            </c:dLbl>
            <c:dLbl>
              <c:idx val="24"/>
              <c:layout>
                <c:manualLayout>
                  <c:x val="4.5966444495517426E-3"/>
                  <c:y val="-1.000500250125062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14A-4E8E-B5D4-38A1387A4D1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TABLAS!$A$12:$A$36</c:f>
              <c:strCache>
                <c:ptCount val="25"/>
                <c:pt idx="0">
                  <c:v> AMAZONAS</c:v>
                </c:pt>
                <c:pt idx="1">
                  <c:v> ANCASH</c:v>
                </c:pt>
                <c:pt idx="2">
                  <c:v> APURIMAC</c:v>
                </c:pt>
                <c:pt idx="3">
                  <c:v> AREQUIPA</c:v>
                </c:pt>
                <c:pt idx="4">
                  <c:v> AYACUCHO</c:v>
                </c:pt>
                <c:pt idx="5">
                  <c:v> CAJAMARCA</c:v>
                </c:pt>
                <c:pt idx="6">
                  <c:v>CALLAO</c:v>
                </c:pt>
                <c:pt idx="7">
                  <c:v> CUSCO</c:v>
                </c:pt>
                <c:pt idx="8">
                  <c:v> HUANCAVELICA</c:v>
                </c:pt>
                <c:pt idx="9">
                  <c:v> HUANUCO</c:v>
                </c:pt>
                <c:pt idx="10">
                  <c:v> ICA</c:v>
                </c:pt>
                <c:pt idx="11">
                  <c:v> JUNIN</c:v>
                </c:pt>
                <c:pt idx="12">
                  <c:v> LA LIBERTAD</c:v>
                </c:pt>
                <c:pt idx="13">
                  <c:v> LAMBAYEQUE</c:v>
                </c:pt>
                <c:pt idx="14">
                  <c:v> LIMA</c:v>
                </c:pt>
                <c:pt idx="15">
                  <c:v> LORETO</c:v>
                </c:pt>
                <c:pt idx="16">
                  <c:v> MADRE DE DIOS</c:v>
                </c:pt>
                <c:pt idx="17">
                  <c:v> MOQUEGUA</c:v>
                </c:pt>
                <c:pt idx="18">
                  <c:v> PASCO</c:v>
                </c:pt>
                <c:pt idx="19">
                  <c:v> PIURA</c:v>
                </c:pt>
                <c:pt idx="20">
                  <c:v> PUNO</c:v>
                </c:pt>
                <c:pt idx="21">
                  <c:v> SAN MARTIN</c:v>
                </c:pt>
                <c:pt idx="22">
                  <c:v> TACNA</c:v>
                </c:pt>
                <c:pt idx="23">
                  <c:v> TUMBES</c:v>
                </c:pt>
                <c:pt idx="24">
                  <c:v> UCAYALI</c:v>
                </c:pt>
              </c:strCache>
            </c:strRef>
          </c:cat>
          <c:val>
            <c:numRef>
              <c:f>TABLAS!$D$12:$D$36</c:f>
              <c:numCache>
                <c:formatCode>0%</c:formatCode>
                <c:ptCount val="25"/>
                <c:pt idx="0">
                  <c:v>0.97</c:v>
                </c:pt>
                <c:pt idx="1">
                  <c:v>0.36</c:v>
                </c:pt>
                <c:pt idx="2">
                  <c:v>0.68</c:v>
                </c:pt>
                <c:pt idx="3">
                  <c:v>1.1000000000000001</c:v>
                </c:pt>
                <c:pt idx="4">
                  <c:v>0.32</c:v>
                </c:pt>
                <c:pt idx="5">
                  <c:v>0.47</c:v>
                </c:pt>
                <c:pt idx="6">
                  <c:v>0.21</c:v>
                </c:pt>
                <c:pt idx="7">
                  <c:v>0.26</c:v>
                </c:pt>
                <c:pt idx="8">
                  <c:v>0.64</c:v>
                </c:pt>
                <c:pt idx="9">
                  <c:v>0.87</c:v>
                </c:pt>
                <c:pt idx="10">
                  <c:v>0.49</c:v>
                </c:pt>
                <c:pt idx="11">
                  <c:v>0.47</c:v>
                </c:pt>
                <c:pt idx="12">
                  <c:v>0.59</c:v>
                </c:pt>
                <c:pt idx="13">
                  <c:v>0.52</c:v>
                </c:pt>
                <c:pt idx="14">
                  <c:v>0.7</c:v>
                </c:pt>
                <c:pt idx="15">
                  <c:v>0.45</c:v>
                </c:pt>
                <c:pt idx="16">
                  <c:v>0.53</c:v>
                </c:pt>
                <c:pt idx="17">
                  <c:v>0.18</c:v>
                </c:pt>
                <c:pt idx="18">
                  <c:v>0.26</c:v>
                </c:pt>
                <c:pt idx="19">
                  <c:v>0.99</c:v>
                </c:pt>
                <c:pt idx="20">
                  <c:v>0.44</c:v>
                </c:pt>
                <c:pt idx="21">
                  <c:v>0.37</c:v>
                </c:pt>
                <c:pt idx="22">
                  <c:v>0.93</c:v>
                </c:pt>
                <c:pt idx="23">
                  <c:v>0.54</c:v>
                </c:pt>
                <c:pt idx="24">
                  <c:v>0.55000000000000004</c:v>
                </c:pt>
              </c:numCache>
            </c:numRef>
          </c:val>
          <c:extLst>
            <c:ext xmlns:c16="http://schemas.microsoft.com/office/drawing/2014/chart" uri="{C3380CC4-5D6E-409C-BE32-E72D297353CC}">
              <c16:uniqueId val="{0000000E-B14A-4E8E-B5D4-38A1387A4D17}"/>
            </c:ext>
          </c:extLst>
        </c:ser>
        <c:dLbls>
          <c:showLegendKey val="0"/>
          <c:showVal val="1"/>
          <c:showCatName val="0"/>
          <c:showSerName val="0"/>
          <c:showPercent val="0"/>
          <c:showBubbleSize val="0"/>
        </c:dLbls>
        <c:axId val="758253320"/>
        <c:axId val="758254104"/>
      </c:radarChart>
      <c:catAx>
        <c:axId val="758253320"/>
        <c:scaling>
          <c:orientation val="minMax"/>
        </c:scaling>
        <c:delete val="1"/>
        <c:axPos val="b"/>
        <c:numFmt formatCode="General" sourceLinked="1"/>
        <c:majorTickMark val="none"/>
        <c:minorTickMark val="none"/>
        <c:tickLblPos val="nextTo"/>
        <c:crossAx val="758254104"/>
        <c:crosses val="autoZero"/>
        <c:auto val="1"/>
        <c:lblAlgn val="ctr"/>
        <c:lblOffset val="100"/>
        <c:noMultiLvlLbl val="0"/>
      </c:catAx>
      <c:valAx>
        <c:axId val="758254104"/>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crossAx val="7582533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709342893756343E-2"/>
          <c:y val="0.33022042575705701"/>
          <c:w val="0.88542047836682691"/>
          <c:h val="0.64264261927733346"/>
        </c:manualLayout>
      </c:layout>
      <c:barChart>
        <c:barDir val="col"/>
        <c:grouping val="clustered"/>
        <c:varyColors val="0"/>
        <c:ser>
          <c:idx val="0"/>
          <c:order val="0"/>
          <c:tx>
            <c:strRef>
              <c:f>TABLAS!$A$58</c:f>
              <c:strCache>
                <c:ptCount val="1"/>
                <c:pt idx="0">
                  <c:v> AMAZONAS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TABLAS!$F$58</c:f>
              <c:numCache>
                <c:formatCode>0%</c:formatCode>
                <c:ptCount val="1"/>
                <c:pt idx="0">
                  <c:v>1.37</c:v>
                </c:pt>
              </c:numCache>
            </c:numRef>
          </c:val>
          <c:extLst>
            <c:ext xmlns:c16="http://schemas.microsoft.com/office/drawing/2014/chart" uri="{C3380CC4-5D6E-409C-BE32-E72D297353CC}">
              <c16:uniqueId val="{00000000-E741-475E-8E82-8B1BB4B74B28}"/>
            </c:ext>
          </c:extLst>
        </c:ser>
        <c:ser>
          <c:idx val="1"/>
          <c:order val="1"/>
          <c:tx>
            <c:strRef>
              <c:f>TABLAS!$A$59</c:f>
              <c:strCache>
                <c:ptCount val="1"/>
                <c:pt idx="0">
                  <c:v> ANCASH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TABLAS!$F$59</c:f>
              <c:numCache>
                <c:formatCode>0%</c:formatCode>
                <c:ptCount val="1"/>
                <c:pt idx="0">
                  <c:v>1.32</c:v>
                </c:pt>
              </c:numCache>
            </c:numRef>
          </c:val>
          <c:extLst>
            <c:ext xmlns:c16="http://schemas.microsoft.com/office/drawing/2014/chart" uri="{C3380CC4-5D6E-409C-BE32-E72D297353CC}">
              <c16:uniqueId val="{00000001-E741-475E-8E82-8B1BB4B74B28}"/>
            </c:ext>
          </c:extLst>
        </c:ser>
        <c:ser>
          <c:idx val="2"/>
          <c:order val="2"/>
          <c:tx>
            <c:strRef>
              <c:f>TABLAS!$A$60</c:f>
              <c:strCache>
                <c:ptCount val="1"/>
                <c:pt idx="0">
                  <c:v> APURIMAC</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TABLAS!$F$60</c:f>
              <c:numCache>
                <c:formatCode>0%</c:formatCode>
                <c:ptCount val="1"/>
                <c:pt idx="0">
                  <c:v>-0.63</c:v>
                </c:pt>
              </c:numCache>
            </c:numRef>
          </c:val>
          <c:extLst>
            <c:ext xmlns:c16="http://schemas.microsoft.com/office/drawing/2014/chart" uri="{C3380CC4-5D6E-409C-BE32-E72D297353CC}">
              <c16:uniqueId val="{00000002-E741-475E-8E82-8B1BB4B74B28}"/>
            </c:ext>
          </c:extLst>
        </c:ser>
        <c:ser>
          <c:idx val="3"/>
          <c:order val="3"/>
          <c:tx>
            <c:strRef>
              <c:f>TABLAS!$A$61</c:f>
              <c:strCache>
                <c:ptCount val="1"/>
                <c:pt idx="0">
                  <c:v> AREQUIPA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TABLAS!$F$61</c:f>
              <c:numCache>
                <c:formatCode>0%</c:formatCode>
                <c:ptCount val="1"/>
                <c:pt idx="0">
                  <c:v>-0.11</c:v>
                </c:pt>
              </c:numCache>
            </c:numRef>
          </c:val>
          <c:extLst>
            <c:ext xmlns:c16="http://schemas.microsoft.com/office/drawing/2014/chart" uri="{C3380CC4-5D6E-409C-BE32-E72D297353CC}">
              <c16:uniqueId val="{00000003-E741-475E-8E82-8B1BB4B74B28}"/>
            </c:ext>
          </c:extLst>
        </c:ser>
        <c:ser>
          <c:idx val="4"/>
          <c:order val="4"/>
          <c:tx>
            <c:strRef>
              <c:f>TABLAS!$A$62</c:f>
              <c:strCache>
                <c:ptCount val="1"/>
                <c:pt idx="0">
                  <c:v> AYACUCHO</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TABLAS!$F$62</c:f>
              <c:numCache>
                <c:formatCode>0%</c:formatCode>
                <c:ptCount val="1"/>
                <c:pt idx="0">
                  <c:v>0.04</c:v>
                </c:pt>
              </c:numCache>
            </c:numRef>
          </c:val>
          <c:extLst>
            <c:ext xmlns:c16="http://schemas.microsoft.com/office/drawing/2014/chart" uri="{C3380CC4-5D6E-409C-BE32-E72D297353CC}">
              <c16:uniqueId val="{00000004-E741-475E-8E82-8B1BB4B74B28}"/>
            </c:ext>
          </c:extLst>
        </c:ser>
        <c:ser>
          <c:idx val="5"/>
          <c:order val="5"/>
          <c:tx>
            <c:strRef>
              <c:f>TABLAS!$A$63</c:f>
              <c:strCache>
                <c:ptCount val="1"/>
                <c:pt idx="0">
                  <c:v> CAJAMARCA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TABLAS!$F$63</c:f>
              <c:numCache>
                <c:formatCode>0%</c:formatCode>
                <c:ptCount val="1"/>
                <c:pt idx="0">
                  <c:v>1.1000000000000001</c:v>
                </c:pt>
              </c:numCache>
            </c:numRef>
          </c:val>
          <c:extLst>
            <c:ext xmlns:c16="http://schemas.microsoft.com/office/drawing/2014/chart" uri="{C3380CC4-5D6E-409C-BE32-E72D297353CC}">
              <c16:uniqueId val="{00000005-E741-475E-8E82-8B1BB4B74B28}"/>
            </c:ext>
          </c:extLst>
        </c:ser>
        <c:ser>
          <c:idx val="6"/>
          <c:order val="6"/>
          <c:tx>
            <c:strRef>
              <c:f>TABLAS!$A$64</c:f>
              <c:strCache>
                <c:ptCount val="1"/>
                <c:pt idx="0">
                  <c:v>CALLAO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TABLAS!$F$64</c:f>
              <c:numCache>
                <c:formatCode>0%</c:formatCode>
                <c:ptCount val="1"/>
                <c:pt idx="0">
                  <c:v>-0.61</c:v>
                </c:pt>
              </c:numCache>
            </c:numRef>
          </c:val>
          <c:extLst>
            <c:ext xmlns:c16="http://schemas.microsoft.com/office/drawing/2014/chart" uri="{C3380CC4-5D6E-409C-BE32-E72D297353CC}">
              <c16:uniqueId val="{00000006-E741-475E-8E82-8B1BB4B74B28}"/>
            </c:ext>
          </c:extLst>
        </c:ser>
        <c:ser>
          <c:idx val="7"/>
          <c:order val="7"/>
          <c:tx>
            <c:strRef>
              <c:f>TABLAS!$A$65</c:f>
              <c:strCache>
                <c:ptCount val="1"/>
                <c:pt idx="0">
                  <c:v> CUSCO</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TABLAS!$F$65</c:f>
              <c:numCache>
                <c:formatCode>0%</c:formatCode>
                <c:ptCount val="1"/>
                <c:pt idx="0">
                  <c:v>-0.49</c:v>
                </c:pt>
              </c:numCache>
            </c:numRef>
          </c:val>
          <c:extLst>
            <c:ext xmlns:c16="http://schemas.microsoft.com/office/drawing/2014/chart" uri="{C3380CC4-5D6E-409C-BE32-E72D297353CC}">
              <c16:uniqueId val="{00000007-E741-475E-8E82-8B1BB4B74B28}"/>
            </c:ext>
          </c:extLst>
        </c:ser>
        <c:ser>
          <c:idx val="8"/>
          <c:order val="8"/>
          <c:tx>
            <c:strRef>
              <c:f>TABLAS!$A$66</c:f>
              <c:strCache>
                <c:ptCount val="1"/>
                <c:pt idx="0">
                  <c:v> HUANCAVELICA</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TABLAS!$F$66</c:f>
              <c:numCache>
                <c:formatCode>0%</c:formatCode>
                <c:ptCount val="1"/>
                <c:pt idx="0">
                  <c:v>-0.7</c:v>
                </c:pt>
              </c:numCache>
            </c:numRef>
          </c:val>
          <c:extLst>
            <c:ext xmlns:c16="http://schemas.microsoft.com/office/drawing/2014/chart" uri="{C3380CC4-5D6E-409C-BE32-E72D297353CC}">
              <c16:uniqueId val="{00000008-E741-475E-8E82-8B1BB4B74B28}"/>
            </c:ext>
          </c:extLst>
        </c:ser>
        <c:ser>
          <c:idx val="9"/>
          <c:order val="9"/>
          <c:tx>
            <c:strRef>
              <c:f>TABLAS!$A$67</c:f>
              <c:strCache>
                <c:ptCount val="1"/>
                <c:pt idx="0">
                  <c:v> HUANUCO</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TABLAS!$F$67</c:f>
              <c:numCache>
                <c:formatCode>0%</c:formatCode>
                <c:ptCount val="1"/>
                <c:pt idx="0">
                  <c:v>-0.16</c:v>
                </c:pt>
              </c:numCache>
            </c:numRef>
          </c:val>
          <c:extLst>
            <c:ext xmlns:c16="http://schemas.microsoft.com/office/drawing/2014/chart" uri="{C3380CC4-5D6E-409C-BE32-E72D297353CC}">
              <c16:uniqueId val="{00000009-E741-475E-8E82-8B1BB4B74B28}"/>
            </c:ext>
          </c:extLst>
        </c:ser>
        <c:ser>
          <c:idx val="10"/>
          <c:order val="10"/>
          <c:tx>
            <c:strRef>
              <c:f>TABLAS!$A$68</c:f>
              <c:strCache>
                <c:ptCount val="1"/>
                <c:pt idx="0">
                  <c:v> ICA</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TABLAS!$F$68</c:f>
              <c:numCache>
                <c:formatCode>0%</c:formatCode>
                <c:ptCount val="1"/>
                <c:pt idx="0">
                  <c:v>-0.31</c:v>
                </c:pt>
              </c:numCache>
            </c:numRef>
          </c:val>
          <c:extLst>
            <c:ext xmlns:c16="http://schemas.microsoft.com/office/drawing/2014/chart" uri="{C3380CC4-5D6E-409C-BE32-E72D297353CC}">
              <c16:uniqueId val="{0000000A-E741-475E-8E82-8B1BB4B74B28}"/>
            </c:ext>
          </c:extLst>
        </c:ser>
        <c:ser>
          <c:idx val="11"/>
          <c:order val="11"/>
          <c:tx>
            <c:strRef>
              <c:f>TABLAS!$A$69</c:f>
              <c:strCache>
                <c:ptCount val="1"/>
                <c:pt idx="0">
                  <c:v> JUNIN</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TABLAS!$F$69</c:f>
              <c:numCache>
                <c:formatCode>0%</c:formatCode>
                <c:ptCount val="1"/>
                <c:pt idx="0">
                  <c:v>1.47</c:v>
                </c:pt>
              </c:numCache>
            </c:numRef>
          </c:val>
          <c:extLst>
            <c:ext xmlns:c16="http://schemas.microsoft.com/office/drawing/2014/chart" uri="{C3380CC4-5D6E-409C-BE32-E72D297353CC}">
              <c16:uniqueId val="{0000000B-E741-475E-8E82-8B1BB4B74B28}"/>
            </c:ext>
          </c:extLst>
        </c:ser>
        <c:ser>
          <c:idx val="12"/>
          <c:order val="12"/>
          <c:tx>
            <c:strRef>
              <c:f>TABLAS!$A$70</c:f>
              <c:strCache>
                <c:ptCount val="1"/>
                <c:pt idx="0">
                  <c:v> LA LIBERTAD</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TABLAS!$F$70</c:f>
              <c:numCache>
                <c:formatCode>0%</c:formatCode>
                <c:ptCount val="1"/>
                <c:pt idx="0">
                  <c:v>-0.91</c:v>
                </c:pt>
              </c:numCache>
            </c:numRef>
          </c:val>
          <c:extLst>
            <c:ext xmlns:c16="http://schemas.microsoft.com/office/drawing/2014/chart" uri="{C3380CC4-5D6E-409C-BE32-E72D297353CC}">
              <c16:uniqueId val="{0000000C-E741-475E-8E82-8B1BB4B74B28}"/>
            </c:ext>
          </c:extLst>
        </c:ser>
        <c:ser>
          <c:idx val="13"/>
          <c:order val="13"/>
          <c:tx>
            <c:strRef>
              <c:f>TABLAS!$A$71</c:f>
              <c:strCache>
                <c:ptCount val="1"/>
                <c:pt idx="0">
                  <c:v> LAMBAYEQUE</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TABLAS!$F$71</c:f>
              <c:numCache>
                <c:formatCode>0%</c:formatCode>
                <c:ptCount val="1"/>
                <c:pt idx="0">
                  <c:v>-0.75</c:v>
                </c:pt>
              </c:numCache>
            </c:numRef>
          </c:val>
          <c:extLst>
            <c:ext xmlns:c16="http://schemas.microsoft.com/office/drawing/2014/chart" uri="{C3380CC4-5D6E-409C-BE32-E72D297353CC}">
              <c16:uniqueId val="{0000000D-E741-475E-8E82-8B1BB4B74B28}"/>
            </c:ext>
          </c:extLst>
        </c:ser>
        <c:ser>
          <c:idx val="14"/>
          <c:order val="14"/>
          <c:tx>
            <c:strRef>
              <c:f>TABLAS!$A$72</c:f>
              <c:strCache>
                <c:ptCount val="1"/>
                <c:pt idx="0">
                  <c:v> LIMA</c:v>
                </c:pt>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TABLAS!$F$72</c:f>
              <c:numCache>
                <c:formatCode>0%</c:formatCode>
                <c:ptCount val="1"/>
                <c:pt idx="0">
                  <c:v>-0.57999999999999996</c:v>
                </c:pt>
              </c:numCache>
            </c:numRef>
          </c:val>
          <c:extLst>
            <c:ext xmlns:c16="http://schemas.microsoft.com/office/drawing/2014/chart" uri="{C3380CC4-5D6E-409C-BE32-E72D297353CC}">
              <c16:uniqueId val="{0000000E-E741-475E-8E82-8B1BB4B74B28}"/>
            </c:ext>
          </c:extLst>
        </c:ser>
        <c:ser>
          <c:idx val="15"/>
          <c:order val="15"/>
          <c:tx>
            <c:strRef>
              <c:f>TABLAS!$A$73</c:f>
              <c:strCache>
                <c:ptCount val="1"/>
                <c:pt idx="0">
                  <c:v> LORETO</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TABLAS!$F$73</c:f>
              <c:numCache>
                <c:formatCode>0%</c:formatCode>
                <c:ptCount val="1"/>
                <c:pt idx="0">
                  <c:v>0.55000000000000004</c:v>
                </c:pt>
              </c:numCache>
            </c:numRef>
          </c:val>
          <c:extLst>
            <c:ext xmlns:c16="http://schemas.microsoft.com/office/drawing/2014/chart" uri="{C3380CC4-5D6E-409C-BE32-E72D297353CC}">
              <c16:uniqueId val="{0000000F-E741-475E-8E82-8B1BB4B74B28}"/>
            </c:ext>
          </c:extLst>
        </c:ser>
        <c:ser>
          <c:idx val="16"/>
          <c:order val="16"/>
          <c:tx>
            <c:strRef>
              <c:f>TABLAS!$A$74</c:f>
              <c:strCache>
                <c:ptCount val="1"/>
                <c:pt idx="0">
                  <c:v> MADRE DE DIOS</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TABLAS!$F$74</c:f>
              <c:numCache>
                <c:formatCode>0%</c:formatCode>
                <c:ptCount val="1"/>
                <c:pt idx="0">
                  <c:v>0.03</c:v>
                </c:pt>
              </c:numCache>
            </c:numRef>
          </c:val>
          <c:extLst>
            <c:ext xmlns:c16="http://schemas.microsoft.com/office/drawing/2014/chart" uri="{C3380CC4-5D6E-409C-BE32-E72D297353CC}">
              <c16:uniqueId val="{00000010-E741-475E-8E82-8B1BB4B74B28}"/>
            </c:ext>
          </c:extLst>
        </c:ser>
        <c:ser>
          <c:idx val="17"/>
          <c:order val="17"/>
          <c:tx>
            <c:strRef>
              <c:f>TABLAS!$A$75</c:f>
              <c:strCache>
                <c:ptCount val="1"/>
                <c:pt idx="0">
                  <c:v> MOQUEGUA</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TABLAS!$F$75</c:f>
              <c:numCache>
                <c:formatCode>0%</c:formatCode>
                <c:ptCount val="1"/>
                <c:pt idx="0">
                  <c:v>-0.28999999999999998</c:v>
                </c:pt>
              </c:numCache>
            </c:numRef>
          </c:val>
          <c:extLst>
            <c:ext xmlns:c16="http://schemas.microsoft.com/office/drawing/2014/chart" uri="{C3380CC4-5D6E-409C-BE32-E72D297353CC}">
              <c16:uniqueId val="{00000011-E741-475E-8E82-8B1BB4B74B28}"/>
            </c:ext>
          </c:extLst>
        </c:ser>
        <c:ser>
          <c:idx val="18"/>
          <c:order val="18"/>
          <c:tx>
            <c:strRef>
              <c:f>TABLAS!$A$76</c:f>
              <c:strCache>
                <c:ptCount val="1"/>
                <c:pt idx="0">
                  <c:v> PASCO</c:v>
                </c:pt>
              </c:strCache>
            </c:strRef>
          </c:tx>
          <c:spPr>
            <a:solidFill>
              <a:schemeClr val="accent1">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TABLAS!$F$76</c:f>
              <c:numCache>
                <c:formatCode>0%</c:formatCode>
                <c:ptCount val="1"/>
                <c:pt idx="0">
                  <c:v>3.45</c:v>
                </c:pt>
              </c:numCache>
            </c:numRef>
          </c:val>
          <c:extLst>
            <c:ext xmlns:c16="http://schemas.microsoft.com/office/drawing/2014/chart" uri="{C3380CC4-5D6E-409C-BE32-E72D297353CC}">
              <c16:uniqueId val="{00000012-E741-475E-8E82-8B1BB4B74B28}"/>
            </c:ext>
          </c:extLst>
        </c:ser>
        <c:ser>
          <c:idx val="19"/>
          <c:order val="19"/>
          <c:tx>
            <c:strRef>
              <c:f>TABLAS!$A$77</c:f>
              <c:strCache>
                <c:ptCount val="1"/>
                <c:pt idx="0">
                  <c:v> PIURA</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TABLAS!$F$77</c:f>
              <c:numCache>
                <c:formatCode>0%</c:formatCode>
                <c:ptCount val="1"/>
                <c:pt idx="0">
                  <c:v>-0.22</c:v>
                </c:pt>
              </c:numCache>
            </c:numRef>
          </c:val>
          <c:extLst>
            <c:ext xmlns:c16="http://schemas.microsoft.com/office/drawing/2014/chart" uri="{C3380CC4-5D6E-409C-BE32-E72D297353CC}">
              <c16:uniqueId val="{00000013-E741-475E-8E82-8B1BB4B74B28}"/>
            </c:ext>
          </c:extLst>
        </c:ser>
        <c:ser>
          <c:idx val="20"/>
          <c:order val="20"/>
          <c:tx>
            <c:strRef>
              <c:f>TABLAS!$A$78</c:f>
              <c:strCache>
                <c:ptCount val="1"/>
                <c:pt idx="0">
                  <c:v> PUNO</c:v>
                </c:pt>
              </c:strCache>
            </c:strRef>
          </c:tx>
          <c:spPr>
            <a:solidFill>
              <a:schemeClr val="accent3">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TABLAS!$F$78</c:f>
              <c:numCache>
                <c:formatCode>0%</c:formatCode>
                <c:ptCount val="1"/>
                <c:pt idx="0">
                  <c:v>0.02</c:v>
                </c:pt>
              </c:numCache>
            </c:numRef>
          </c:val>
          <c:extLst>
            <c:ext xmlns:c16="http://schemas.microsoft.com/office/drawing/2014/chart" uri="{C3380CC4-5D6E-409C-BE32-E72D297353CC}">
              <c16:uniqueId val="{00000014-E741-475E-8E82-8B1BB4B74B28}"/>
            </c:ext>
          </c:extLst>
        </c:ser>
        <c:ser>
          <c:idx val="21"/>
          <c:order val="21"/>
          <c:tx>
            <c:strRef>
              <c:f>TABLAS!$A$79</c:f>
              <c:strCache>
                <c:ptCount val="1"/>
                <c:pt idx="0">
                  <c:v> SAN MARTIN</c:v>
                </c:pt>
              </c:strCache>
            </c:strRef>
          </c:tx>
          <c:spPr>
            <a:solidFill>
              <a:schemeClr val="accent4">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TABLAS!$F$79</c:f>
              <c:numCache>
                <c:formatCode>0%</c:formatCode>
                <c:ptCount val="1"/>
                <c:pt idx="0">
                  <c:v>-0.35</c:v>
                </c:pt>
              </c:numCache>
            </c:numRef>
          </c:val>
          <c:extLst>
            <c:ext xmlns:c16="http://schemas.microsoft.com/office/drawing/2014/chart" uri="{C3380CC4-5D6E-409C-BE32-E72D297353CC}">
              <c16:uniqueId val="{00000015-E741-475E-8E82-8B1BB4B74B28}"/>
            </c:ext>
          </c:extLst>
        </c:ser>
        <c:ser>
          <c:idx val="22"/>
          <c:order val="22"/>
          <c:tx>
            <c:strRef>
              <c:f>TABLAS!$A$80</c:f>
              <c:strCache>
                <c:ptCount val="1"/>
                <c:pt idx="0">
                  <c:v> TACNA</c:v>
                </c:pt>
              </c:strCache>
            </c:strRef>
          </c:tx>
          <c:spPr>
            <a:solidFill>
              <a:schemeClr val="accent5">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TABLAS!$F$80</c:f>
              <c:numCache>
                <c:formatCode>0%</c:formatCode>
                <c:ptCount val="1"/>
                <c:pt idx="0">
                  <c:v>0.45</c:v>
                </c:pt>
              </c:numCache>
            </c:numRef>
          </c:val>
          <c:extLst>
            <c:ext xmlns:c16="http://schemas.microsoft.com/office/drawing/2014/chart" uri="{C3380CC4-5D6E-409C-BE32-E72D297353CC}">
              <c16:uniqueId val="{00000016-E741-475E-8E82-8B1BB4B74B28}"/>
            </c:ext>
          </c:extLst>
        </c:ser>
        <c:ser>
          <c:idx val="23"/>
          <c:order val="23"/>
          <c:tx>
            <c:strRef>
              <c:f>TABLAS!$A$81</c:f>
              <c:strCache>
                <c:ptCount val="1"/>
                <c:pt idx="0">
                  <c:v> TUMBES</c:v>
                </c:pt>
              </c:strCache>
            </c:strRef>
          </c:tx>
          <c:spPr>
            <a:solidFill>
              <a:schemeClr val="accent6">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TABLAS!$F$81</c:f>
              <c:numCache>
                <c:formatCode>0%</c:formatCode>
                <c:ptCount val="1"/>
                <c:pt idx="0">
                  <c:v>4.03</c:v>
                </c:pt>
              </c:numCache>
            </c:numRef>
          </c:val>
          <c:extLst>
            <c:ext xmlns:c16="http://schemas.microsoft.com/office/drawing/2014/chart" uri="{C3380CC4-5D6E-409C-BE32-E72D297353CC}">
              <c16:uniqueId val="{00000017-E741-475E-8E82-8B1BB4B74B28}"/>
            </c:ext>
          </c:extLst>
        </c:ser>
        <c:ser>
          <c:idx val="24"/>
          <c:order val="24"/>
          <c:tx>
            <c:strRef>
              <c:f>TABLAS!$A$82</c:f>
              <c:strCache>
                <c:ptCount val="1"/>
                <c:pt idx="0">
                  <c:v> UCAYALI</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TABLAS!$F$82</c:f>
              <c:numCache>
                <c:formatCode>0%</c:formatCode>
                <c:ptCount val="1"/>
                <c:pt idx="0">
                  <c:v>0.06</c:v>
                </c:pt>
              </c:numCache>
            </c:numRef>
          </c:val>
          <c:extLst>
            <c:ext xmlns:c16="http://schemas.microsoft.com/office/drawing/2014/chart" uri="{C3380CC4-5D6E-409C-BE32-E72D297353CC}">
              <c16:uniqueId val="{00000018-E741-475E-8E82-8B1BB4B74B28}"/>
            </c:ext>
          </c:extLst>
        </c:ser>
        <c:dLbls>
          <c:showLegendKey val="0"/>
          <c:showVal val="1"/>
          <c:showCatName val="0"/>
          <c:showSerName val="0"/>
          <c:showPercent val="0"/>
          <c:showBubbleSize val="0"/>
        </c:dLbls>
        <c:gapWidth val="50"/>
        <c:axId val="758254888"/>
        <c:axId val="436294336"/>
      </c:barChart>
      <c:catAx>
        <c:axId val="758254888"/>
        <c:scaling>
          <c:orientation val="minMax"/>
        </c:scaling>
        <c:delete val="0"/>
        <c:axPos val="b"/>
        <c:numFmt formatCode="General" sourceLinked="1"/>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en-US"/>
          </a:p>
        </c:txPr>
        <c:crossAx val="436294336"/>
        <c:crosses val="autoZero"/>
        <c:auto val="1"/>
        <c:lblAlgn val="ctr"/>
        <c:lblOffset val="100"/>
        <c:noMultiLvlLbl val="0"/>
      </c:catAx>
      <c:valAx>
        <c:axId val="436294336"/>
        <c:scaling>
          <c:orientation val="minMax"/>
        </c:scaling>
        <c:delete val="0"/>
        <c:axPos val="l"/>
        <c:majorGridlines>
          <c:spPr>
            <a:ln w="9525" cap="flat" cmpd="sng" algn="ctr">
              <a:noFill/>
              <a:round/>
            </a:ln>
            <a:effectLst/>
          </c:spPr>
        </c:majorGridlines>
        <c:numFmt formatCode="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en-US"/>
          </a:p>
        </c:txPr>
        <c:crossAx val="758254888"/>
        <c:crosses val="autoZero"/>
        <c:crossBetween val="between"/>
      </c:valAx>
      <c:spPr>
        <a:noFill/>
        <a:ln>
          <a:noFill/>
        </a:ln>
        <a:effectLst/>
      </c:spPr>
    </c:plotArea>
    <c:legend>
      <c:legendPos val="t"/>
      <c:layout>
        <c:manualLayout>
          <c:xMode val="edge"/>
          <c:yMode val="edge"/>
          <c:x val="2.734739001933319E-2"/>
          <c:y val="2.9644268774703556E-2"/>
          <c:w val="0.93824953148495183"/>
          <c:h val="0.26105046528274872"/>
        </c:manualLayout>
      </c:layout>
      <c:overlay val="0"/>
      <c:spPr>
        <a:noFill/>
        <a:ln>
          <a:noFill/>
        </a:ln>
        <a:effectLst/>
      </c:spPr>
      <c:txPr>
        <a:bodyPr rot="0" spcFirstLastPara="1" vertOverflow="ellipsis" vert="horz" wrap="square" anchor="ctr" anchorCtr="1"/>
        <a:lstStyle/>
        <a:p>
          <a:pPr>
            <a:defRPr sz="800" b="0" i="0" u="none" strike="noStrike"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3753831470367"/>
          <c:y val="5.8960295111174892E-2"/>
          <c:w val="0.68589725235394516"/>
          <c:h val="0.95458230794421328"/>
        </c:manualLayout>
      </c:layout>
      <c:radarChart>
        <c:radarStyle val="marker"/>
        <c:varyColors val="0"/>
        <c:ser>
          <c:idx val="0"/>
          <c:order val="0"/>
          <c:spPr>
            <a:ln w="28575" cap="rnd">
              <a:solidFill>
                <a:srgbClr val="C00000"/>
              </a:solidFill>
              <a:round/>
            </a:ln>
            <a:effectLst/>
          </c:spPr>
          <c:marker>
            <c:symbol val="circle"/>
            <c:size val="5"/>
            <c:spPr>
              <a:solidFill>
                <a:srgbClr val="C00000"/>
              </a:solidFill>
              <a:ln w="9525">
                <a:solidFill>
                  <a:srgbClr val="C00000"/>
                </a:solidFill>
              </a:ln>
              <a:effectLst/>
            </c:spPr>
          </c:marker>
          <c:dLbls>
            <c:dLbl>
              <c:idx val="0"/>
              <c:layout>
                <c:manualLayout>
                  <c:x val="7.6923076923076927E-2"/>
                  <c:y val="1.766004005723521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0C-47B1-903A-A7EEC863D7D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lang="en-US" sz="800" b="0" i="0" u="none" strike="noStrike" kern="1200" baseline="0">
                    <a:solidFill>
                      <a:schemeClr val="tx1"/>
                    </a:solidFill>
                    <a:latin typeface="+mn-lt"/>
                    <a:ea typeface="+mn-ea"/>
                    <a:cs typeface="+mn-cs"/>
                  </a:defRPr>
                </a:pPr>
                <a:endParaRPr lang="en-US"/>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TABLAS!$A$108:$A$132</c:f>
              <c:strCache>
                <c:ptCount val="25"/>
                <c:pt idx="0">
                  <c:v> AMAZONAS</c:v>
                </c:pt>
                <c:pt idx="1">
                  <c:v> ANCASH</c:v>
                </c:pt>
                <c:pt idx="2">
                  <c:v> APURIMAC</c:v>
                </c:pt>
                <c:pt idx="3">
                  <c:v> AREQUIPA</c:v>
                </c:pt>
                <c:pt idx="4">
                  <c:v> AYACUCHO</c:v>
                </c:pt>
                <c:pt idx="5">
                  <c:v> CAJAMARCA</c:v>
                </c:pt>
                <c:pt idx="6">
                  <c:v>CALLAO</c:v>
                </c:pt>
                <c:pt idx="7">
                  <c:v> CUSCO</c:v>
                </c:pt>
                <c:pt idx="8">
                  <c:v> HUANCAVELICA</c:v>
                </c:pt>
                <c:pt idx="9">
                  <c:v> HUANUCO</c:v>
                </c:pt>
                <c:pt idx="10">
                  <c:v> ICA</c:v>
                </c:pt>
                <c:pt idx="11">
                  <c:v> JUNIN</c:v>
                </c:pt>
                <c:pt idx="12">
                  <c:v> LA LIBERTAD</c:v>
                </c:pt>
                <c:pt idx="13">
                  <c:v> LAMBAYEQUE</c:v>
                </c:pt>
                <c:pt idx="14">
                  <c:v> LIMA</c:v>
                </c:pt>
                <c:pt idx="15">
                  <c:v> LORETO</c:v>
                </c:pt>
                <c:pt idx="16">
                  <c:v> MADRE DE DIOS</c:v>
                </c:pt>
                <c:pt idx="17">
                  <c:v> MOQUEGUA</c:v>
                </c:pt>
                <c:pt idx="18">
                  <c:v> PASCO</c:v>
                </c:pt>
                <c:pt idx="19">
                  <c:v> PIURA</c:v>
                </c:pt>
                <c:pt idx="20">
                  <c:v> PUNO</c:v>
                </c:pt>
                <c:pt idx="21">
                  <c:v> SAN MARTIN</c:v>
                </c:pt>
                <c:pt idx="22">
                  <c:v> TACNA</c:v>
                </c:pt>
                <c:pt idx="23">
                  <c:v> TUMBES</c:v>
                </c:pt>
                <c:pt idx="24">
                  <c:v> UCAYALI</c:v>
                </c:pt>
              </c:strCache>
            </c:strRef>
          </c:cat>
          <c:val>
            <c:numRef>
              <c:f>TABLAS!$D$108:$D$132</c:f>
              <c:numCache>
                <c:formatCode>0%</c:formatCode>
                <c:ptCount val="25"/>
                <c:pt idx="0">
                  <c:v>1.4</c:v>
                </c:pt>
                <c:pt idx="1">
                  <c:v>1.05</c:v>
                </c:pt>
                <c:pt idx="2">
                  <c:v>1.05</c:v>
                </c:pt>
                <c:pt idx="3">
                  <c:v>0.9</c:v>
                </c:pt>
                <c:pt idx="4">
                  <c:v>0.97</c:v>
                </c:pt>
                <c:pt idx="5">
                  <c:v>1.37</c:v>
                </c:pt>
                <c:pt idx="6">
                  <c:v>0.82</c:v>
                </c:pt>
                <c:pt idx="7">
                  <c:v>1.03</c:v>
                </c:pt>
                <c:pt idx="8">
                  <c:v>1.07</c:v>
                </c:pt>
                <c:pt idx="9">
                  <c:v>1.05</c:v>
                </c:pt>
                <c:pt idx="10">
                  <c:v>0.95</c:v>
                </c:pt>
                <c:pt idx="11">
                  <c:v>1.07</c:v>
                </c:pt>
                <c:pt idx="12">
                  <c:v>1.18</c:v>
                </c:pt>
                <c:pt idx="13">
                  <c:v>1.17</c:v>
                </c:pt>
                <c:pt idx="14">
                  <c:v>0.59</c:v>
                </c:pt>
                <c:pt idx="15">
                  <c:v>1.19</c:v>
                </c:pt>
                <c:pt idx="16">
                  <c:v>1.06</c:v>
                </c:pt>
                <c:pt idx="17">
                  <c:v>0.84</c:v>
                </c:pt>
                <c:pt idx="18">
                  <c:v>1.17</c:v>
                </c:pt>
                <c:pt idx="19">
                  <c:v>1.1399999999999999</c:v>
                </c:pt>
                <c:pt idx="20">
                  <c:v>0.99</c:v>
                </c:pt>
                <c:pt idx="21">
                  <c:v>1.1200000000000001</c:v>
                </c:pt>
                <c:pt idx="22">
                  <c:v>0.88</c:v>
                </c:pt>
                <c:pt idx="23">
                  <c:v>1.25</c:v>
                </c:pt>
                <c:pt idx="24">
                  <c:v>1.31</c:v>
                </c:pt>
              </c:numCache>
            </c:numRef>
          </c:val>
          <c:extLst>
            <c:ext xmlns:c16="http://schemas.microsoft.com/office/drawing/2014/chart" uri="{C3380CC4-5D6E-409C-BE32-E72D297353CC}">
              <c16:uniqueId val="{00000001-9D0C-47B1-903A-A7EEC863D7D4}"/>
            </c:ext>
          </c:extLst>
        </c:ser>
        <c:dLbls>
          <c:showLegendKey val="0"/>
          <c:showVal val="0"/>
          <c:showCatName val="0"/>
          <c:showSerName val="0"/>
          <c:showPercent val="0"/>
          <c:showBubbleSize val="0"/>
        </c:dLbls>
        <c:axId val="436295120"/>
        <c:axId val="436295512"/>
      </c:radarChart>
      <c:catAx>
        <c:axId val="436295120"/>
        <c:scaling>
          <c:orientation val="minMax"/>
        </c:scaling>
        <c:delete val="1"/>
        <c:axPos val="b"/>
        <c:numFmt formatCode="General" sourceLinked="1"/>
        <c:majorTickMark val="none"/>
        <c:minorTickMark val="none"/>
        <c:tickLblPos val="nextTo"/>
        <c:crossAx val="436295512"/>
        <c:crosses val="autoZero"/>
        <c:auto val="1"/>
        <c:lblAlgn val="ctr"/>
        <c:lblOffset val="100"/>
        <c:noMultiLvlLbl val="0"/>
      </c:catAx>
      <c:valAx>
        <c:axId val="436295512"/>
        <c:scaling>
          <c:orientation val="minMax"/>
        </c:scaling>
        <c:delete val="1"/>
        <c:axPos val="l"/>
        <c:majorGridlines>
          <c:spPr>
            <a:ln w="9525" cap="flat" cmpd="sng" algn="ctr">
              <a:solidFill>
                <a:sysClr val="windowText" lastClr="000000">
                  <a:lumMod val="25000"/>
                  <a:lumOff val="75000"/>
                  <a:alpha val="98000"/>
                </a:sysClr>
              </a:solidFill>
              <a:round/>
            </a:ln>
            <a:effectLst/>
          </c:spPr>
        </c:majorGridlines>
        <c:numFmt formatCode="0%" sourceLinked="1"/>
        <c:majorTickMark val="none"/>
        <c:minorTickMark val="none"/>
        <c:tickLblPos val="nextTo"/>
        <c:crossAx val="436295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lang="en-US" sz="1000" b="0" i="0" u="none" strike="noStrike" kern="1200" baseline="0">
          <a:solidFill>
            <a:schemeClr val="tx1"/>
          </a:solidFill>
          <a:latin typeface="+mn-lt"/>
          <a:ea typeface="+mn-ea"/>
          <a:cs typeface="+mn-cs"/>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54311449544816E-2"/>
          <c:y val="0.30590306646451804"/>
          <c:w val="0.88117550981103843"/>
          <c:h val="0.64854827929117553"/>
        </c:manualLayout>
      </c:layout>
      <c:barChart>
        <c:barDir val="col"/>
        <c:grouping val="clustered"/>
        <c:varyColors val="0"/>
        <c:ser>
          <c:idx val="0"/>
          <c:order val="0"/>
          <c:tx>
            <c:strRef>
              <c:f>TABLAS!$A$142</c:f>
              <c:strCache>
                <c:ptCount val="1"/>
                <c:pt idx="0">
                  <c:v> AMAZONAS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TABLAS!$F$142</c:f>
              <c:numCache>
                <c:formatCode>0%</c:formatCode>
                <c:ptCount val="1"/>
                <c:pt idx="0">
                  <c:v>-0.5</c:v>
                </c:pt>
              </c:numCache>
            </c:numRef>
          </c:val>
          <c:extLst>
            <c:ext xmlns:c16="http://schemas.microsoft.com/office/drawing/2014/chart" uri="{C3380CC4-5D6E-409C-BE32-E72D297353CC}">
              <c16:uniqueId val="{00000000-FEC5-4F52-A460-10603F2E6A53}"/>
            </c:ext>
          </c:extLst>
        </c:ser>
        <c:ser>
          <c:idx val="1"/>
          <c:order val="1"/>
          <c:tx>
            <c:strRef>
              <c:f>TABLAS!$A$143</c:f>
              <c:strCache>
                <c:ptCount val="1"/>
                <c:pt idx="0">
                  <c:v> ANCASH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TABLAS!$F$143</c:f>
              <c:numCache>
                <c:formatCode>0%</c:formatCode>
                <c:ptCount val="1"/>
                <c:pt idx="0">
                  <c:v>0.9</c:v>
                </c:pt>
              </c:numCache>
            </c:numRef>
          </c:val>
          <c:extLst>
            <c:ext xmlns:c16="http://schemas.microsoft.com/office/drawing/2014/chart" uri="{C3380CC4-5D6E-409C-BE32-E72D297353CC}">
              <c16:uniqueId val="{00000001-FEC5-4F52-A460-10603F2E6A53}"/>
            </c:ext>
          </c:extLst>
        </c:ser>
        <c:ser>
          <c:idx val="2"/>
          <c:order val="2"/>
          <c:tx>
            <c:strRef>
              <c:f>TABLAS!$A$144</c:f>
              <c:strCache>
                <c:ptCount val="1"/>
                <c:pt idx="0">
                  <c:v> APURIMAC</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TABLAS!$F$144</c:f>
              <c:numCache>
                <c:formatCode>0%</c:formatCode>
                <c:ptCount val="1"/>
                <c:pt idx="0">
                  <c:v>0.41</c:v>
                </c:pt>
              </c:numCache>
            </c:numRef>
          </c:val>
          <c:extLst>
            <c:ext xmlns:c16="http://schemas.microsoft.com/office/drawing/2014/chart" uri="{C3380CC4-5D6E-409C-BE32-E72D297353CC}">
              <c16:uniqueId val="{00000002-FEC5-4F52-A460-10603F2E6A53}"/>
            </c:ext>
          </c:extLst>
        </c:ser>
        <c:ser>
          <c:idx val="3"/>
          <c:order val="3"/>
          <c:tx>
            <c:strRef>
              <c:f>TABLAS!$A$145</c:f>
              <c:strCache>
                <c:ptCount val="1"/>
                <c:pt idx="0">
                  <c:v> AREQUIPA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TABLAS!$F$145</c:f>
              <c:numCache>
                <c:formatCode>0%</c:formatCode>
                <c:ptCount val="1"/>
                <c:pt idx="0">
                  <c:v>-0.27</c:v>
                </c:pt>
              </c:numCache>
            </c:numRef>
          </c:val>
          <c:extLst>
            <c:ext xmlns:c16="http://schemas.microsoft.com/office/drawing/2014/chart" uri="{C3380CC4-5D6E-409C-BE32-E72D297353CC}">
              <c16:uniqueId val="{00000003-FEC5-4F52-A460-10603F2E6A53}"/>
            </c:ext>
          </c:extLst>
        </c:ser>
        <c:ser>
          <c:idx val="4"/>
          <c:order val="4"/>
          <c:tx>
            <c:strRef>
              <c:f>TABLAS!$A$146</c:f>
              <c:strCache>
                <c:ptCount val="1"/>
                <c:pt idx="0">
                  <c:v> AYACUCHO</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TABLAS!$F$146</c:f>
              <c:numCache>
                <c:formatCode>0%</c:formatCode>
                <c:ptCount val="1"/>
                <c:pt idx="0">
                  <c:v>2.48</c:v>
                </c:pt>
              </c:numCache>
            </c:numRef>
          </c:val>
          <c:extLst>
            <c:ext xmlns:c16="http://schemas.microsoft.com/office/drawing/2014/chart" uri="{C3380CC4-5D6E-409C-BE32-E72D297353CC}">
              <c16:uniqueId val="{00000004-FEC5-4F52-A460-10603F2E6A53}"/>
            </c:ext>
          </c:extLst>
        </c:ser>
        <c:ser>
          <c:idx val="5"/>
          <c:order val="5"/>
          <c:tx>
            <c:strRef>
              <c:f>TABLAS!$A$147</c:f>
              <c:strCache>
                <c:ptCount val="1"/>
                <c:pt idx="0">
                  <c:v> CAJAMARCA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TABLAS!$F$147</c:f>
              <c:numCache>
                <c:formatCode>0%</c:formatCode>
                <c:ptCount val="1"/>
                <c:pt idx="0">
                  <c:v>1.07</c:v>
                </c:pt>
              </c:numCache>
            </c:numRef>
          </c:val>
          <c:extLst>
            <c:ext xmlns:c16="http://schemas.microsoft.com/office/drawing/2014/chart" uri="{C3380CC4-5D6E-409C-BE32-E72D297353CC}">
              <c16:uniqueId val="{00000005-FEC5-4F52-A460-10603F2E6A53}"/>
            </c:ext>
          </c:extLst>
        </c:ser>
        <c:ser>
          <c:idx val="6"/>
          <c:order val="6"/>
          <c:tx>
            <c:strRef>
              <c:f>TABLAS!$A$148</c:f>
              <c:strCache>
                <c:ptCount val="1"/>
                <c:pt idx="0">
                  <c:v>CALLAO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TABLAS!$F$148</c:f>
              <c:numCache>
                <c:formatCode>0%</c:formatCode>
                <c:ptCount val="1"/>
                <c:pt idx="0">
                  <c:v>14.05</c:v>
                </c:pt>
              </c:numCache>
            </c:numRef>
          </c:val>
          <c:extLst>
            <c:ext xmlns:c16="http://schemas.microsoft.com/office/drawing/2014/chart" uri="{C3380CC4-5D6E-409C-BE32-E72D297353CC}">
              <c16:uniqueId val="{00000006-FEC5-4F52-A460-10603F2E6A53}"/>
            </c:ext>
          </c:extLst>
        </c:ser>
        <c:ser>
          <c:idx val="7"/>
          <c:order val="7"/>
          <c:tx>
            <c:strRef>
              <c:f>TABLAS!$A$149</c:f>
              <c:strCache>
                <c:ptCount val="1"/>
                <c:pt idx="0">
                  <c:v> CUSCO</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TABLAS!$F$149</c:f>
              <c:numCache>
                <c:formatCode>0%</c:formatCode>
                <c:ptCount val="1"/>
                <c:pt idx="0">
                  <c:v>-0.12</c:v>
                </c:pt>
              </c:numCache>
            </c:numRef>
          </c:val>
          <c:extLst>
            <c:ext xmlns:c16="http://schemas.microsoft.com/office/drawing/2014/chart" uri="{C3380CC4-5D6E-409C-BE32-E72D297353CC}">
              <c16:uniqueId val="{00000007-FEC5-4F52-A460-10603F2E6A53}"/>
            </c:ext>
          </c:extLst>
        </c:ser>
        <c:ser>
          <c:idx val="8"/>
          <c:order val="8"/>
          <c:tx>
            <c:strRef>
              <c:f>TABLAS!$A$150</c:f>
              <c:strCache>
                <c:ptCount val="1"/>
                <c:pt idx="0">
                  <c:v> HUANCAVELICA</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TABLAS!$F$150</c:f>
              <c:numCache>
                <c:formatCode>0%</c:formatCode>
                <c:ptCount val="1"/>
                <c:pt idx="0">
                  <c:v>4.76</c:v>
                </c:pt>
              </c:numCache>
            </c:numRef>
          </c:val>
          <c:extLst>
            <c:ext xmlns:c16="http://schemas.microsoft.com/office/drawing/2014/chart" uri="{C3380CC4-5D6E-409C-BE32-E72D297353CC}">
              <c16:uniqueId val="{00000008-FEC5-4F52-A460-10603F2E6A53}"/>
            </c:ext>
          </c:extLst>
        </c:ser>
        <c:ser>
          <c:idx val="9"/>
          <c:order val="9"/>
          <c:tx>
            <c:strRef>
              <c:f>TABLAS!$A$151</c:f>
              <c:strCache>
                <c:ptCount val="1"/>
                <c:pt idx="0">
                  <c:v> HUANUCO</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TABLAS!$F$151</c:f>
              <c:numCache>
                <c:formatCode>0%</c:formatCode>
                <c:ptCount val="1"/>
                <c:pt idx="0">
                  <c:v>13.83</c:v>
                </c:pt>
              </c:numCache>
            </c:numRef>
          </c:val>
          <c:extLst>
            <c:ext xmlns:c16="http://schemas.microsoft.com/office/drawing/2014/chart" uri="{C3380CC4-5D6E-409C-BE32-E72D297353CC}">
              <c16:uniqueId val="{00000009-FEC5-4F52-A460-10603F2E6A53}"/>
            </c:ext>
          </c:extLst>
        </c:ser>
        <c:ser>
          <c:idx val="10"/>
          <c:order val="10"/>
          <c:tx>
            <c:strRef>
              <c:f>TABLAS!$A$152</c:f>
              <c:strCache>
                <c:ptCount val="1"/>
                <c:pt idx="0">
                  <c:v> ICA</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TABLAS!$F$152</c:f>
              <c:numCache>
                <c:formatCode>0%</c:formatCode>
                <c:ptCount val="1"/>
                <c:pt idx="0">
                  <c:v>6.11</c:v>
                </c:pt>
              </c:numCache>
            </c:numRef>
          </c:val>
          <c:extLst>
            <c:ext xmlns:c16="http://schemas.microsoft.com/office/drawing/2014/chart" uri="{C3380CC4-5D6E-409C-BE32-E72D297353CC}">
              <c16:uniqueId val="{0000000A-FEC5-4F52-A460-10603F2E6A53}"/>
            </c:ext>
          </c:extLst>
        </c:ser>
        <c:ser>
          <c:idx val="11"/>
          <c:order val="11"/>
          <c:tx>
            <c:strRef>
              <c:f>TABLAS!$A$153</c:f>
              <c:strCache>
                <c:ptCount val="1"/>
                <c:pt idx="0">
                  <c:v> JUNIN</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TABLAS!$F$153</c:f>
              <c:numCache>
                <c:formatCode>0%</c:formatCode>
                <c:ptCount val="1"/>
                <c:pt idx="0">
                  <c:v>4.51</c:v>
                </c:pt>
              </c:numCache>
            </c:numRef>
          </c:val>
          <c:extLst>
            <c:ext xmlns:c16="http://schemas.microsoft.com/office/drawing/2014/chart" uri="{C3380CC4-5D6E-409C-BE32-E72D297353CC}">
              <c16:uniqueId val="{0000000B-FEC5-4F52-A460-10603F2E6A53}"/>
            </c:ext>
          </c:extLst>
        </c:ser>
        <c:ser>
          <c:idx val="12"/>
          <c:order val="12"/>
          <c:tx>
            <c:strRef>
              <c:f>TABLAS!$A$154</c:f>
              <c:strCache>
                <c:ptCount val="1"/>
                <c:pt idx="0">
                  <c:v> LA LIBERTAD</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TABLAS!$F$154</c:f>
              <c:numCache>
                <c:formatCode>0%</c:formatCode>
                <c:ptCount val="1"/>
                <c:pt idx="0">
                  <c:v>15.81</c:v>
                </c:pt>
              </c:numCache>
            </c:numRef>
          </c:val>
          <c:extLst>
            <c:ext xmlns:c16="http://schemas.microsoft.com/office/drawing/2014/chart" uri="{C3380CC4-5D6E-409C-BE32-E72D297353CC}">
              <c16:uniqueId val="{0000000C-FEC5-4F52-A460-10603F2E6A53}"/>
            </c:ext>
          </c:extLst>
        </c:ser>
        <c:ser>
          <c:idx val="13"/>
          <c:order val="13"/>
          <c:tx>
            <c:strRef>
              <c:f>TABLAS!$A$155</c:f>
              <c:strCache>
                <c:ptCount val="1"/>
                <c:pt idx="0">
                  <c:v> LAMBAYEQUE</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TABLAS!$F$155</c:f>
              <c:numCache>
                <c:formatCode>0%</c:formatCode>
                <c:ptCount val="1"/>
                <c:pt idx="0">
                  <c:v>6.53</c:v>
                </c:pt>
              </c:numCache>
            </c:numRef>
          </c:val>
          <c:extLst>
            <c:ext xmlns:c16="http://schemas.microsoft.com/office/drawing/2014/chart" uri="{C3380CC4-5D6E-409C-BE32-E72D297353CC}">
              <c16:uniqueId val="{0000000D-FEC5-4F52-A460-10603F2E6A53}"/>
            </c:ext>
          </c:extLst>
        </c:ser>
        <c:ser>
          <c:idx val="14"/>
          <c:order val="14"/>
          <c:tx>
            <c:strRef>
              <c:f>TABLAS!$A$156</c:f>
              <c:strCache>
                <c:ptCount val="1"/>
                <c:pt idx="0">
                  <c:v> LIMA</c:v>
                </c:pt>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TABLAS!$F$156</c:f>
              <c:numCache>
                <c:formatCode>0%</c:formatCode>
                <c:ptCount val="1"/>
                <c:pt idx="0">
                  <c:v>1.8</c:v>
                </c:pt>
              </c:numCache>
            </c:numRef>
          </c:val>
          <c:extLst>
            <c:ext xmlns:c16="http://schemas.microsoft.com/office/drawing/2014/chart" uri="{C3380CC4-5D6E-409C-BE32-E72D297353CC}">
              <c16:uniqueId val="{0000000E-FEC5-4F52-A460-10603F2E6A53}"/>
            </c:ext>
          </c:extLst>
        </c:ser>
        <c:ser>
          <c:idx val="15"/>
          <c:order val="15"/>
          <c:tx>
            <c:strRef>
              <c:f>TABLAS!$A$157</c:f>
              <c:strCache>
                <c:ptCount val="1"/>
                <c:pt idx="0">
                  <c:v> LORETO</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TABLAS!$F$157</c:f>
              <c:numCache>
                <c:formatCode>0%</c:formatCode>
                <c:ptCount val="1"/>
                <c:pt idx="0">
                  <c:v>-0.51</c:v>
                </c:pt>
              </c:numCache>
            </c:numRef>
          </c:val>
          <c:extLst>
            <c:ext xmlns:c16="http://schemas.microsoft.com/office/drawing/2014/chart" uri="{C3380CC4-5D6E-409C-BE32-E72D297353CC}">
              <c16:uniqueId val="{0000000F-FEC5-4F52-A460-10603F2E6A53}"/>
            </c:ext>
          </c:extLst>
        </c:ser>
        <c:ser>
          <c:idx val="16"/>
          <c:order val="16"/>
          <c:tx>
            <c:strRef>
              <c:f>TABLAS!$A$158</c:f>
              <c:strCache>
                <c:ptCount val="1"/>
                <c:pt idx="0">
                  <c:v> MADRE DE DIOS</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TABLAS!$F$158</c:f>
              <c:numCache>
                <c:formatCode>0%</c:formatCode>
                <c:ptCount val="1"/>
                <c:pt idx="0">
                  <c:v>1.26</c:v>
                </c:pt>
              </c:numCache>
            </c:numRef>
          </c:val>
          <c:extLst>
            <c:ext xmlns:c16="http://schemas.microsoft.com/office/drawing/2014/chart" uri="{C3380CC4-5D6E-409C-BE32-E72D297353CC}">
              <c16:uniqueId val="{00000010-FEC5-4F52-A460-10603F2E6A53}"/>
            </c:ext>
          </c:extLst>
        </c:ser>
        <c:ser>
          <c:idx val="17"/>
          <c:order val="17"/>
          <c:tx>
            <c:strRef>
              <c:f>TABLAS!$A$159</c:f>
              <c:strCache>
                <c:ptCount val="1"/>
                <c:pt idx="0">
                  <c:v> MOQUEGUA</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TABLAS!$F$159</c:f>
              <c:numCache>
                <c:formatCode>0%</c:formatCode>
                <c:ptCount val="1"/>
                <c:pt idx="0">
                  <c:v>-0.96</c:v>
                </c:pt>
              </c:numCache>
            </c:numRef>
          </c:val>
          <c:extLst>
            <c:ext xmlns:c16="http://schemas.microsoft.com/office/drawing/2014/chart" uri="{C3380CC4-5D6E-409C-BE32-E72D297353CC}">
              <c16:uniqueId val="{00000011-FEC5-4F52-A460-10603F2E6A53}"/>
            </c:ext>
          </c:extLst>
        </c:ser>
        <c:ser>
          <c:idx val="18"/>
          <c:order val="18"/>
          <c:tx>
            <c:strRef>
              <c:f>TABLAS!$A$160</c:f>
              <c:strCache>
                <c:ptCount val="1"/>
                <c:pt idx="0">
                  <c:v> PASCO</c:v>
                </c:pt>
              </c:strCache>
            </c:strRef>
          </c:tx>
          <c:spPr>
            <a:solidFill>
              <a:schemeClr val="accent1">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TABLAS!$F$160</c:f>
              <c:numCache>
                <c:formatCode>0%</c:formatCode>
                <c:ptCount val="1"/>
                <c:pt idx="0">
                  <c:v>9.34</c:v>
                </c:pt>
              </c:numCache>
            </c:numRef>
          </c:val>
          <c:extLst>
            <c:ext xmlns:c16="http://schemas.microsoft.com/office/drawing/2014/chart" uri="{C3380CC4-5D6E-409C-BE32-E72D297353CC}">
              <c16:uniqueId val="{00000012-FEC5-4F52-A460-10603F2E6A53}"/>
            </c:ext>
          </c:extLst>
        </c:ser>
        <c:ser>
          <c:idx val="19"/>
          <c:order val="19"/>
          <c:tx>
            <c:strRef>
              <c:f>TABLAS!$A$161</c:f>
              <c:strCache>
                <c:ptCount val="1"/>
                <c:pt idx="0">
                  <c:v> PIURA</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TABLAS!$F$161</c:f>
              <c:numCache>
                <c:formatCode>0%</c:formatCode>
                <c:ptCount val="1"/>
                <c:pt idx="0">
                  <c:v>6.61</c:v>
                </c:pt>
              </c:numCache>
            </c:numRef>
          </c:val>
          <c:extLst>
            <c:ext xmlns:c16="http://schemas.microsoft.com/office/drawing/2014/chart" uri="{C3380CC4-5D6E-409C-BE32-E72D297353CC}">
              <c16:uniqueId val="{00000013-FEC5-4F52-A460-10603F2E6A53}"/>
            </c:ext>
          </c:extLst>
        </c:ser>
        <c:ser>
          <c:idx val="20"/>
          <c:order val="20"/>
          <c:tx>
            <c:strRef>
              <c:f>TABLAS!$A$162</c:f>
              <c:strCache>
                <c:ptCount val="1"/>
                <c:pt idx="0">
                  <c:v> PUNO</c:v>
                </c:pt>
              </c:strCache>
            </c:strRef>
          </c:tx>
          <c:spPr>
            <a:solidFill>
              <a:schemeClr val="accent3">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TABLAS!$F$162</c:f>
              <c:numCache>
                <c:formatCode>0%</c:formatCode>
                <c:ptCount val="1"/>
                <c:pt idx="0">
                  <c:v>0.27</c:v>
                </c:pt>
              </c:numCache>
            </c:numRef>
          </c:val>
          <c:extLst>
            <c:ext xmlns:c16="http://schemas.microsoft.com/office/drawing/2014/chart" uri="{C3380CC4-5D6E-409C-BE32-E72D297353CC}">
              <c16:uniqueId val="{00000014-FEC5-4F52-A460-10603F2E6A53}"/>
            </c:ext>
          </c:extLst>
        </c:ser>
        <c:ser>
          <c:idx val="21"/>
          <c:order val="21"/>
          <c:tx>
            <c:strRef>
              <c:f>TABLAS!$A$163</c:f>
              <c:strCache>
                <c:ptCount val="1"/>
                <c:pt idx="0">
                  <c:v> SAN MARTIN</c:v>
                </c:pt>
              </c:strCache>
            </c:strRef>
          </c:tx>
          <c:spPr>
            <a:solidFill>
              <a:schemeClr val="accent4">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TABLAS!$F$163</c:f>
              <c:numCache>
                <c:formatCode>0%</c:formatCode>
                <c:ptCount val="1"/>
                <c:pt idx="0">
                  <c:v>11.99</c:v>
                </c:pt>
              </c:numCache>
            </c:numRef>
          </c:val>
          <c:extLst>
            <c:ext xmlns:c16="http://schemas.microsoft.com/office/drawing/2014/chart" uri="{C3380CC4-5D6E-409C-BE32-E72D297353CC}">
              <c16:uniqueId val="{00000015-FEC5-4F52-A460-10603F2E6A53}"/>
            </c:ext>
          </c:extLst>
        </c:ser>
        <c:ser>
          <c:idx val="22"/>
          <c:order val="22"/>
          <c:tx>
            <c:strRef>
              <c:f>TABLAS!$A$164</c:f>
              <c:strCache>
                <c:ptCount val="1"/>
                <c:pt idx="0">
                  <c:v> TACNA</c:v>
                </c:pt>
              </c:strCache>
            </c:strRef>
          </c:tx>
          <c:spPr>
            <a:solidFill>
              <a:schemeClr val="accent5">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TABLAS!$F$164</c:f>
              <c:numCache>
                <c:formatCode>0%</c:formatCode>
                <c:ptCount val="1"/>
                <c:pt idx="0">
                  <c:v>-0.59</c:v>
                </c:pt>
              </c:numCache>
            </c:numRef>
          </c:val>
          <c:extLst>
            <c:ext xmlns:c16="http://schemas.microsoft.com/office/drawing/2014/chart" uri="{C3380CC4-5D6E-409C-BE32-E72D297353CC}">
              <c16:uniqueId val="{00000016-FEC5-4F52-A460-10603F2E6A53}"/>
            </c:ext>
          </c:extLst>
        </c:ser>
        <c:ser>
          <c:idx val="23"/>
          <c:order val="23"/>
          <c:tx>
            <c:strRef>
              <c:f>TABLAS!$A$165</c:f>
              <c:strCache>
                <c:ptCount val="1"/>
                <c:pt idx="0">
                  <c:v> TUMBES</c:v>
                </c:pt>
              </c:strCache>
            </c:strRef>
          </c:tx>
          <c:spPr>
            <a:solidFill>
              <a:schemeClr val="accent6">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TABLAS!$F$165</c:f>
              <c:numCache>
                <c:formatCode>0%</c:formatCode>
                <c:ptCount val="1"/>
                <c:pt idx="0">
                  <c:v>3.7</c:v>
                </c:pt>
              </c:numCache>
            </c:numRef>
          </c:val>
          <c:extLst>
            <c:ext xmlns:c16="http://schemas.microsoft.com/office/drawing/2014/chart" uri="{C3380CC4-5D6E-409C-BE32-E72D297353CC}">
              <c16:uniqueId val="{00000017-FEC5-4F52-A460-10603F2E6A53}"/>
            </c:ext>
          </c:extLst>
        </c:ser>
        <c:ser>
          <c:idx val="24"/>
          <c:order val="24"/>
          <c:tx>
            <c:strRef>
              <c:f>TABLAS!$A$166</c:f>
              <c:strCache>
                <c:ptCount val="1"/>
                <c:pt idx="0">
                  <c:v> UCAYALI</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TABLAS!$F$166</c:f>
              <c:numCache>
                <c:formatCode>0%</c:formatCode>
                <c:ptCount val="1"/>
                <c:pt idx="0">
                  <c:v>1.52</c:v>
                </c:pt>
              </c:numCache>
            </c:numRef>
          </c:val>
          <c:extLst>
            <c:ext xmlns:c16="http://schemas.microsoft.com/office/drawing/2014/chart" uri="{C3380CC4-5D6E-409C-BE32-E72D297353CC}">
              <c16:uniqueId val="{00000018-FEC5-4F52-A460-10603F2E6A53}"/>
            </c:ext>
          </c:extLst>
        </c:ser>
        <c:dLbls>
          <c:showLegendKey val="0"/>
          <c:showVal val="1"/>
          <c:showCatName val="0"/>
          <c:showSerName val="0"/>
          <c:showPercent val="0"/>
          <c:showBubbleSize val="0"/>
        </c:dLbls>
        <c:gapWidth val="50"/>
        <c:axId val="436296296"/>
        <c:axId val="436296688"/>
      </c:barChart>
      <c:catAx>
        <c:axId val="436296296"/>
        <c:scaling>
          <c:orientation val="minMax"/>
        </c:scaling>
        <c:delete val="0"/>
        <c:axPos val="b"/>
        <c:numFmt formatCode="General" sourceLinked="1"/>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en-US"/>
          </a:p>
        </c:txPr>
        <c:crossAx val="436296688"/>
        <c:crosses val="autoZero"/>
        <c:auto val="1"/>
        <c:lblAlgn val="ctr"/>
        <c:lblOffset val="100"/>
        <c:noMultiLvlLbl val="0"/>
      </c:catAx>
      <c:valAx>
        <c:axId val="436296688"/>
        <c:scaling>
          <c:orientation val="minMax"/>
        </c:scaling>
        <c:delete val="0"/>
        <c:axPos val="l"/>
        <c:majorGridlines>
          <c:spPr>
            <a:ln w="9525" cap="flat" cmpd="sng" algn="ctr">
              <a:noFill/>
              <a:round/>
            </a:ln>
            <a:effectLst/>
          </c:spPr>
        </c:majorGridlines>
        <c:numFmt formatCode="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en-US"/>
          </a:p>
        </c:txPr>
        <c:crossAx val="436296296"/>
        <c:crosses val="autoZero"/>
        <c:crossBetween val="between"/>
      </c:valAx>
      <c:spPr>
        <a:noFill/>
        <a:ln>
          <a:noFill/>
        </a:ln>
        <a:effectLst/>
      </c:spPr>
    </c:plotArea>
    <c:legend>
      <c:legendPos val="t"/>
      <c:layout>
        <c:manualLayout>
          <c:xMode val="edge"/>
          <c:yMode val="edge"/>
          <c:x val="1.8215050258886978E-2"/>
          <c:y val="2.4844720496894408E-2"/>
          <c:w val="0.94945870771327623"/>
          <c:h val="0.2313689049738348"/>
        </c:manualLayout>
      </c:layout>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54311449544816E-2"/>
          <c:y val="0.29339974675689506"/>
          <c:w val="0.88117550981103843"/>
          <c:h val="0.68320293829086065"/>
        </c:manualLayout>
      </c:layout>
      <c:barChart>
        <c:barDir val="col"/>
        <c:grouping val="clustered"/>
        <c:varyColors val="0"/>
        <c:ser>
          <c:idx val="0"/>
          <c:order val="0"/>
          <c:tx>
            <c:strRef>
              <c:f>TABLAS!$A$173</c:f>
              <c:strCache>
                <c:ptCount val="1"/>
                <c:pt idx="0">
                  <c:v> AMAZONAS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TABLAS!$F$173</c:f>
              <c:numCache>
                <c:formatCode>0%</c:formatCode>
                <c:ptCount val="1"/>
                <c:pt idx="0">
                  <c:v>-0.22</c:v>
                </c:pt>
              </c:numCache>
            </c:numRef>
          </c:val>
          <c:extLst>
            <c:ext xmlns:c16="http://schemas.microsoft.com/office/drawing/2014/chart" uri="{C3380CC4-5D6E-409C-BE32-E72D297353CC}">
              <c16:uniqueId val="{00000000-3B95-4C60-948D-E24E88F8DD68}"/>
            </c:ext>
          </c:extLst>
        </c:ser>
        <c:ser>
          <c:idx val="1"/>
          <c:order val="1"/>
          <c:tx>
            <c:strRef>
              <c:f>TABLAS!$A$174</c:f>
              <c:strCache>
                <c:ptCount val="1"/>
                <c:pt idx="0">
                  <c:v> ANCASH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TABLAS!$F$174</c:f>
              <c:numCache>
                <c:formatCode>0%</c:formatCode>
                <c:ptCount val="1"/>
                <c:pt idx="0">
                  <c:v>9.39</c:v>
                </c:pt>
              </c:numCache>
            </c:numRef>
          </c:val>
          <c:extLst>
            <c:ext xmlns:c16="http://schemas.microsoft.com/office/drawing/2014/chart" uri="{C3380CC4-5D6E-409C-BE32-E72D297353CC}">
              <c16:uniqueId val="{00000001-3B95-4C60-948D-E24E88F8DD68}"/>
            </c:ext>
          </c:extLst>
        </c:ser>
        <c:ser>
          <c:idx val="2"/>
          <c:order val="2"/>
          <c:tx>
            <c:strRef>
              <c:f>TABLAS!$A$175</c:f>
              <c:strCache>
                <c:ptCount val="1"/>
                <c:pt idx="0">
                  <c:v> APURIMAC</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TABLAS!$F$175</c:f>
              <c:numCache>
                <c:formatCode>0%</c:formatCode>
                <c:ptCount val="1"/>
                <c:pt idx="0">
                  <c:v>-0.82</c:v>
                </c:pt>
              </c:numCache>
            </c:numRef>
          </c:val>
          <c:extLst>
            <c:ext xmlns:c16="http://schemas.microsoft.com/office/drawing/2014/chart" uri="{C3380CC4-5D6E-409C-BE32-E72D297353CC}">
              <c16:uniqueId val="{00000002-3B95-4C60-948D-E24E88F8DD68}"/>
            </c:ext>
          </c:extLst>
        </c:ser>
        <c:ser>
          <c:idx val="3"/>
          <c:order val="3"/>
          <c:tx>
            <c:strRef>
              <c:f>TABLAS!$A$176</c:f>
              <c:strCache>
                <c:ptCount val="1"/>
                <c:pt idx="0">
                  <c:v> AREQUIPA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TABLAS!$F$176</c:f>
              <c:numCache>
                <c:formatCode>0%</c:formatCode>
                <c:ptCount val="1"/>
                <c:pt idx="0">
                  <c:v>18.420000000000002</c:v>
                </c:pt>
              </c:numCache>
            </c:numRef>
          </c:val>
          <c:extLst>
            <c:ext xmlns:c16="http://schemas.microsoft.com/office/drawing/2014/chart" uri="{C3380CC4-5D6E-409C-BE32-E72D297353CC}">
              <c16:uniqueId val="{00000003-3B95-4C60-948D-E24E88F8DD68}"/>
            </c:ext>
          </c:extLst>
        </c:ser>
        <c:ser>
          <c:idx val="4"/>
          <c:order val="4"/>
          <c:tx>
            <c:strRef>
              <c:f>TABLAS!$A$177</c:f>
              <c:strCache>
                <c:ptCount val="1"/>
                <c:pt idx="0">
                  <c:v> AYACUCHO</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TABLAS!$F$177</c:f>
              <c:numCache>
                <c:formatCode>0%</c:formatCode>
                <c:ptCount val="1"/>
                <c:pt idx="0">
                  <c:v>2.6</c:v>
                </c:pt>
              </c:numCache>
            </c:numRef>
          </c:val>
          <c:extLst>
            <c:ext xmlns:c16="http://schemas.microsoft.com/office/drawing/2014/chart" uri="{C3380CC4-5D6E-409C-BE32-E72D297353CC}">
              <c16:uniqueId val="{00000004-3B95-4C60-948D-E24E88F8DD68}"/>
            </c:ext>
          </c:extLst>
        </c:ser>
        <c:ser>
          <c:idx val="5"/>
          <c:order val="5"/>
          <c:tx>
            <c:strRef>
              <c:f>TABLAS!$A$178</c:f>
              <c:strCache>
                <c:ptCount val="1"/>
                <c:pt idx="0">
                  <c:v> CAJAMARCA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TABLAS!$F$178</c:f>
              <c:numCache>
                <c:formatCode>0%</c:formatCode>
                <c:ptCount val="1"/>
                <c:pt idx="0">
                  <c:v>3.23</c:v>
                </c:pt>
              </c:numCache>
            </c:numRef>
          </c:val>
          <c:extLst>
            <c:ext xmlns:c16="http://schemas.microsoft.com/office/drawing/2014/chart" uri="{C3380CC4-5D6E-409C-BE32-E72D297353CC}">
              <c16:uniqueId val="{00000005-3B95-4C60-948D-E24E88F8DD68}"/>
            </c:ext>
          </c:extLst>
        </c:ser>
        <c:ser>
          <c:idx val="6"/>
          <c:order val="6"/>
          <c:tx>
            <c:strRef>
              <c:f>TABLAS!$A$179</c:f>
              <c:strCache>
                <c:ptCount val="1"/>
                <c:pt idx="0">
                  <c:v>CALLAO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TABLAS!$F$179</c:f>
              <c:numCache>
                <c:formatCode>0%</c:formatCode>
                <c:ptCount val="1"/>
                <c:pt idx="0">
                  <c:v>0.18</c:v>
                </c:pt>
              </c:numCache>
            </c:numRef>
          </c:val>
          <c:extLst>
            <c:ext xmlns:c16="http://schemas.microsoft.com/office/drawing/2014/chart" uri="{C3380CC4-5D6E-409C-BE32-E72D297353CC}">
              <c16:uniqueId val="{00000006-3B95-4C60-948D-E24E88F8DD68}"/>
            </c:ext>
          </c:extLst>
        </c:ser>
        <c:ser>
          <c:idx val="7"/>
          <c:order val="7"/>
          <c:tx>
            <c:strRef>
              <c:f>TABLAS!$A$180</c:f>
              <c:strCache>
                <c:ptCount val="1"/>
                <c:pt idx="0">
                  <c:v> CUSCO</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TABLAS!$F$180</c:f>
              <c:numCache>
                <c:formatCode>0%</c:formatCode>
                <c:ptCount val="1"/>
                <c:pt idx="0">
                  <c:v>1.1000000000000001</c:v>
                </c:pt>
              </c:numCache>
            </c:numRef>
          </c:val>
          <c:extLst>
            <c:ext xmlns:c16="http://schemas.microsoft.com/office/drawing/2014/chart" uri="{C3380CC4-5D6E-409C-BE32-E72D297353CC}">
              <c16:uniqueId val="{00000007-3B95-4C60-948D-E24E88F8DD68}"/>
            </c:ext>
          </c:extLst>
        </c:ser>
        <c:ser>
          <c:idx val="8"/>
          <c:order val="8"/>
          <c:tx>
            <c:strRef>
              <c:f>TABLAS!$A$181</c:f>
              <c:strCache>
                <c:ptCount val="1"/>
                <c:pt idx="0">
                  <c:v> HUANCAVELICA</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TABLAS!$F$181</c:f>
              <c:numCache>
                <c:formatCode>0%</c:formatCode>
                <c:ptCount val="1"/>
                <c:pt idx="0">
                  <c:v>1.52</c:v>
                </c:pt>
              </c:numCache>
            </c:numRef>
          </c:val>
          <c:extLst>
            <c:ext xmlns:c16="http://schemas.microsoft.com/office/drawing/2014/chart" uri="{C3380CC4-5D6E-409C-BE32-E72D297353CC}">
              <c16:uniqueId val="{00000008-3B95-4C60-948D-E24E88F8DD68}"/>
            </c:ext>
          </c:extLst>
        </c:ser>
        <c:ser>
          <c:idx val="9"/>
          <c:order val="9"/>
          <c:tx>
            <c:strRef>
              <c:f>TABLAS!$A$182</c:f>
              <c:strCache>
                <c:ptCount val="1"/>
                <c:pt idx="0">
                  <c:v> HUANUCO</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TABLAS!$F$182</c:f>
              <c:numCache>
                <c:formatCode>0%</c:formatCode>
                <c:ptCount val="1"/>
                <c:pt idx="0">
                  <c:v>4.9000000000000004</c:v>
                </c:pt>
              </c:numCache>
            </c:numRef>
          </c:val>
          <c:extLst>
            <c:ext xmlns:c16="http://schemas.microsoft.com/office/drawing/2014/chart" uri="{C3380CC4-5D6E-409C-BE32-E72D297353CC}">
              <c16:uniqueId val="{00000009-3B95-4C60-948D-E24E88F8DD68}"/>
            </c:ext>
          </c:extLst>
        </c:ser>
        <c:ser>
          <c:idx val="10"/>
          <c:order val="10"/>
          <c:tx>
            <c:strRef>
              <c:f>TABLAS!$A$183</c:f>
              <c:strCache>
                <c:ptCount val="1"/>
                <c:pt idx="0">
                  <c:v> ICA</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TABLAS!$F$183</c:f>
              <c:numCache>
                <c:formatCode>0%</c:formatCode>
                <c:ptCount val="1"/>
                <c:pt idx="0">
                  <c:v>-0.63</c:v>
                </c:pt>
              </c:numCache>
            </c:numRef>
          </c:val>
          <c:extLst>
            <c:ext xmlns:c16="http://schemas.microsoft.com/office/drawing/2014/chart" uri="{C3380CC4-5D6E-409C-BE32-E72D297353CC}">
              <c16:uniqueId val="{0000000A-3B95-4C60-948D-E24E88F8DD68}"/>
            </c:ext>
          </c:extLst>
        </c:ser>
        <c:ser>
          <c:idx val="11"/>
          <c:order val="11"/>
          <c:tx>
            <c:strRef>
              <c:f>TABLAS!$A$184</c:f>
              <c:strCache>
                <c:ptCount val="1"/>
                <c:pt idx="0">
                  <c:v> JUNIN</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TABLAS!$F$184</c:f>
              <c:numCache>
                <c:formatCode>0%</c:formatCode>
                <c:ptCount val="1"/>
                <c:pt idx="0">
                  <c:v>2.7</c:v>
                </c:pt>
              </c:numCache>
            </c:numRef>
          </c:val>
          <c:extLst>
            <c:ext xmlns:c16="http://schemas.microsoft.com/office/drawing/2014/chart" uri="{C3380CC4-5D6E-409C-BE32-E72D297353CC}">
              <c16:uniqueId val="{0000000B-3B95-4C60-948D-E24E88F8DD68}"/>
            </c:ext>
          </c:extLst>
        </c:ser>
        <c:ser>
          <c:idx val="12"/>
          <c:order val="12"/>
          <c:tx>
            <c:strRef>
              <c:f>TABLAS!$A$185</c:f>
              <c:strCache>
                <c:ptCount val="1"/>
                <c:pt idx="0">
                  <c:v> LA LIBERTAD</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TABLAS!$F$185</c:f>
              <c:numCache>
                <c:formatCode>0%</c:formatCode>
                <c:ptCount val="1"/>
                <c:pt idx="0">
                  <c:v>34.869999999999997</c:v>
                </c:pt>
              </c:numCache>
            </c:numRef>
          </c:val>
          <c:extLst>
            <c:ext xmlns:c16="http://schemas.microsoft.com/office/drawing/2014/chart" uri="{C3380CC4-5D6E-409C-BE32-E72D297353CC}">
              <c16:uniqueId val="{0000000C-3B95-4C60-948D-E24E88F8DD68}"/>
            </c:ext>
          </c:extLst>
        </c:ser>
        <c:ser>
          <c:idx val="13"/>
          <c:order val="13"/>
          <c:tx>
            <c:strRef>
              <c:f>TABLAS!$A$186</c:f>
              <c:strCache>
                <c:ptCount val="1"/>
                <c:pt idx="0">
                  <c:v> LAMBAYEQUE</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TABLAS!$F$186</c:f>
              <c:numCache>
                <c:formatCode>0%</c:formatCode>
                <c:ptCount val="1"/>
                <c:pt idx="0">
                  <c:v>-1</c:v>
                </c:pt>
              </c:numCache>
            </c:numRef>
          </c:val>
          <c:extLst>
            <c:ext xmlns:c16="http://schemas.microsoft.com/office/drawing/2014/chart" uri="{C3380CC4-5D6E-409C-BE32-E72D297353CC}">
              <c16:uniqueId val="{0000000D-3B95-4C60-948D-E24E88F8DD68}"/>
            </c:ext>
          </c:extLst>
        </c:ser>
        <c:ser>
          <c:idx val="14"/>
          <c:order val="14"/>
          <c:tx>
            <c:strRef>
              <c:f>TABLAS!$A$187</c:f>
              <c:strCache>
                <c:ptCount val="1"/>
                <c:pt idx="0">
                  <c:v> LIMA</c:v>
                </c:pt>
              </c:strCache>
            </c:strRef>
          </c:tx>
          <c:spPr>
            <a:solidFill>
              <a:schemeClr val="accent3">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TABLAS!$F$187</c:f>
              <c:numCache>
                <c:formatCode>0%</c:formatCode>
                <c:ptCount val="1"/>
                <c:pt idx="0">
                  <c:v>-0.38</c:v>
                </c:pt>
              </c:numCache>
            </c:numRef>
          </c:val>
          <c:extLst>
            <c:ext xmlns:c16="http://schemas.microsoft.com/office/drawing/2014/chart" uri="{C3380CC4-5D6E-409C-BE32-E72D297353CC}">
              <c16:uniqueId val="{0000000E-3B95-4C60-948D-E24E88F8DD68}"/>
            </c:ext>
          </c:extLst>
        </c:ser>
        <c:ser>
          <c:idx val="15"/>
          <c:order val="15"/>
          <c:tx>
            <c:strRef>
              <c:f>TABLAS!$A$188</c:f>
              <c:strCache>
                <c:ptCount val="1"/>
                <c:pt idx="0">
                  <c:v> LORETO</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TABLAS!$F$188</c:f>
              <c:numCache>
                <c:formatCode>0%</c:formatCode>
                <c:ptCount val="1"/>
                <c:pt idx="0">
                  <c:v>-0.1</c:v>
                </c:pt>
              </c:numCache>
            </c:numRef>
          </c:val>
          <c:extLst>
            <c:ext xmlns:c16="http://schemas.microsoft.com/office/drawing/2014/chart" uri="{C3380CC4-5D6E-409C-BE32-E72D297353CC}">
              <c16:uniqueId val="{0000000F-3B95-4C60-948D-E24E88F8DD68}"/>
            </c:ext>
          </c:extLst>
        </c:ser>
        <c:ser>
          <c:idx val="16"/>
          <c:order val="16"/>
          <c:tx>
            <c:strRef>
              <c:f>TABLAS!$A$189</c:f>
              <c:strCache>
                <c:ptCount val="1"/>
                <c:pt idx="0">
                  <c:v> MADRE DE DIOS</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TABLAS!$F$189</c:f>
              <c:numCache>
                <c:formatCode>0%</c:formatCode>
                <c:ptCount val="1"/>
                <c:pt idx="0">
                  <c:v>-0.9</c:v>
                </c:pt>
              </c:numCache>
            </c:numRef>
          </c:val>
          <c:extLst>
            <c:ext xmlns:c16="http://schemas.microsoft.com/office/drawing/2014/chart" uri="{C3380CC4-5D6E-409C-BE32-E72D297353CC}">
              <c16:uniqueId val="{00000010-3B95-4C60-948D-E24E88F8DD68}"/>
            </c:ext>
          </c:extLst>
        </c:ser>
        <c:ser>
          <c:idx val="17"/>
          <c:order val="17"/>
          <c:tx>
            <c:strRef>
              <c:f>TABLAS!$A$190</c:f>
              <c:strCache>
                <c:ptCount val="1"/>
                <c:pt idx="0">
                  <c:v> MOQUEGUA</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TABLAS!$F$190</c:f>
              <c:numCache>
                <c:formatCode>0%</c:formatCode>
                <c:ptCount val="1"/>
                <c:pt idx="0">
                  <c:v>-0.66</c:v>
                </c:pt>
              </c:numCache>
            </c:numRef>
          </c:val>
          <c:extLst>
            <c:ext xmlns:c16="http://schemas.microsoft.com/office/drawing/2014/chart" uri="{C3380CC4-5D6E-409C-BE32-E72D297353CC}">
              <c16:uniqueId val="{00000011-3B95-4C60-948D-E24E88F8DD68}"/>
            </c:ext>
          </c:extLst>
        </c:ser>
        <c:ser>
          <c:idx val="18"/>
          <c:order val="18"/>
          <c:tx>
            <c:strRef>
              <c:f>TABLAS!$A$191</c:f>
              <c:strCache>
                <c:ptCount val="1"/>
                <c:pt idx="0">
                  <c:v> PASCO</c:v>
                </c:pt>
              </c:strCache>
            </c:strRef>
          </c:tx>
          <c:spPr>
            <a:solidFill>
              <a:schemeClr val="accent1">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TABLAS!$F$191</c:f>
              <c:numCache>
                <c:formatCode>0%</c:formatCode>
                <c:ptCount val="1"/>
                <c:pt idx="0">
                  <c:v>2.58</c:v>
                </c:pt>
              </c:numCache>
            </c:numRef>
          </c:val>
          <c:extLst>
            <c:ext xmlns:c16="http://schemas.microsoft.com/office/drawing/2014/chart" uri="{C3380CC4-5D6E-409C-BE32-E72D297353CC}">
              <c16:uniqueId val="{00000012-3B95-4C60-948D-E24E88F8DD68}"/>
            </c:ext>
          </c:extLst>
        </c:ser>
        <c:ser>
          <c:idx val="19"/>
          <c:order val="19"/>
          <c:tx>
            <c:strRef>
              <c:f>TABLAS!$A$192</c:f>
              <c:strCache>
                <c:ptCount val="1"/>
                <c:pt idx="0">
                  <c:v> PIURA</c:v>
                </c:pt>
              </c:strCache>
            </c:strRef>
          </c:tx>
          <c:spPr>
            <a:solidFill>
              <a:schemeClr val="accent2">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TABLAS!$F$192</c:f>
              <c:numCache>
                <c:formatCode>0%</c:formatCode>
                <c:ptCount val="1"/>
                <c:pt idx="0">
                  <c:v>10.25</c:v>
                </c:pt>
              </c:numCache>
            </c:numRef>
          </c:val>
          <c:extLst>
            <c:ext xmlns:c16="http://schemas.microsoft.com/office/drawing/2014/chart" uri="{C3380CC4-5D6E-409C-BE32-E72D297353CC}">
              <c16:uniqueId val="{00000013-3B95-4C60-948D-E24E88F8DD68}"/>
            </c:ext>
          </c:extLst>
        </c:ser>
        <c:ser>
          <c:idx val="20"/>
          <c:order val="20"/>
          <c:tx>
            <c:strRef>
              <c:f>TABLAS!$A$193</c:f>
              <c:strCache>
                <c:ptCount val="1"/>
                <c:pt idx="0">
                  <c:v> PUNO</c:v>
                </c:pt>
              </c:strCache>
            </c:strRef>
          </c:tx>
          <c:spPr>
            <a:solidFill>
              <a:schemeClr val="accent3">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TABLAS!$F$193</c:f>
              <c:numCache>
                <c:formatCode>0%</c:formatCode>
                <c:ptCount val="1"/>
                <c:pt idx="0">
                  <c:v>0.81</c:v>
                </c:pt>
              </c:numCache>
            </c:numRef>
          </c:val>
          <c:extLst>
            <c:ext xmlns:c16="http://schemas.microsoft.com/office/drawing/2014/chart" uri="{C3380CC4-5D6E-409C-BE32-E72D297353CC}">
              <c16:uniqueId val="{00000014-3B95-4C60-948D-E24E88F8DD68}"/>
            </c:ext>
          </c:extLst>
        </c:ser>
        <c:ser>
          <c:idx val="21"/>
          <c:order val="21"/>
          <c:tx>
            <c:strRef>
              <c:f>TABLAS!$A$194</c:f>
              <c:strCache>
                <c:ptCount val="1"/>
                <c:pt idx="0">
                  <c:v> SAN MARTIN</c:v>
                </c:pt>
              </c:strCache>
            </c:strRef>
          </c:tx>
          <c:spPr>
            <a:solidFill>
              <a:schemeClr val="accent4">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TABLAS!$F$194</c:f>
              <c:numCache>
                <c:formatCode>0%</c:formatCode>
                <c:ptCount val="1"/>
                <c:pt idx="0">
                  <c:v>3.48</c:v>
                </c:pt>
              </c:numCache>
            </c:numRef>
          </c:val>
          <c:extLst>
            <c:ext xmlns:c16="http://schemas.microsoft.com/office/drawing/2014/chart" uri="{C3380CC4-5D6E-409C-BE32-E72D297353CC}">
              <c16:uniqueId val="{00000015-3B95-4C60-948D-E24E88F8DD68}"/>
            </c:ext>
          </c:extLst>
        </c:ser>
        <c:ser>
          <c:idx val="22"/>
          <c:order val="22"/>
          <c:tx>
            <c:strRef>
              <c:f>TABLAS!$A$195</c:f>
              <c:strCache>
                <c:ptCount val="1"/>
                <c:pt idx="0">
                  <c:v> TACNA</c:v>
                </c:pt>
              </c:strCache>
            </c:strRef>
          </c:tx>
          <c:spPr>
            <a:solidFill>
              <a:schemeClr val="accent5">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TABLAS!$F$195</c:f>
              <c:numCache>
                <c:formatCode>0%</c:formatCode>
                <c:ptCount val="1"/>
                <c:pt idx="0">
                  <c:v>-1</c:v>
                </c:pt>
              </c:numCache>
            </c:numRef>
          </c:val>
          <c:extLst>
            <c:ext xmlns:c16="http://schemas.microsoft.com/office/drawing/2014/chart" uri="{C3380CC4-5D6E-409C-BE32-E72D297353CC}">
              <c16:uniqueId val="{00000016-3B95-4C60-948D-E24E88F8DD68}"/>
            </c:ext>
          </c:extLst>
        </c:ser>
        <c:ser>
          <c:idx val="23"/>
          <c:order val="23"/>
          <c:tx>
            <c:strRef>
              <c:f>TABLAS!$A$196</c:f>
              <c:strCache>
                <c:ptCount val="1"/>
                <c:pt idx="0">
                  <c:v> TUMBES</c:v>
                </c:pt>
              </c:strCache>
            </c:strRef>
          </c:tx>
          <c:spPr>
            <a:solidFill>
              <a:schemeClr val="accent6">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TABLAS!$F$196</c:f>
              <c:numCache>
                <c:formatCode>0%</c:formatCode>
                <c:ptCount val="1"/>
                <c:pt idx="0">
                  <c:v>1.55</c:v>
                </c:pt>
              </c:numCache>
            </c:numRef>
          </c:val>
          <c:extLst>
            <c:ext xmlns:c16="http://schemas.microsoft.com/office/drawing/2014/chart" uri="{C3380CC4-5D6E-409C-BE32-E72D297353CC}">
              <c16:uniqueId val="{00000017-3B95-4C60-948D-E24E88F8DD68}"/>
            </c:ext>
          </c:extLst>
        </c:ser>
        <c:ser>
          <c:idx val="24"/>
          <c:order val="24"/>
          <c:tx>
            <c:strRef>
              <c:f>TABLAS!$A$197</c:f>
              <c:strCache>
                <c:ptCount val="1"/>
                <c:pt idx="0">
                  <c:v> UCAYALI</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TABLAS!$F$197</c:f>
              <c:numCache>
                <c:formatCode>General</c:formatCode>
                <c:ptCount val="1"/>
                <c:pt idx="0">
                  <c:v>0</c:v>
                </c:pt>
              </c:numCache>
            </c:numRef>
          </c:val>
          <c:extLst>
            <c:ext xmlns:c16="http://schemas.microsoft.com/office/drawing/2014/chart" uri="{C3380CC4-5D6E-409C-BE32-E72D297353CC}">
              <c16:uniqueId val="{00000018-3B95-4C60-948D-E24E88F8DD68}"/>
            </c:ext>
          </c:extLst>
        </c:ser>
        <c:dLbls>
          <c:showLegendKey val="0"/>
          <c:showVal val="1"/>
          <c:showCatName val="0"/>
          <c:showSerName val="0"/>
          <c:showPercent val="0"/>
          <c:showBubbleSize val="0"/>
        </c:dLbls>
        <c:gapWidth val="50"/>
        <c:axId val="436297472"/>
        <c:axId val="436297864"/>
      </c:barChart>
      <c:catAx>
        <c:axId val="436297472"/>
        <c:scaling>
          <c:orientation val="minMax"/>
        </c:scaling>
        <c:delete val="0"/>
        <c:axPos val="b"/>
        <c:numFmt formatCode="General" sourceLinked="1"/>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en-US"/>
          </a:p>
        </c:txPr>
        <c:crossAx val="436297864"/>
        <c:crosses val="autoZero"/>
        <c:auto val="1"/>
        <c:lblAlgn val="ctr"/>
        <c:lblOffset val="100"/>
        <c:noMultiLvlLbl val="0"/>
      </c:catAx>
      <c:valAx>
        <c:axId val="436297864"/>
        <c:scaling>
          <c:orientation val="minMax"/>
        </c:scaling>
        <c:delete val="0"/>
        <c:axPos val="l"/>
        <c:majorGridlines>
          <c:spPr>
            <a:ln w="9525" cap="flat" cmpd="sng" algn="ctr">
              <a:noFill/>
              <a:round/>
            </a:ln>
            <a:effectLst/>
          </c:spPr>
        </c:majorGridlines>
        <c:numFmt formatCode="0%" sourceLinked="1"/>
        <c:majorTickMark val="out"/>
        <c:minorTickMark val="out"/>
        <c:tickLblPos val="nextTo"/>
        <c:spPr>
          <a:noFill/>
          <a:ln>
            <a:solidFill>
              <a:schemeClr val="tx1"/>
            </a:solid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en-US"/>
          </a:p>
        </c:txPr>
        <c:crossAx val="436297472"/>
        <c:crosses val="autoZero"/>
        <c:crossBetween val="between"/>
      </c:valAx>
      <c:spPr>
        <a:noFill/>
        <a:ln>
          <a:noFill/>
        </a:ln>
        <a:effectLst/>
      </c:spPr>
    </c:plotArea>
    <c:legend>
      <c:legendPos val="t"/>
      <c:layout>
        <c:manualLayout>
          <c:xMode val="edge"/>
          <c:yMode val="edge"/>
          <c:x val="1.3511381397174841E-2"/>
          <c:y val="2.5559105431309903E-2"/>
          <c:w val="0.97297705202183693"/>
          <c:h val="0.22950198317862025"/>
        </c:manualLayout>
      </c:layout>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TABLAS!$A$203:$A$226</cx:f>
        <cx:lvl ptCount="24">
          <cx:pt idx="0"> ANCASH</cx:pt>
          <cx:pt idx="1"> APURIMAC</cx:pt>
          <cx:pt idx="2"> AREQUIPA</cx:pt>
          <cx:pt idx="3"> AYACUCHO</cx:pt>
          <cx:pt idx="4"> CAJAMARCA</cx:pt>
          <cx:pt idx="5">CALLAO</cx:pt>
          <cx:pt idx="6"> CUSCO</cx:pt>
          <cx:pt idx="7"> HUANCAVELICA</cx:pt>
          <cx:pt idx="8"> HUANUCO</cx:pt>
          <cx:pt idx="9"> ICA</cx:pt>
          <cx:pt idx="10"> JUNIN</cx:pt>
          <cx:pt idx="11"> LA LIBERTAD</cx:pt>
          <cx:pt idx="12"> LAMBAYEQUE</cx:pt>
          <cx:pt idx="13"> LIMA</cx:pt>
          <cx:pt idx="14"> LORETO</cx:pt>
          <cx:pt idx="15"> MADRE DE DIOS</cx:pt>
          <cx:pt idx="16"> MOQUEGUA</cx:pt>
          <cx:pt idx="17"> PASCO</cx:pt>
          <cx:pt idx="18"> PIURA</cx:pt>
          <cx:pt idx="19"> PUNO</cx:pt>
          <cx:pt idx="20"> SAN MARTIN</cx:pt>
          <cx:pt idx="21"> TACNA</cx:pt>
          <cx:pt idx="22"> TUMBES</cx:pt>
          <cx:pt idx="23"> UCAYALI</cx:pt>
        </cx:lvl>
      </cx:strDim>
      <cx:numDim type="size">
        <cx:f>TABLAS!$F$203:$F$226</cx:f>
        <cx:lvl ptCount="24" formatCode="0%">
          <cx:pt idx="0">23.370000000000001</cx:pt>
          <cx:pt idx="1">6.2199999999999998</cx:pt>
          <cx:pt idx="2">20.210000000000001</cx:pt>
          <cx:pt idx="3">3.4399999999999999</cx:pt>
          <cx:pt idx="4">2.7999999999999998</cx:pt>
          <cx:pt idx="5">16.690000000000001</cx:pt>
          <cx:pt idx="6">10.859999999999999</cx:pt>
          <cx:pt idx="7">4.3300000000000001</cx:pt>
          <cx:pt idx="8">6.0999999999999996</cx:pt>
          <cx:pt idx="9">5.1799999999999997</cx:pt>
          <cx:pt idx="10">6.7800000000000002</cx:pt>
          <cx:pt idx="11">7.8399999999999999</cx:pt>
          <cx:pt idx="12">14.94</cx:pt>
          <cx:pt idx="13">0.62</cx:pt>
          <cx:pt idx="14">5.1100000000000003</cx:pt>
          <cx:pt idx="15">0</cx:pt>
          <cx:pt idx="16">2.6499999999999999</cx:pt>
          <cx:pt idx="17">12.07</cx:pt>
          <cx:pt idx="18">12.48</cx:pt>
          <cx:pt idx="19">4.8300000000000001</cx:pt>
          <cx:pt idx="20">8.4000000000000004</cx:pt>
          <cx:pt idx="21">2.5099999999999998</cx:pt>
          <cx:pt idx="22">3.71</cx:pt>
          <cx:pt idx="23">0</cx:pt>
        </cx:lvl>
      </cx:numDim>
    </cx:data>
  </cx:chartData>
  <cx:chart>
    <cx:title pos="t" align="ctr" overlay="0">
      <cx:tx>
        <cx:txData>
          <cx:v>*Amazonas, 42302%</cx:v>
        </cx:txData>
      </cx:tx>
      <cx:txPr>
        <a:bodyPr spcFirstLastPara="1" vertOverflow="ellipsis" horzOverflow="overflow" wrap="square" lIns="0" tIns="0" rIns="0" bIns="0" anchor="ctr" anchorCtr="1"/>
        <a:lstStyle/>
        <a:p>
          <a:pPr lvl="1" algn="ctr" rtl="0">
            <a:defRPr/>
          </a:pPr>
          <a:r>
            <a:rPr lang="es-ES" sz="900" b="0" i="0" u="none" strike="noStrike" baseline="0">
              <a:solidFill>
                <a:sysClr val="windowText" lastClr="000000">
                  <a:lumMod val="65000"/>
                  <a:lumOff val="35000"/>
                </a:sysClr>
              </a:solidFill>
              <a:latin typeface="Calibri" panose="020F0502020204030204"/>
            </a:rPr>
            <a:t>*Amazonas, 42302%</a:t>
          </a:r>
        </a:p>
      </cx:txPr>
    </cx:title>
    <cx:plotArea>
      <cx:plotAreaRegion>
        <cx:series layoutId="treemap" uniqueId="{74BF580A-B29C-42FD-A10F-32A5170FC451}">
          <cx:dataLabels pos="inEnd">
            <cx:txPr>
              <a:bodyPr spcFirstLastPara="1" vertOverflow="ellipsis" horzOverflow="overflow" wrap="square" lIns="0" tIns="0" rIns="0" bIns="0" anchor="ctr" anchorCtr="1"/>
              <a:lstStyle/>
              <a:p>
                <a:pPr algn="ctr" rtl="0">
                  <a:defRPr sz="800"/>
                </a:pPr>
                <a:endParaRPr lang="es-ES" sz="800" b="0" i="0" u="none" strike="noStrike" baseline="0">
                  <a:solidFill>
                    <a:sysClr val="window" lastClr="FFFFFF"/>
                  </a:solidFill>
                  <a:latin typeface="Calibri" panose="020F0502020204030204"/>
                </a:endParaRPr>
              </a:p>
            </cx:txPr>
            <cx:visibility seriesName="0" categoryName="1" value="1"/>
            <cx:separator>, </cx:separator>
          </cx:dataLabels>
          <cx:dataId val="0"/>
          <cx:layoutPr>
            <cx:parentLabelLayout val="overlapping"/>
          </cx:layoutPr>
        </cx:series>
      </cx:plotAreaRegion>
    </cx:plotArea>
  </cx:chart>
  <cx:spPr>
    <a:ln>
      <a:noFill/>
    </a:ln>
  </cx:spPr>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d/nHBChIE5sFsKsC9Mt09h1jElw==">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</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FAA04EE-F5BB-4BCA-9630-2C65FDDEF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129</Pages>
  <Words>28752</Words>
  <Characters>163893</Characters>
  <Application>Microsoft Office Word</Application>
  <DocSecurity>0</DocSecurity>
  <Lines>1365</Lines>
  <Paragraphs>384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192261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Marco Carrasco</dc:creator>
  <cp:keywords/>
  <dc:description/>
  <cp:lastModifiedBy>Marco Carrasco</cp:lastModifiedBy>
  <cp:revision>2</cp:revision>
  <cp:lastPrinted>2022-02-17T01:23:00Z</cp:lastPrinted>
  <dcterms:created xsi:type="dcterms:W3CDTF">2022-02-03T13:57:00Z</dcterms:created>
  <dcterms:modified xsi:type="dcterms:W3CDTF">2022-02-17T01:23:00Z</dcterms:modified>
</cp:coreProperties>
</file>