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40"/>
        </w:rPr>
      </w:pPr>
    </w:p>
    <w:p>
      <w:pPr>
        <w:pStyle w:val="BodyText"/>
        <w:rPr>
          <w:rFonts w:ascii="Times New Roman"/>
          <w:sz w:val="40"/>
        </w:rPr>
      </w:pPr>
    </w:p>
    <w:p>
      <w:pPr>
        <w:pStyle w:val="BodyText"/>
        <w:spacing w:before="273"/>
        <w:rPr>
          <w:rFonts w:ascii="Times New Roman"/>
          <w:sz w:val="40"/>
        </w:rPr>
      </w:pPr>
    </w:p>
    <w:p>
      <w:pPr>
        <w:spacing w:before="0"/>
        <w:ind w:left="51" w:right="615" w:firstLine="0"/>
        <w:jc w:val="center"/>
        <w:rPr>
          <w:rFonts w:ascii="Verdana" w:hAnsi="Verdana"/>
          <w:b/>
          <w:sz w:val="40"/>
        </w:rPr>
      </w:pPr>
      <w:r>
        <w:rPr>
          <w:rFonts w:ascii="Verdana" w:hAnsi="Verdana"/>
          <w:b/>
          <w:spacing w:val="-18"/>
          <w:sz w:val="40"/>
        </w:rPr>
        <w:t>INFORME</w:t>
      </w:r>
      <w:r>
        <w:rPr>
          <w:rFonts w:ascii="Verdana" w:hAnsi="Verdana"/>
          <w:b/>
          <w:spacing w:val="-12"/>
          <w:sz w:val="40"/>
        </w:rPr>
        <w:t> </w:t>
      </w:r>
      <w:r>
        <w:rPr>
          <w:rFonts w:ascii="Verdana" w:hAnsi="Verdana"/>
          <w:b/>
          <w:spacing w:val="-18"/>
          <w:sz w:val="40"/>
        </w:rPr>
        <w:t>DE</w:t>
      </w:r>
      <w:r>
        <w:rPr>
          <w:rFonts w:ascii="Verdana" w:hAnsi="Verdana"/>
          <w:b/>
          <w:spacing w:val="-12"/>
          <w:sz w:val="40"/>
        </w:rPr>
        <w:t> </w:t>
      </w:r>
      <w:r>
        <w:rPr>
          <w:rFonts w:ascii="Verdana" w:hAnsi="Verdana"/>
          <w:b/>
          <w:spacing w:val="-18"/>
          <w:sz w:val="40"/>
        </w:rPr>
        <w:t>EVALUACIÓN</w:t>
      </w:r>
      <w:r>
        <w:rPr>
          <w:rFonts w:ascii="Verdana" w:hAnsi="Verdana"/>
          <w:b/>
          <w:spacing w:val="-12"/>
          <w:sz w:val="40"/>
        </w:rPr>
        <w:t> </w:t>
      </w:r>
      <w:r>
        <w:rPr>
          <w:rFonts w:ascii="Verdana" w:hAnsi="Verdana"/>
          <w:b/>
          <w:spacing w:val="-18"/>
          <w:sz w:val="40"/>
        </w:rPr>
        <w:t>2023</w:t>
      </w:r>
    </w:p>
    <w:p>
      <w:pPr>
        <w:pStyle w:val="BodyText"/>
        <w:rPr>
          <w:rFonts w:ascii="Verdana"/>
          <w:b/>
          <w:sz w:val="40"/>
        </w:rPr>
      </w:pPr>
    </w:p>
    <w:p>
      <w:pPr>
        <w:pStyle w:val="BodyText"/>
        <w:spacing w:before="13"/>
        <w:rPr>
          <w:rFonts w:ascii="Verdana"/>
          <w:b/>
          <w:sz w:val="40"/>
        </w:rPr>
      </w:pPr>
    </w:p>
    <w:p>
      <w:pPr>
        <w:pStyle w:val="Title"/>
        <w:spacing w:line="259" w:lineRule="auto"/>
      </w:pPr>
      <w:r>
        <w:rPr>
          <w:color w:val="001F5F"/>
          <w:w w:val="90"/>
        </w:rPr>
        <w:t>Política Nacional Igualdad </w:t>
      </w:r>
      <w:r>
        <w:rPr>
          <w:color w:val="001F5F"/>
          <w:w w:val="90"/>
        </w:rPr>
        <w:t>de Género (PNIG)</w:t>
      </w:r>
    </w:p>
    <w:p>
      <w:pPr>
        <w:pStyle w:val="BodyText"/>
        <w:rPr>
          <w:rFonts w:ascii="Verdana"/>
          <w:b/>
          <w:sz w:val="50"/>
        </w:rPr>
      </w:pPr>
    </w:p>
    <w:p>
      <w:pPr>
        <w:pStyle w:val="BodyText"/>
        <w:spacing w:before="485"/>
        <w:rPr>
          <w:rFonts w:ascii="Verdana"/>
          <w:b/>
          <w:sz w:val="50"/>
        </w:rPr>
      </w:pPr>
    </w:p>
    <w:p>
      <w:pPr>
        <w:spacing w:line="256" w:lineRule="auto" w:before="0"/>
        <w:ind w:left="1165" w:right="2146" w:firstLine="0"/>
        <w:jc w:val="center"/>
        <w:rPr>
          <w:rFonts w:ascii="Verdana"/>
          <w:b/>
          <w:sz w:val="32"/>
        </w:rPr>
      </w:pPr>
      <w:r>
        <w:rPr>
          <w:rFonts w:ascii="Verdana"/>
          <w:b/>
          <w:color w:val="7E7E7E"/>
          <w:spacing w:val="-12"/>
          <w:sz w:val="32"/>
        </w:rPr>
        <w:t>Ministerio</w:t>
      </w:r>
      <w:r>
        <w:rPr>
          <w:rFonts w:ascii="Verdana"/>
          <w:b/>
          <w:color w:val="7E7E7E"/>
          <w:spacing w:val="-20"/>
          <w:sz w:val="32"/>
        </w:rPr>
        <w:t> </w:t>
      </w:r>
      <w:r>
        <w:rPr>
          <w:rFonts w:ascii="Verdana"/>
          <w:b/>
          <w:color w:val="7E7E7E"/>
          <w:spacing w:val="-12"/>
          <w:sz w:val="32"/>
        </w:rPr>
        <w:t>de</w:t>
      </w:r>
      <w:r>
        <w:rPr>
          <w:rFonts w:ascii="Verdana"/>
          <w:b/>
          <w:color w:val="7E7E7E"/>
          <w:spacing w:val="-18"/>
          <w:sz w:val="32"/>
        </w:rPr>
        <w:t> </w:t>
      </w:r>
      <w:r>
        <w:rPr>
          <w:rFonts w:ascii="Verdana"/>
          <w:b/>
          <w:color w:val="7E7E7E"/>
          <w:spacing w:val="-12"/>
          <w:sz w:val="32"/>
        </w:rPr>
        <w:t>la</w:t>
      </w:r>
      <w:r>
        <w:rPr>
          <w:rFonts w:ascii="Verdana"/>
          <w:b/>
          <w:color w:val="7E7E7E"/>
          <w:spacing w:val="-20"/>
          <w:sz w:val="32"/>
        </w:rPr>
        <w:t> </w:t>
      </w:r>
      <w:r>
        <w:rPr>
          <w:rFonts w:ascii="Verdana"/>
          <w:b/>
          <w:color w:val="7E7E7E"/>
          <w:spacing w:val="-12"/>
          <w:sz w:val="32"/>
        </w:rPr>
        <w:t>Mujer</w:t>
      </w:r>
      <w:r>
        <w:rPr>
          <w:rFonts w:ascii="Verdana"/>
          <w:b/>
          <w:color w:val="7E7E7E"/>
          <w:spacing w:val="-20"/>
          <w:sz w:val="32"/>
        </w:rPr>
        <w:t> </w:t>
      </w:r>
      <w:r>
        <w:rPr>
          <w:rFonts w:ascii="Verdana"/>
          <w:b/>
          <w:color w:val="7E7E7E"/>
          <w:spacing w:val="-12"/>
          <w:sz w:val="32"/>
        </w:rPr>
        <w:t>y</w:t>
      </w:r>
      <w:r>
        <w:rPr>
          <w:rFonts w:ascii="Verdana"/>
          <w:b/>
          <w:color w:val="7E7E7E"/>
          <w:spacing w:val="-19"/>
          <w:sz w:val="32"/>
        </w:rPr>
        <w:t> </w:t>
      </w:r>
      <w:r>
        <w:rPr>
          <w:rFonts w:ascii="Verdana"/>
          <w:b/>
          <w:color w:val="7E7E7E"/>
          <w:spacing w:val="-12"/>
          <w:sz w:val="32"/>
        </w:rPr>
        <w:t>Poblaciones </w:t>
      </w:r>
      <w:r>
        <w:rPr>
          <w:rFonts w:ascii="Verdana"/>
          <w:b/>
          <w:color w:val="7E7E7E"/>
          <w:spacing w:val="-2"/>
          <w:sz w:val="32"/>
        </w:rPr>
        <w:t>Vulnerables</w:t>
      </w:r>
    </w:p>
    <w:p>
      <w:pPr>
        <w:pStyle w:val="BodyText"/>
        <w:rPr>
          <w:rFonts w:ascii="Verdana"/>
          <w:b/>
          <w:sz w:val="32"/>
        </w:rPr>
      </w:pPr>
    </w:p>
    <w:p>
      <w:pPr>
        <w:pStyle w:val="BodyText"/>
        <w:rPr>
          <w:rFonts w:ascii="Verdana"/>
          <w:b/>
          <w:sz w:val="32"/>
        </w:rPr>
      </w:pPr>
    </w:p>
    <w:p>
      <w:pPr>
        <w:pStyle w:val="BodyText"/>
        <w:rPr>
          <w:rFonts w:ascii="Verdana"/>
          <w:b/>
          <w:sz w:val="32"/>
        </w:rPr>
      </w:pPr>
    </w:p>
    <w:p>
      <w:pPr>
        <w:pStyle w:val="BodyText"/>
        <w:rPr>
          <w:rFonts w:ascii="Verdana"/>
          <w:b/>
          <w:sz w:val="32"/>
        </w:rPr>
      </w:pPr>
    </w:p>
    <w:p>
      <w:pPr>
        <w:pStyle w:val="BodyText"/>
        <w:spacing w:before="241"/>
        <w:rPr>
          <w:rFonts w:ascii="Verdana"/>
          <w:b/>
          <w:sz w:val="32"/>
        </w:rPr>
      </w:pPr>
    </w:p>
    <w:p>
      <w:pPr>
        <w:spacing w:before="0"/>
        <w:ind w:left="204" w:right="1143" w:firstLine="0"/>
        <w:jc w:val="center"/>
        <w:rPr>
          <w:rFonts w:ascii="Verdana"/>
          <w:b/>
          <w:sz w:val="36"/>
        </w:rPr>
      </w:pPr>
      <w:r>
        <w:rPr>
          <w:rFonts w:ascii="Verdana"/>
          <w:b/>
          <w:spacing w:val="-12"/>
          <w:sz w:val="36"/>
        </w:rPr>
        <w:t>Diciembre de</w:t>
      </w:r>
      <w:r>
        <w:rPr>
          <w:rFonts w:ascii="Verdana"/>
          <w:b/>
          <w:spacing w:val="-13"/>
          <w:sz w:val="36"/>
        </w:rPr>
        <w:t> </w:t>
      </w:r>
      <w:r>
        <w:rPr>
          <w:rFonts w:ascii="Verdana"/>
          <w:b/>
          <w:spacing w:val="-12"/>
          <w:sz w:val="36"/>
        </w:rPr>
        <w:t>2024</w:t>
      </w:r>
    </w:p>
    <w:p>
      <w:pPr>
        <w:spacing w:after="0"/>
        <w:jc w:val="center"/>
        <w:rPr>
          <w:rFonts w:ascii="Verdana"/>
          <w:b/>
          <w:sz w:val="36"/>
        </w:rPr>
        <w:sectPr>
          <w:headerReference w:type="default" r:id="rId5"/>
          <w:footerReference w:type="default" r:id="rId6"/>
          <w:type w:val="continuous"/>
          <w:pgSz w:w="11910" w:h="16840"/>
          <w:pgMar w:header="713" w:footer="1000" w:top="1420" w:bottom="1200" w:left="1559" w:right="992"/>
          <w:pgNumType w:start="1"/>
        </w:sectPr>
      </w:pPr>
    </w:p>
    <w:p>
      <w:pPr>
        <w:pStyle w:val="BodyText"/>
        <w:rPr>
          <w:rFonts w:ascii="Verdana"/>
          <w:b/>
          <w:sz w:val="32"/>
        </w:rPr>
      </w:pPr>
    </w:p>
    <w:p>
      <w:pPr>
        <w:pStyle w:val="BodyText"/>
        <w:spacing w:before="333"/>
        <w:rPr>
          <w:rFonts w:ascii="Verdana"/>
          <w:b/>
          <w:sz w:val="32"/>
        </w:rPr>
      </w:pPr>
    </w:p>
    <w:p>
      <w:pPr>
        <w:spacing w:before="1"/>
        <w:ind w:left="143" w:right="0" w:firstLine="0"/>
        <w:jc w:val="left"/>
        <w:rPr>
          <w:sz w:val="32"/>
        </w:rPr>
      </w:pPr>
      <w:r>
        <w:rPr>
          <w:color w:val="2E5395"/>
          <w:spacing w:val="-2"/>
          <w:w w:val="105"/>
          <w:sz w:val="32"/>
        </w:rPr>
        <w:t>Contenido</w:t>
      </w:r>
    </w:p>
    <w:sdt>
      <w:sdtPr>
        <w:docPartObj>
          <w:docPartGallery w:val="Table of Contents"/>
          <w:docPartUnique/>
        </w:docPartObj>
      </w:sdtPr>
      <w:sdtEndPr/>
      <w:sdtContent>
        <w:p>
          <w:pPr>
            <w:pStyle w:val="TOC1"/>
            <w:numPr>
              <w:ilvl w:val="0"/>
              <w:numId w:val="1"/>
            </w:numPr>
            <w:tabs>
              <w:tab w:pos="582" w:val="left" w:leader="none"/>
              <w:tab w:pos="8527" w:val="left" w:leader="dot"/>
            </w:tabs>
            <w:spacing w:line="240" w:lineRule="auto" w:before="536" w:after="0"/>
            <w:ind w:left="582" w:right="0" w:hanging="439"/>
            <w:jc w:val="left"/>
            <w:rPr>
              <w:rFonts w:ascii="Calibri"/>
            </w:rPr>
          </w:pPr>
          <w:hyperlink w:history="true" w:anchor="_bookmark0">
            <w:r>
              <w:rPr>
                <w:spacing w:val="-2"/>
              </w:rPr>
              <w:t>Resumen</w:t>
            </w:r>
            <w:r>
              <w:rPr>
                <w:spacing w:val="-12"/>
              </w:rPr>
              <w:t> </w:t>
            </w:r>
            <w:r>
              <w:rPr>
                <w:spacing w:val="-2"/>
              </w:rPr>
              <w:t>ejecutivo</w:t>
            </w:r>
            <w:r>
              <w:rPr/>
              <w:tab/>
            </w:r>
            <w:r>
              <w:rPr>
                <w:rFonts w:ascii="Calibri"/>
                <w:spacing w:val="-10"/>
              </w:rPr>
              <w:t>3</w:t>
            </w:r>
          </w:hyperlink>
        </w:p>
        <w:p>
          <w:pPr>
            <w:pStyle w:val="TOC1"/>
            <w:numPr>
              <w:ilvl w:val="0"/>
              <w:numId w:val="1"/>
            </w:numPr>
            <w:tabs>
              <w:tab w:pos="582" w:val="left" w:leader="none"/>
              <w:tab w:pos="8527" w:val="left" w:leader="dot"/>
            </w:tabs>
            <w:spacing w:line="240" w:lineRule="auto" w:before="154" w:after="0"/>
            <w:ind w:left="582" w:right="0" w:hanging="439"/>
            <w:jc w:val="left"/>
            <w:rPr>
              <w:rFonts w:ascii="Calibri" w:hAnsi="Calibri"/>
            </w:rPr>
          </w:pPr>
          <w:hyperlink w:history="true" w:anchor="_bookmark1">
            <w:r>
              <w:rPr/>
              <w:t>Descripción</w:t>
            </w:r>
            <w:r>
              <w:rPr>
                <w:spacing w:val="-4"/>
              </w:rPr>
              <w:t> </w:t>
            </w:r>
            <w:r>
              <w:rPr/>
              <w:t>de</w:t>
            </w:r>
            <w:r>
              <w:rPr>
                <w:spacing w:val="-3"/>
              </w:rPr>
              <w:t> </w:t>
            </w:r>
            <w:r>
              <w:rPr/>
              <w:t>la</w:t>
            </w:r>
            <w:r>
              <w:rPr>
                <w:spacing w:val="-4"/>
              </w:rPr>
              <w:t> </w:t>
            </w:r>
            <w:r>
              <w:rPr/>
              <w:t>política</w:t>
            </w:r>
            <w:r>
              <w:rPr>
                <w:spacing w:val="-5"/>
              </w:rPr>
              <w:t> </w:t>
            </w:r>
            <w:r>
              <w:rPr>
                <w:spacing w:val="-2"/>
              </w:rPr>
              <w:t>nacional</w:t>
            </w:r>
            <w:r>
              <w:rPr/>
              <w:tab/>
            </w:r>
            <w:r>
              <w:rPr>
                <w:rFonts w:ascii="Calibri" w:hAnsi="Calibri"/>
                <w:spacing w:val="-10"/>
              </w:rPr>
              <w:t>4</w:t>
            </w:r>
          </w:hyperlink>
        </w:p>
        <w:p>
          <w:pPr>
            <w:pStyle w:val="TOC2"/>
            <w:numPr>
              <w:ilvl w:val="1"/>
              <w:numId w:val="1"/>
            </w:numPr>
            <w:tabs>
              <w:tab w:pos="722" w:val="left" w:leader="none"/>
              <w:tab w:pos="8527" w:val="left" w:leader="dot"/>
            </w:tabs>
            <w:spacing w:line="240" w:lineRule="auto" w:before="156" w:after="0"/>
            <w:ind w:left="722" w:right="0" w:hanging="359"/>
            <w:jc w:val="left"/>
            <w:rPr>
              <w:rFonts w:ascii="Calibri" w:hAnsi="Calibri"/>
            </w:rPr>
          </w:pPr>
          <w:hyperlink w:history="true" w:anchor="_bookmark2">
            <w:r>
              <w:rPr/>
              <w:t>Problema</w:t>
            </w:r>
            <w:r>
              <w:rPr>
                <w:spacing w:val="11"/>
              </w:rPr>
              <w:t> </w:t>
            </w:r>
            <w:r>
              <w:rPr/>
              <w:t>público</w:t>
            </w:r>
            <w:r>
              <w:rPr>
                <w:spacing w:val="11"/>
              </w:rPr>
              <w:t> </w:t>
            </w:r>
            <w:r>
              <w:rPr/>
              <w:t>y</w:t>
            </w:r>
            <w:r>
              <w:rPr>
                <w:spacing w:val="8"/>
              </w:rPr>
              <w:t> </w:t>
            </w:r>
            <w:r>
              <w:rPr/>
              <w:t>futuro</w:t>
            </w:r>
            <w:r>
              <w:rPr>
                <w:spacing w:val="11"/>
              </w:rPr>
              <w:t> </w:t>
            </w:r>
            <w:r>
              <w:rPr>
                <w:spacing w:val="-2"/>
              </w:rPr>
              <w:t>deseado</w:t>
            </w:r>
            <w:r>
              <w:rPr/>
              <w:tab/>
            </w:r>
            <w:r>
              <w:rPr>
                <w:rFonts w:ascii="Calibri" w:hAnsi="Calibri"/>
                <w:spacing w:val="-10"/>
              </w:rPr>
              <w:t>4</w:t>
            </w:r>
          </w:hyperlink>
        </w:p>
        <w:p>
          <w:pPr>
            <w:pStyle w:val="TOC2"/>
            <w:numPr>
              <w:ilvl w:val="1"/>
              <w:numId w:val="1"/>
            </w:numPr>
            <w:tabs>
              <w:tab w:pos="722" w:val="left" w:leader="none"/>
              <w:tab w:pos="8527" w:val="left" w:leader="dot"/>
            </w:tabs>
            <w:spacing w:line="240" w:lineRule="auto" w:before="154" w:after="0"/>
            <w:ind w:left="722" w:right="0" w:hanging="359"/>
            <w:jc w:val="left"/>
            <w:rPr>
              <w:rFonts w:ascii="Calibri" w:hAnsi="Calibri"/>
            </w:rPr>
          </w:pPr>
          <w:hyperlink w:history="true" w:anchor="_bookmark3">
            <w:r>
              <w:rPr/>
              <w:t>Alineamiento</w:t>
            </w:r>
            <w:r>
              <w:rPr>
                <w:spacing w:val="-6"/>
              </w:rPr>
              <w:t> </w:t>
            </w:r>
            <w:r>
              <w:rPr/>
              <w:t>de</w:t>
            </w:r>
            <w:r>
              <w:rPr>
                <w:spacing w:val="-7"/>
              </w:rPr>
              <w:t> </w:t>
            </w:r>
            <w:r>
              <w:rPr/>
              <w:t>la</w:t>
            </w:r>
            <w:r>
              <w:rPr>
                <w:spacing w:val="-6"/>
              </w:rPr>
              <w:t> </w:t>
            </w:r>
            <w:r>
              <w:rPr/>
              <w:t>PNIG</w:t>
            </w:r>
            <w:r>
              <w:rPr>
                <w:spacing w:val="-6"/>
              </w:rPr>
              <w:t> </w:t>
            </w:r>
            <w:r>
              <w:rPr/>
              <w:t>con</w:t>
            </w:r>
            <w:r>
              <w:rPr>
                <w:spacing w:val="-8"/>
              </w:rPr>
              <w:t> </w:t>
            </w:r>
            <w:r>
              <w:rPr/>
              <w:t>otras</w:t>
            </w:r>
            <w:r>
              <w:rPr>
                <w:spacing w:val="-8"/>
              </w:rPr>
              <w:t> </w:t>
            </w:r>
            <w:r>
              <w:rPr/>
              <w:t>políticas</w:t>
            </w:r>
            <w:r>
              <w:rPr>
                <w:spacing w:val="-7"/>
              </w:rPr>
              <w:t> </w:t>
            </w:r>
            <w:r>
              <w:rPr>
                <w:spacing w:val="-2"/>
              </w:rPr>
              <w:t>nacionales</w:t>
            </w:r>
            <w:r>
              <w:rPr/>
              <w:tab/>
            </w:r>
            <w:r>
              <w:rPr>
                <w:rFonts w:ascii="Calibri" w:hAnsi="Calibri"/>
                <w:spacing w:val="-10"/>
              </w:rPr>
              <w:t>5</w:t>
            </w:r>
          </w:hyperlink>
        </w:p>
        <w:p>
          <w:pPr>
            <w:pStyle w:val="TOC1"/>
            <w:numPr>
              <w:ilvl w:val="0"/>
              <w:numId w:val="1"/>
            </w:numPr>
            <w:tabs>
              <w:tab w:pos="582" w:val="left" w:leader="none"/>
              <w:tab w:pos="8527" w:val="left" w:leader="dot"/>
            </w:tabs>
            <w:spacing w:line="240" w:lineRule="auto" w:before="156" w:after="0"/>
            <w:ind w:left="582" w:right="0" w:hanging="439"/>
            <w:jc w:val="left"/>
            <w:rPr>
              <w:rFonts w:ascii="Calibri" w:hAnsi="Calibri"/>
            </w:rPr>
          </w:pPr>
          <w:hyperlink w:history="true" w:anchor="_bookmark4">
            <w:r>
              <w:rPr/>
              <w:t>Análisis</w:t>
            </w:r>
            <w:r>
              <w:rPr>
                <w:spacing w:val="-15"/>
              </w:rPr>
              <w:t> </w:t>
            </w:r>
            <w:r>
              <w:rPr/>
              <w:t>de</w:t>
            </w:r>
            <w:r>
              <w:rPr>
                <w:spacing w:val="-15"/>
              </w:rPr>
              <w:t> </w:t>
            </w:r>
            <w:r>
              <w:rPr/>
              <w:t>la</w:t>
            </w:r>
            <w:r>
              <w:rPr>
                <w:spacing w:val="-16"/>
              </w:rPr>
              <w:t> </w:t>
            </w:r>
            <w:r>
              <w:rPr>
                <w:spacing w:val="-2"/>
              </w:rPr>
              <w:t>política</w:t>
            </w:r>
            <w:r>
              <w:rPr/>
              <w:tab/>
            </w:r>
            <w:r>
              <w:rPr>
                <w:rFonts w:ascii="Calibri" w:hAnsi="Calibri"/>
                <w:spacing w:val="-10"/>
              </w:rPr>
              <w:t>5</w:t>
            </w:r>
          </w:hyperlink>
        </w:p>
        <w:p>
          <w:pPr>
            <w:pStyle w:val="TOC2"/>
            <w:numPr>
              <w:ilvl w:val="1"/>
              <w:numId w:val="1"/>
            </w:numPr>
            <w:tabs>
              <w:tab w:pos="722" w:val="left" w:leader="none"/>
              <w:tab w:pos="8527" w:val="left" w:leader="dot"/>
            </w:tabs>
            <w:spacing w:line="240" w:lineRule="auto" w:before="155" w:after="0"/>
            <w:ind w:left="722" w:right="0" w:hanging="359"/>
            <w:jc w:val="left"/>
            <w:rPr>
              <w:rFonts w:ascii="Calibri" w:hAnsi="Calibri"/>
            </w:rPr>
          </w:pPr>
          <w:hyperlink w:history="true" w:anchor="_bookmark5">
            <w:r>
              <w:rPr/>
              <w:t>Metodología</w:t>
            </w:r>
            <w:r>
              <w:rPr>
                <w:spacing w:val="3"/>
              </w:rPr>
              <w:t> </w:t>
            </w:r>
            <w:r>
              <w:rPr/>
              <w:t>de</w:t>
            </w:r>
            <w:r>
              <w:rPr>
                <w:spacing w:val="3"/>
              </w:rPr>
              <w:t> </w:t>
            </w:r>
            <w:r>
              <w:rPr>
                <w:spacing w:val="-2"/>
              </w:rPr>
              <w:t>evaluación</w:t>
            </w:r>
            <w:r>
              <w:rPr/>
              <w:tab/>
            </w:r>
            <w:r>
              <w:rPr>
                <w:rFonts w:ascii="Calibri" w:hAnsi="Calibri"/>
                <w:spacing w:val="-10"/>
              </w:rPr>
              <w:t>5</w:t>
            </w:r>
          </w:hyperlink>
        </w:p>
        <w:p>
          <w:pPr>
            <w:pStyle w:val="TOC2"/>
            <w:numPr>
              <w:ilvl w:val="1"/>
              <w:numId w:val="1"/>
            </w:numPr>
            <w:tabs>
              <w:tab w:pos="722" w:val="left" w:leader="none"/>
              <w:tab w:pos="8527" w:val="left" w:leader="dot"/>
            </w:tabs>
            <w:spacing w:line="240" w:lineRule="auto" w:before="153" w:after="0"/>
            <w:ind w:left="722" w:right="0" w:hanging="359"/>
            <w:jc w:val="left"/>
            <w:rPr>
              <w:rFonts w:ascii="Calibri" w:hAnsi="Calibri"/>
            </w:rPr>
          </w:pPr>
          <w:hyperlink w:history="true" w:anchor="_bookmark7">
            <w:r>
              <w:rPr/>
              <w:t>Análisis</w:t>
            </w:r>
            <w:r>
              <w:rPr>
                <w:spacing w:val="-9"/>
              </w:rPr>
              <w:t> </w:t>
            </w:r>
            <w:r>
              <w:rPr/>
              <w:t>de</w:t>
            </w:r>
            <w:r>
              <w:rPr>
                <w:spacing w:val="-5"/>
              </w:rPr>
              <w:t> </w:t>
            </w:r>
            <w:r>
              <w:rPr/>
              <w:t>los</w:t>
            </w:r>
            <w:r>
              <w:rPr>
                <w:spacing w:val="-7"/>
              </w:rPr>
              <w:t> </w:t>
            </w:r>
            <w:r>
              <w:rPr/>
              <w:t>resultados</w:t>
            </w:r>
            <w:r>
              <w:rPr>
                <w:spacing w:val="-8"/>
              </w:rPr>
              <w:t> </w:t>
            </w:r>
            <w:r>
              <w:rPr/>
              <w:t>de</w:t>
            </w:r>
            <w:r>
              <w:rPr>
                <w:spacing w:val="-5"/>
              </w:rPr>
              <w:t> </w:t>
            </w:r>
            <w:r>
              <w:rPr/>
              <w:t>la</w:t>
            </w:r>
            <w:r>
              <w:rPr>
                <w:spacing w:val="-7"/>
              </w:rPr>
              <w:t> </w:t>
            </w:r>
            <w:r>
              <w:rPr/>
              <w:t>política</w:t>
            </w:r>
            <w:r>
              <w:rPr>
                <w:spacing w:val="-6"/>
              </w:rPr>
              <w:t> </w:t>
            </w:r>
            <w:r>
              <w:rPr>
                <w:spacing w:val="-2"/>
              </w:rPr>
              <w:t>nacional</w:t>
            </w:r>
            <w:r>
              <w:rPr/>
              <w:tab/>
            </w:r>
            <w:r>
              <w:rPr>
                <w:rFonts w:ascii="Calibri" w:hAnsi="Calibri"/>
                <w:spacing w:val="-10"/>
              </w:rPr>
              <w:t>9</w:t>
            </w:r>
          </w:hyperlink>
        </w:p>
        <w:p>
          <w:pPr>
            <w:pStyle w:val="TOC3"/>
            <w:tabs>
              <w:tab w:pos="8414" w:val="left" w:leader="dot"/>
            </w:tabs>
            <w:spacing w:before="157"/>
            <w:rPr>
              <w:rFonts w:ascii="Calibri"/>
            </w:rPr>
          </w:pPr>
          <w:hyperlink w:history="true" w:anchor="_bookmark8">
            <w:r>
              <w:rPr/>
              <w:t>Resultados</w:t>
            </w:r>
            <w:r>
              <w:rPr>
                <w:spacing w:val="-12"/>
              </w:rPr>
              <w:t> </w:t>
            </w:r>
            <w:r>
              <w:rPr/>
              <w:t>a</w:t>
            </w:r>
            <w:r>
              <w:rPr>
                <w:spacing w:val="-10"/>
              </w:rPr>
              <w:t> </w:t>
            </w:r>
            <w:r>
              <w:rPr/>
              <w:t>nivel</w:t>
            </w:r>
            <w:r>
              <w:rPr>
                <w:spacing w:val="-9"/>
              </w:rPr>
              <w:t> </w:t>
            </w:r>
            <w:r>
              <w:rPr/>
              <w:t>de</w:t>
            </w:r>
            <w:r>
              <w:rPr>
                <w:spacing w:val="-7"/>
              </w:rPr>
              <w:t> </w:t>
            </w:r>
            <w:r>
              <w:rPr/>
              <w:t>Objetivos</w:t>
            </w:r>
            <w:r>
              <w:rPr>
                <w:spacing w:val="-10"/>
              </w:rPr>
              <w:t> </w:t>
            </w:r>
            <w:r>
              <w:rPr>
                <w:spacing w:val="-2"/>
              </w:rPr>
              <w:t>prioritarios</w:t>
            </w:r>
            <w:r>
              <w:rPr/>
              <w:tab/>
            </w:r>
            <w:r>
              <w:rPr>
                <w:rFonts w:ascii="Calibri"/>
                <w:spacing w:val="-5"/>
              </w:rPr>
              <w:t>10</w:t>
            </w:r>
          </w:hyperlink>
        </w:p>
        <w:p>
          <w:pPr>
            <w:pStyle w:val="TOC3"/>
            <w:tabs>
              <w:tab w:pos="8414" w:val="left" w:leader="dot"/>
            </w:tabs>
            <w:rPr>
              <w:rFonts w:ascii="Calibri"/>
            </w:rPr>
          </w:pPr>
          <w:hyperlink w:history="true" w:anchor="_bookmark12">
            <w:r>
              <w:rPr/>
              <w:t>Resultados</w:t>
            </w:r>
            <w:r>
              <w:rPr>
                <w:spacing w:val="-14"/>
              </w:rPr>
              <w:t> </w:t>
            </w:r>
            <w:r>
              <w:rPr/>
              <w:t>a</w:t>
            </w:r>
            <w:r>
              <w:rPr>
                <w:spacing w:val="-11"/>
              </w:rPr>
              <w:t> </w:t>
            </w:r>
            <w:r>
              <w:rPr/>
              <w:t>nivel</w:t>
            </w:r>
            <w:r>
              <w:rPr>
                <w:spacing w:val="-11"/>
              </w:rPr>
              <w:t> </w:t>
            </w:r>
            <w:r>
              <w:rPr/>
              <w:t>de</w:t>
            </w:r>
            <w:r>
              <w:rPr>
                <w:spacing w:val="-11"/>
              </w:rPr>
              <w:t> </w:t>
            </w:r>
            <w:r>
              <w:rPr>
                <w:spacing w:val="-2"/>
              </w:rPr>
              <w:t>Servicios</w:t>
            </w:r>
            <w:r>
              <w:rPr/>
              <w:tab/>
            </w:r>
            <w:r>
              <w:rPr>
                <w:rFonts w:ascii="Calibri"/>
                <w:spacing w:val="-5"/>
              </w:rPr>
              <w:t>20</w:t>
            </w:r>
          </w:hyperlink>
        </w:p>
        <w:p>
          <w:pPr>
            <w:pStyle w:val="TOC2"/>
            <w:numPr>
              <w:ilvl w:val="1"/>
              <w:numId w:val="1"/>
            </w:numPr>
            <w:tabs>
              <w:tab w:pos="722" w:val="left" w:leader="none"/>
              <w:tab w:pos="8414" w:val="left" w:leader="dot"/>
            </w:tabs>
            <w:spacing w:line="240" w:lineRule="auto" w:before="157" w:after="0"/>
            <w:ind w:left="722" w:right="0" w:hanging="359"/>
            <w:jc w:val="left"/>
            <w:rPr>
              <w:rFonts w:ascii="Calibri" w:hAnsi="Calibri"/>
            </w:rPr>
          </w:pPr>
          <w:hyperlink w:history="true" w:anchor="_bookmark13">
            <w:r>
              <w:rPr/>
              <w:t>Análisis</w:t>
            </w:r>
            <w:r>
              <w:rPr>
                <w:spacing w:val="-6"/>
              </w:rPr>
              <w:t> </w:t>
            </w:r>
            <w:r>
              <w:rPr/>
              <w:t>de</w:t>
            </w:r>
            <w:r>
              <w:rPr>
                <w:spacing w:val="-3"/>
              </w:rPr>
              <w:t> </w:t>
            </w:r>
            <w:r>
              <w:rPr/>
              <w:t>implementación</w:t>
            </w:r>
            <w:r>
              <w:rPr>
                <w:spacing w:val="-4"/>
              </w:rPr>
              <w:t> </w:t>
            </w:r>
            <w:r>
              <w:rPr/>
              <w:t>de</w:t>
            </w:r>
            <w:r>
              <w:rPr>
                <w:spacing w:val="-3"/>
              </w:rPr>
              <w:t> </w:t>
            </w:r>
            <w:r>
              <w:rPr/>
              <w:t>los</w:t>
            </w:r>
            <w:r>
              <w:rPr>
                <w:spacing w:val="-3"/>
              </w:rPr>
              <w:t> </w:t>
            </w:r>
            <w:r>
              <w:rPr/>
              <w:t>servicios</w:t>
            </w:r>
            <w:r>
              <w:rPr>
                <w:spacing w:val="-6"/>
              </w:rPr>
              <w:t> </w:t>
            </w:r>
            <w:r>
              <w:rPr/>
              <w:t>con</w:t>
            </w:r>
            <w:r>
              <w:rPr>
                <w:spacing w:val="-5"/>
              </w:rPr>
              <w:t> </w:t>
            </w:r>
            <w:r>
              <w:rPr>
                <w:spacing w:val="-2"/>
              </w:rPr>
              <w:t>alerta</w:t>
            </w:r>
            <w:r>
              <w:rPr/>
              <w:tab/>
            </w:r>
            <w:r>
              <w:rPr>
                <w:rFonts w:ascii="Calibri" w:hAnsi="Calibri"/>
                <w:spacing w:val="-5"/>
              </w:rPr>
              <w:t>22</w:t>
            </w:r>
          </w:hyperlink>
        </w:p>
        <w:p>
          <w:pPr>
            <w:pStyle w:val="TOC3"/>
            <w:tabs>
              <w:tab w:pos="8414" w:val="left" w:leader="dot"/>
            </w:tabs>
            <w:spacing w:before="154"/>
            <w:rPr>
              <w:rFonts w:ascii="Calibri" w:hAnsi="Calibri"/>
            </w:rPr>
          </w:pPr>
          <w:hyperlink w:history="true" w:anchor="_bookmark14">
            <w:r>
              <w:rPr/>
              <w:t>Análisis</w:t>
            </w:r>
            <w:r>
              <w:rPr>
                <w:spacing w:val="-3"/>
              </w:rPr>
              <w:t> </w:t>
            </w:r>
            <w:r>
              <w:rPr/>
              <w:t>de servicios</w:t>
            </w:r>
            <w:r>
              <w:rPr>
                <w:spacing w:val="-3"/>
              </w:rPr>
              <w:t> </w:t>
            </w:r>
            <w:r>
              <w:rPr/>
              <w:t>que</w:t>
            </w:r>
            <w:r>
              <w:rPr>
                <w:spacing w:val="-2"/>
              </w:rPr>
              <w:t> </w:t>
            </w:r>
            <w:r>
              <w:rPr/>
              <w:t>presentaron</w:t>
            </w:r>
            <w:r>
              <w:rPr>
                <w:spacing w:val="-4"/>
              </w:rPr>
              <w:t> </w:t>
            </w:r>
            <w:r>
              <w:rPr/>
              <w:t>posible falla</w:t>
            </w:r>
            <w:r>
              <w:rPr>
                <w:spacing w:val="-1"/>
              </w:rPr>
              <w:t> </w:t>
            </w:r>
            <w:r>
              <w:rPr/>
              <w:t>de</w:t>
            </w:r>
            <w:r>
              <w:rPr>
                <w:spacing w:val="-2"/>
              </w:rPr>
              <w:t> planeación</w:t>
            </w:r>
            <w:r>
              <w:rPr/>
              <w:tab/>
            </w:r>
            <w:r>
              <w:rPr>
                <w:rFonts w:ascii="Calibri" w:hAnsi="Calibri"/>
                <w:spacing w:val="-5"/>
              </w:rPr>
              <w:t>22</w:t>
            </w:r>
          </w:hyperlink>
        </w:p>
        <w:p>
          <w:pPr>
            <w:pStyle w:val="TOC3"/>
            <w:tabs>
              <w:tab w:pos="8414" w:val="left" w:leader="dot"/>
            </w:tabs>
            <w:rPr>
              <w:rFonts w:ascii="Calibri"/>
            </w:rPr>
          </w:pPr>
          <w:hyperlink w:history="true" w:anchor="_bookmark16">
            <w:r>
              <w:rPr/>
              <w:t>Bajo</w:t>
            </w:r>
            <w:r>
              <w:rPr>
                <w:spacing w:val="-8"/>
              </w:rPr>
              <w:t> </w:t>
            </w:r>
            <w:r>
              <w:rPr/>
              <w:t>nivel</w:t>
            </w:r>
            <w:r>
              <w:rPr>
                <w:spacing w:val="-9"/>
              </w:rPr>
              <w:t> </w:t>
            </w:r>
            <w:r>
              <w:rPr/>
              <w:t>de</w:t>
            </w:r>
            <w:r>
              <w:rPr>
                <w:spacing w:val="-6"/>
              </w:rPr>
              <w:t> </w:t>
            </w:r>
            <w:r>
              <w:rPr>
                <w:spacing w:val="-2"/>
              </w:rPr>
              <w:t>cumplimiento</w:t>
            </w:r>
            <w:r>
              <w:rPr/>
              <w:tab/>
            </w:r>
            <w:r>
              <w:rPr>
                <w:rFonts w:ascii="Calibri"/>
                <w:spacing w:val="-7"/>
              </w:rPr>
              <w:t>38</w:t>
            </w:r>
          </w:hyperlink>
        </w:p>
        <w:p>
          <w:pPr>
            <w:pStyle w:val="TOC3"/>
            <w:tabs>
              <w:tab w:pos="8414" w:val="left" w:leader="dot"/>
            </w:tabs>
            <w:spacing w:before="157"/>
            <w:rPr>
              <w:rFonts w:ascii="Calibri" w:hAnsi="Calibri"/>
            </w:rPr>
          </w:pPr>
          <w:hyperlink w:history="true" w:anchor="_bookmark19">
            <w:r>
              <w:rPr/>
              <w:t>Dificultades</w:t>
            </w:r>
            <w:r>
              <w:rPr>
                <w:spacing w:val="-1"/>
              </w:rPr>
              <w:t> </w:t>
            </w:r>
            <w:r>
              <w:rPr/>
              <w:t>en</w:t>
            </w:r>
            <w:r>
              <w:rPr>
                <w:spacing w:val="-4"/>
              </w:rPr>
              <w:t> </w:t>
            </w:r>
            <w:r>
              <w:rPr/>
              <w:t>la </w:t>
            </w:r>
            <w:r>
              <w:rPr>
                <w:spacing w:val="-2"/>
              </w:rPr>
              <w:t>medición</w:t>
            </w:r>
            <w:r>
              <w:rPr/>
              <w:tab/>
            </w:r>
            <w:r>
              <w:rPr>
                <w:rFonts w:ascii="Calibri" w:hAnsi="Calibri"/>
                <w:spacing w:val="-7"/>
              </w:rPr>
              <w:t>48</w:t>
            </w:r>
          </w:hyperlink>
        </w:p>
        <w:p>
          <w:pPr>
            <w:pStyle w:val="TOC2"/>
            <w:numPr>
              <w:ilvl w:val="1"/>
              <w:numId w:val="2"/>
            </w:numPr>
            <w:tabs>
              <w:tab w:pos="722" w:val="left" w:leader="none"/>
              <w:tab w:pos="8414" w:val="left" w:leader="dot"/>
            </w:tabs>
            <w:spacing w:line="304" w:lineRule="auto" w:before="157" w:after="0"/>
            <w:ind w:left="363" w:right="712" w:firstLine="0"/>
            <w:jc w:val="left"/>
            <w:rPr>
              <w:rFonts w:ascii="Calibri" w:hAnsi="Calibri"/>
            </w:rPr>
          </w:pPr>
          <w:hyperlink w:history="true" w:anchor="_bookmark20">
            <w:r>
              <w:rPr>
                <w:w w:val="105"/>
              </w:rPr>
              <w:t>Análisis</w:t>
            </w:r>
            <w:r>
              <w:rPr>
                <w:spacing w:val="-13"/>
                <w:w w:val="105"/>
              </w:rPr>
              <w:t> </w:t>
            </w:r>
            <w:r>
              <w:rPr>
                <w:w w:val="105"/>
              </w:rPr>
              <w:t>de</w:t>
            </w:r>
            <w:r>
              <w:rPr>
                <w:spacing w:val="-10"/>
                <w:w w:val="105"/>
              </w:rPr>
              <w:t> </w:t>
            </w:r>
            <w:r>
              <w:rPr>
                <w:w w:val="105"/>
              </w:rPr>
              <w:t>alineamiento</w:t>
            </w:r>
            <w:r>
              <w:rPr>
                <w:spacing w:val="-11"/>
                <w:w w:val="105"/>
              </w:rPr>
              <w:t> </w:t>
            </w:r>
            <w:r>
              <w:rPr>
                <w:w w:val="105"/>
              </w:rPr>
              <w:t>de</w:t>
            </w:r>
            <w:r>
              <w:rPr>
                <w:spacing w:val="-10"/>
                <w:w w:val="105"/>
              </w:rPr>
              <w:t> </w:t>
            </w:r>
            <w:r>
              <w:rPr>
                <w:w w:val="105"/>
              </w:rPr>
              <w:t>cumplimiento</w:t>
            </w:r>
            <w:r>
              <w:rPr>
                <w:spacing w:val="-13"/>
                <w:w w:val="105"/>
              </w:rPr>
              <w:t> </w:t>
            </w:r>
            <w:r>
              <w:rPr>
                <w:w w:val="105"/>
              </w:rPr>
              <w:t>de</w:t>
            </w:r>
            <w:r>
              <w:rPr>
                <w:spacing w:val="-12"/>
                <w:w w:val="105"/>
              </w:rPr>
              <w:t> </w:t>
            </w:r>
            <w:r>
              <w:rPr>
                <w:w w:val="105"/>
              </w:rPr>
              <w:t>metas</w:t>
            </w:r>
            <w:r>
              <w:rPr>
                <w:spacing w:val="-11"/>
                <w:w w:val="105"/>
              </w:rPr>
              <w:t> </w:t>
            </w:r>
            <w:r>
              <w:rPr>
                <w:w w:val="105"/>
              </w:rPr>
              <w:t>de</w:t>
            </w:r>
            <w:r>
              <w:rPr>
                <w:spacing w:val="-12"/>
                <w:w w:val="105"/>
              </w:rPr>
              <w:t> </w:t>
            </w:r>
            <w:r>
              <w:rPr>
                <w:w w:val="105"/>
              </w:rPr>
              <w:t>objetivos</w:t>
            </w:r>
            <w:r>
              <w:rPr>
                <w:spacing w:val="-13"/>
                <w:w w:val="105"/>
              </w:rPr>
              <w:t> </w:t>
            </w:r>
            <w:r>
              <w:rPr>
                <w:w w:val="105"/>
              </w:rPr>
              <w:t>prioritarios</w:t>
            </w:r>
            <w:r>
              <w:rPr>
                <w:spacing w:val="-11"/>
                <w:w w:val="105"/>
              </w:rPr>
              <w:t> </w:t>
            </w:r>
            <w:r>
              <w:rPr>
                <w:w w:val="105"/>
              </w:rPr>
              <w:t>y</w:t>
            </w:r>
          </w:hyperlink>
          <w:r>
            <w:rPr>
              <w:w w:val="105"/>
            </w:rPr>
            <w:t> </w:t>
          </w:r>
          <w:hyperlink w:history="true" w:anchor="_bookmark20">
            <w:r>
              <w:rPr>
                <w:spacing w:val="-2"/>
                <w:w w:val="105"/>
              </w:rPr>
              <w:t>servicios</w:t>
            </w:r>
            <w:r>
              <w:rPr/>
              <w:tab/>
            </w:r>
            <w:r>
              <w:rPr>
                <w:rFonts w:ascii="Calibri" w:hAnsi="Calibri"/>
                <w:spacing w:val="-7"/>
                <w:w w:val="105"/>
              </w:rPr>
              <w:t>51</w:t>
            </w:r>
          </w:hyperlink>
        </w:p>
        <w:p>
          <w:pPr>
            <w:pStyle w:val="TOC1"/>
            <w:numPr>
              <w:ilvl w:val="0"/>
              <w:numId w:val="1"/>
            </w:numPr>
            <w:tabs>
              <w:tab w:pos="582" w:val="left" w:leader="none"/>
              <w:tab w:pos="8414" w:val="left" w:leader="dot"/>
            </w:tabs>
            <w:spacing w:line="240" w:lineRule="auto" w:before="81" w:after="0"/>
            <w:ind w:left="582" w:right="0" w:hanging="439"/>
            <w:jc w:val="left"/>
            <w:rPr>
              <w:rFonts w:ascii="Calibri" w:hAnsi="Calibri"/>
            </w:rPr>
          </w:pPr>
          <w:hyperlink w:history="true" w:anchor="_bookmark21">
            <w:r>
              <w:rPr/>
              <w:t>Información</w:t>
            </w:r>
            <w:r>
              <w:rPr>
                <w:spacing w:val="2"/>
              </w:rPr>
              <w:t> </w:t>
            </w:r>
            <w:r>
              <w:rPr/>
              <w:t>complementaria</w:t>
            </w:r>
            <w:r>
              <w:rPr>
                <w:spacing w:val="6"/>
              </w:rPr>
              <w:t> </w:t>
            </w:r>
            <w:r>
              <w:rPr/>
              <w:t>sobre</w:t>
            </w:r>
            <w:r>
              <w:rPr>
                <w:spacing w:val="8"/>
              </w:rPr>
              <w:t> </w:t>
            </w:r>
            <w:r>
              <w:rPr/>
              <w:t>los</w:t>
            </w:r>
            <w:r>
              <w:rPr>
                <w:spacing w:val="6"/>
              </w:rPr>
              <w:t> </w:t>
            </w:r>
            <w:r>
              <w:rPr/>
              <w:t>servicios</w:t>
            </w:r>
            <w:r>
              <w:rPr>
                <w:spacing w:val="4"/>
              </w:rPr>
              <w:t> </w:t>
            </w:r>
            <w:r>
              <w:rPr/>
              <w:t>sin</w:t>
            </w:r>
            <w:r>
              <w:rPr>
                <w:spacing w:val="5"/>
              </w:rPr>
              <w:t> </w:t>
            </w:r>
            <w:r>
              <w:rPr>
                <w:spacing w:val="-2"/>
              </w:rPr>
              <w:t>protocolo.</w:t>
            </w:r>
            <w:r>
              <w:rPr/>
              <w:tab/>
            </w:r>
            <w:r>
              <w:rPr>
                <w:rFonts w:ascii="Calibri" w:hAnsi="Calibri"/>
                <w:spacing w:val="-5"/>
              </w:rPr>
              <w:t>55</w:t>
            </w:r>
          </w:hyperlink>
        </w:p>
        <w:p>
          <w:pPr>
            <w:pStyle w:val="TOC1"/>
            <w:numPr>
              <w:ilvl w:val="0"/>
              <w:numId w:val="1"/>
            </w:numPr>
            <w:tabs>
              <w:tab w:pos="582" w:val="left" w:leader="none"/>
              <w:tab w:pos="8414" w:val="left" w:leader="dot"/>
            </w:tabs>
            <w:spacing w:line="240" w:lineRule="auto" w:before="156" w:after="0"/>
            <w:ind w:left="582" w:right="0" w:hanging="439"/>
            <w:jc w:val="left"/>
            <w:rPr>
              <w:rFonts w:ascii="Calibri" w:hAnsi="Calibri"/>
            </w:rPr>
          </w:pPr>
          <w:hyperlink w:history="true" w:anchor="_bookmark23">
            <w:r>
              <w:rPr/>
              <w:t>Respecto</w:t>
            </w:r>
            <w:r>
              <w:rPr>
                <w:spacing w:val="-14"/>
              </w:rPr>
              <w:t> </w:t>
            </w:r>
            <w:r>
              <w:rPr/>
              <w:t>a</w:t>
            </w:r>
            <w:r>
              <w:rPr>
                <w:spacing w:val="-14"/>
              </w:rPr>
              <w:t> </w:t>
            </w:r>
            <w:r>
              <w:rPr/>
              <w:t>la</w:t>
            </w:r>
            <w:r>
              <w:rPr>
                <w:spacing w:val="-14"/>
              </w:rPr>
              <w:t> </w:t>
            </w:r>
            <w:r>
              <w:rPr/>
              <w:t>evaluación</w:t>
            </w:r>
            <w:r>
              <w:rPr>
                <w:spacing w:val="-15"/>
              </w:rPr>
              <w:t> </w:t>
            </w:r>
            <w:r>
              <w:rPr/>
              <w:t>de</w:t>
            </w:r>
            <w:r>
              <w:rPr>
                <w:spacing w:val="-14"/>
              </w:rPr>
              <w:t> </w:t>
            </w:r>
            <w:r>
              <w:rPr>
                <w:spacing w:val="-2"/>
              </w:rPr>
              <w:t>CEPLAN</w:t>
            </w:r>
            <w:r>
              <w:rPr/>
              <w:tab/>
            </w:r>
            <w:r>
              <w:rPr>
                <w:rFonts w:ascii="Calibri" w:hAnsi="Calibri"/>
                <w:spacing w:val="-5"/>
              </w:rPr>
              <w:t>58</w:t>
            </w:r>
          </w:hyperlink>
        </w:p>
        <w:p>
          <w:pPr>
            <w:pStyle w:val="TOC1"/>
            <w:numPr>
              <w:ilvl w:val="0"/>
              <w:numId w:val="1"/>
            </w:numPr>
            <w:tabs>
              <w:tab w:pos="582" w:val="left" w:leader="none"/>
              <w:tab w:pos="8414" w:val="left" w:leader="dot"/>
            </w:tabs>
            <w:spacing w:line="240" w:lineRule="auto" w:before="154" w:after="0"/>
            <w:ind w:left="582" w:right="0" w:hanging="439"/>
            <w:jc w:val="left"/>
            <w:rPr>
              <w:rFonts w:ascii="Calibri"/>
            </w:rPr>
          </w:pPr>
          <w:hyperlink w:history="true" w:anchor="_bookmark24">
            <w:r>
              <w:rPr>
                <w:spacing w:val="-2"/>
              </w:rPr>
              <w:t>Conclusiones</w:t>
            </w:r>
            <w:r>
              <w:rPr/>
              <w:tab/>
            </w:r>
            <w:r>
              <w:rPr>
                <w:rFonts w:ascii="Calibri"/>
                <w:spacing w:val="-5"/>
              </w:rPr>
              <w:t>62</w:t>
            </w:r>
          </w:hyperlink>
        </w:p>
        <w:p>
          <w:pPr>
            <w:pStyle w:val="TOC1"/>
            <w:numPr>
              <w:ilvl w:val="0"/>
              <w:numId w:val="1"/>
            </w:numPr>
            <w:tabs>
              <w:tab w:pos="582" w:val="left" w:leader="none"/>
              <w:tab w:pos="8414" w:val="left" w:leader="dot"/>
            </w:tabs>
            <w:spacing w:line="240" w:lineRule="auto" w:before="154" w:after="0"/>
            <w:ind w:left="582" w:right="0" w:hanging="439"/>
            <w:jc w:val="left"/>
            <w:rPr>
              <w:rFonts w:ascii="Calibri"/>
            </w:rPr>
          </w:pPr>
          <w:hyperlink w:history="true" w:anchor="_bookmark37">
            <w:r>
              <w:rPr>
                <w:spacing w:val="-2"/>
              </w:rPr>
              <w:t>Recomendaciones</w:t>
            </w:r>
            <w:r>
              <w:rPr/>
              <w:tab/>
            </w:r>
            <w:r>
              <w:rPr>
                <w:rFonts w:ascii="Calibri"/>
                <w:spacing w:val="-5"/>
              </w:rPr>
              <w:t>66</w:t>
            </w:r>
          </w:hyperlink>
        </w:p>
      </w:sdtContent>
    </w:sdt>
    <w:p>
      <w:pPr>
        <w:pStyle w:val="TOC1"/>
        <w:spacing w:after="0" w:line="240" w:lineRule="auto"/>
        <w:jc w:val="left"/>
        <w:rPr>
          <w:rFonts w:ascii="Calibri"/>
        </w:rPr>
        <w:sectPr>
          <w:pgSz w:w="11910" w:h="16840"/>
          <w:pgMar w:header="713" w:footer="1000" w:top="1420" w:bottom="1200" w:left="1559" w:right="992"/>
        </w:sectPr>
      </w:pPr>
    </w:p>
    <w:p>
      <w:pPr>
        <w:pStyle w:val="Heading1"/>
        <w:numPr>
          <w:ilvl w:val="0"/>
          <w:numId w:val="3"/>
        </w:numPr>
        <w:tabs>
          <w:tab w:pos="569" w:val="left" w:leader="none"/>
        </w:tabs>
        <w:spacing w:line="240" w:lineRule="auto" w:before="132" w:after="0"/>
        <w:ind w:left="569" w:right="0" w:hanging="426"/>
        <w:jc w:val="left"/>
      </w:pPr>
      <w:bookmarkStart w:name="_bookmark0" w:id="1"/>
      <w:bookmarkEnd w:id="1"/>
      <w:r>
        <w:rPr/>
      </w:r>
      <w:r>
        <w:rPr>
          <w:color w:val="2E5395"/>
          <w:spacing w:val="-4"/>
        </w:rPr>
        <w:t>Resumen</w:t>
      </w:r>
      <w:r>
        <w:rPr>
          <w:color w:val="2E5395"/>
          <w:spacing w:val="-12"/>
        </w:rPr>
        <w:t> </w:t>
      </w:r>
      <w:r>
        <w:rPr>
          <w:color w:val="2E5395"/>
          <w:spacing w:val="-2"/>
        </w:rPr>
        <w:t>ejecutivo</w:t>
      </w:r>
    </w:p>
    <w:p>
      <w:pPr>
        <w:pStyle w:val="BodyText"/>
        <w:spacing w:line="307" w:lineRule="auto" w:before="331"/>
        <w:ind w:left="143" w:right="703"/>
        <w:jc w:val="both"/>
      </w:pPr>
      <w:r>
        <w:rPr/>
        <w:t>La</w:t>
      </w:r>
      <w:r>
        <w:rPr>
          <w:spacing w:val="-6"/>
        </w:rPr>
        <w:t> </w:t>
      </w:r>
      <w:r>
        <w:rPr/>
        <w:t>evaluación</w:t>
      </w:r>
      <w:r>
        <w:rPr>
          <w:spacing w:val="-9"/>
        </w:rPr>
        <w:t> </w:t>
      </w:r>
      <w:r>
        <w:rPr/>
        <w:t>de</w:t>
      </w:r>
      <w:r>
        <w:rPr>
          <w:spacing w:val="-6"/>
        </w:rPr>
        <w:t> </w:t>
      </w:r>
      <w:r>
        <w:rPr/>
        <w:t>la</w:t>
      </w:r>
      <w:r>
        <w:rPr>
          <w:spacing w:val="-9"/>
        </w:rPr>
        <w:t> </w:t>
      </w:r>
      <w:r>
        <w:rPr/>
        <w:t>Política</w:t>
      </w:r>
      <w:r>
        <w:rPr>
          <w:spacing w:val="-3"/>
        </w:rPr>
        <w:t> </w:t>
      </w:r>
      <w:r>
        <w:rPr/>
        <w:t>Nacional</w:t>
      </w:r>
      <w:r>
        <w:rPr>
          <w:spacing w:val="-7"/>
        </w:rPr>
        <w:t> </w:t>
      </w:r>
      <w:r>
        <w:rPr/>
        <w:t>de</w:t>
      </w:r>
      <w:r>
        <w:rPr>
          <w:spacing w:val="-6"/>
        </w:rPr>
        <w:t> </w:t>
      </w:r>
      <w:r>
        <w:rPr/>
        <w:t>Igualdad</w:t>
      </w:r>
      <w:r>
        <w:rPr>
          <w:spacing w:val="-8"/>
        </w:rPr>
        <w:t> </w:t>
      </w:r>
      <w:r>
        <w:rPr/>
        <w:t>de</w:t>
      </w:r>
      <w:r>
        <w:rPr>
          <w:spacing w:val="-6"/>
        </w:rPr>
        <w:t> </w:t>
      </w:r>
      <w:r>
        <w:rPr/>
        <w:t>Género</w:t>
      </w:r>
      <w:r>
        <w:rPr>
          <w:spacing w:val="-4"/>
        </w:rPr>
        <w:t> </w:t>
      </w:r>
      <w:r>
        <w:rPr/>
        <w:t>(PNIG)</w:t>
      </w:r>
      <w:r>
        <w:rPr>
          <w:spacing w:val="-7"/>
        </w:rPr>
        <w:t> </w:t>
      </w:r>
      <w:r>
        <w:rPr/>
        <w:t>se</w:t>
      </w:r>
      <w:r>
        <w:rPr>
          <w:spacing w:val="-6"/>
        </w:rPr>
        <w:t> </w:t>
      </w:r>
      <w:r>
        <w:rPr/>
        <w:t>realiza</w:t>
      </w:r>
      <w:r>
        <w:rPr>
          <w:spacing w:val="-9"/>
        </w:rPr>
        <w:t> </w:t>
      </w:r>
      <w:r>
        <w:rPr/>
        <w:t>a través</w:t>
      </w:r>
      <w:r>
        <w:rPr>
          <w:spacing w:val="-7"/>
        </w:rPr>
        <w:t> </w:t>
      </w:r>
      <w:r>
        <w:rPr/>
        <w:t>de</w:t>
      </w:r>
      <w:r>
        <w:rPr>
          <w:spacing w:val="-3"/>
        </w:rPr>
        <w:t> </w:t>
      </w:r>
      <w:r>
        <w:rPr/>
        <w:t>6</w:t>
      </w:r>
      <w:r>
        <w:rPr>
          <w:spacing w:val="-4"/>
        </w:rPr>
        <w:t> </w:t>
      </w:r>
      <w:r>
        <w:rPr/>
        <w:t>objetivos</w:t>
      </w:r>
      <w:r>
        <w:rPr>
          <w:spacing w:val="-7"/>
        </w:rPr>
        <w:t> </w:t>
      </w:r>
      <w:r>
        <w:rPr/>
        <w:t>prioritarios</w:t>
      </w:r>
      <w:r>
        <w:rPr>
          <w:spacing w:val="-3"/>
        </w:rPr>
        <w:t> </w:t>
      </w:r>
      <w:r>
        <w:rPr/>
        <w:t>y 52</w:t>
      </w:r>
      <w:r>
        <w:rPr>
          <w:spacing w:val="-4"/>
        </w:rPr>
        <w:t> </w:t>
      </w:r>
      <w:r>
        <w:rPr/>
        <w:t>servicios</w:t>
      </w:r>
      <w:r>
        <w:rPr>
          <w:spacing w:val="-3"/>
        </w:rPr>
        <w:t> </w:t>
      </w:r>
      <w:r>
        <w:rPr/>
        <w:t>que</w:t>
      </w:r>
      <w:r>
        <w:rPr>
          <w:spacing w:val="-4"/>
        </w:rPr>
        <w:t> </w:t>
      </w:r>
      <w:r>
        <w:rPr/>
        <w:t>forman</w:t>
      </w:r>
      <w:r>
        <w:rPr>
          <w:spacing w:val="-6"/>
        </w:rPr>
        <w:t> </w:t>
      </w:r>
      <w:r>
        <w:rPr/>
        <w:t>parte</w:t>
      </w:r>
      <w:r>
        <w:rPr>
          <w:spacing w:val="-4"/>
        </w:rPr>
        <w:t> </w:t>
      </w:r>
      <w:r>
        <w:rPr/>
        <w:t>de</w:t>
      </w:r>
      <w:r>
        <w:rPr>
          <w:spacing w:val="-7"/>
        </w:rPr>
        <w:t> </w:t>
      </w:r>
      <w:r>
        <w:rPr/>
        <w:t>la</w:t>
      </w:r>
      <w:r>
        <w:rPr>
          <w:spacing w:val="-4"/>
        </w:rPr>
        <w:t> </w:t>
      </w:r>
      <w:r>
        <w:rPr/>
        <w:t>estructura lógica de la intervención. Con el objetivo de recopilar información para desarrollar</w:t>
      </w:r>
      <w:r>
        <w:rPr>
          <w:spacing w:val="-8"/>
        </w:rPr>
        <w:t> </w:t>
      </w:r>
      <w:r>
        <w:rPr/>
        <w:t>la</w:t>
      </w:r>
      <w:r>
        <w:rPr>
          <w:spacing w:val="-10"/>
        </w:rPr>
        <w:t> </w:t>
      </w:r>
      <w:r>
        <w:rPr/>
        <w:t>presente</w:t>
      </w:r>
      <w:r>
        <w:rPr>
          <w:spacing w:val="-8"/>
        </w:rPr>
        <w:t> </w:t>
      </w:r>
      <w:r>
        <w:rPr/>
        <w:t>evaluación,</w:t>
      </w:r>
      <w:r>
        <w:rPr>
          <w:spacing w:val="-9"/>
        </w:rPr>
        <w:t> </w:t>
      </w:r>
      <w:r>
        <w:rPr/>
        <w:t>se</w:t>
      </w:r>
      <w:r>
        <w:rPr>
          <w:spacing w:val="-10"/>
        </w:rPr>
        <w:t> </w:t>
      </w:r>
      <w:r>
        <w:rPr/>
        <w:t>solicitó</w:t>
      </w:r>
      <w:r>
        <w:rPr>
          <w:spacing w:val="-9"/>
        </w:rPr>
        <w:t> </w:t>
      </w:r>
      <w:r>
        <w:rPr/>
        <w:t>a</w:t>
      </w:r>
      <w:r>
        <w:rPr>
          <w:spacing w:val="-8"/>
        </w:rPr>
        <w:t> </w:t>
      </w:r>
      <w:r>
        <w:rPr/>
        <w:t>los</w:t>
      </w:r>
      <w:r>
        <w:rPr>
          <w:spacing w:val="-7"/>
        </w:rPr>
        <w:t> </w:t>
      </w:r>
      <w:r>
        <w:rPr/>
        <w:t>responsables</w:t>
      </w:r>
      <w:r>
        <w:rPr>
          <w:spacing w:val="-9"/>
        </w:rPr>
        <w:t> </w:t>
      </w:r>
      <w:r>
        <w:rPr/>
        <w:t>de</w:t>
      </w:r>
      <w:r>
        <w:rPr>
          <w:spacing w:val="-7"/>
        </w:rPr>
        <w:t> </w:t>
      </w:r>
      <w:r>
        <w:rPr/>
        <w:t>los</w:t>
      </w:r>
      <w:r>
        <w:rPr>
          <w:spacing w:val="-9"/>
        </w:rPr>
        <w:t> </w:t>
      </w:r>
      <w:r>
        <w:rPr/>
        <w:t>servicios registrar el avance de sus indicadores en el formulario web elaborado por la </w:t>
      </w:r>
      <w:r>
        <w:rPr>
          <w:spacing w:val="-2"/>
        </w:rPr>
        <w:t>Oficina</w:t>
      </w:r>
      <w:r>
        <w:rPr>
          <w:spacing w:val="-15"/>
        </w:rPr>
        <w:t> </w:t>
      </w:r>
      <w:r>
        <w:rPr>
          <w:spacing w:val="-2"/>
        </w:rPr>
        <w:t>de</w:t>
      </w:r>
      <w:r>
        <w:rPr>
          <w:spacing w:val="-15"/>
        </w:rPr>
        <w:t> </w:t>
      </w:r>
      <w:r>
        <w:rPr>
          <w:spacing w:val="-2"/>
        </w:rPr>
        <w:t>Monitoreo</w:t>
      </w:r>
      <w:r>
        <w:rPr>
          <w:spacing w:val="-14"/>
        </w:rPr>
        <w:t> </w:t>
      </w:r>
      <w:r>
        <w:rPr>
          <w:spacing w:val="-2"/>
        </w:rPr>
        <w:t>y</w:t>
      </w:r>
      <w:r>
        <w:rPr>
          <w:spacing w:val="-15"/>
        </w:rPr>
        <w:t> </w:t>
      </w:r>
      <w:r>
        <w:rPr>
          <w:spacing w:val="-2"/>
        </w:rPr>
        <w:t>Evaluación</w:t>
      </w:r>
      <w:r>
        <w:rPr>
          <w:spacing w:val="-15"/>
        </w:rPr>
        <w:t> </w:t>
      </w:r>
      <w:r>
        <w:rPr>
          <w:spacing w:val="-2"/>
        </w:rPr>
        <w:t>de</w:t>
      </w:r>
      <w:r>
        <w:rPr>
          <w:spacing w:val="-15"/>
        </w:rPr>
        <w:t> </w:t>
      </w:r>
      <w:r>
        <w:rPr>
          <w:spacing w:val="-2"/>
        </w:rPr>
        <w:t>Políticas</w:t>
      </w:r>
      <w:r>
        <w:rPr>
          <w:spacing w:val="-14"/>
        </w:rPr>
        <w:t> </w:t>
      </w:r>
      <w:r>
        <w:rPr>
          <w:spacing w:val="-2"/>
        </w:rPr>
        <w:t>(OMEP)</w:t>
      </w:r>
      <w:r>
        <w:rPr>
          <w:spacing w:val="-15"/>
        </w:rPr>
        <w:t> </w:t>
      </w:r>
      <w:r>
        <w:rPr>
          <w:spacing w:val="-2"/>
        </w:rPr>
        <w:t>del</w:t>
      </w:r>
      <w:r>
        <w:rPr>
          <w:spacing w:val="-13"/>
        </w:rPr>
        <w:t> </w:t>
      </w:r>
      <w:r>
        <w:rPr>
          <w:spacing w:val="-2"/>
        </w:rPr>
        <w:t>MIMP.</w:t>
      </w:r>
      <w:r>
        <w:rPr>
          <w:spacing w:val="-14"/>
        </w:rPr>
        <w:t> </w:t>
      </w:r>
      <w:r>
        <w:rPr>
          <w:spacing w:val="-2"/>
        </w:rPr>
        <w:t>En</w:t>
      </w:r>
      <w:r>
        <w:rPr>
          <w:spacing w:val="-15"/>
        </w:rPr>
        <w:t> </w:t>
      </w:r>
      <w:r>
        <w:rPr>
          <w:spacing w:val="-2"/>
        </w:rPr>
        <w:t>los</w:t>
      </w:r>
      <w:r>
        <w:rPr>
          <w:spacing w:val="-13"/>
        </w:rPr>
        <w:t> </w:t>
      </w:r>
      <w:r>
        <w:rPr>
          <w:spacing w:val="-2"/>
        </w:rPr>
        <w:t>casos</w:t>
      </w:r>
      <w:r>
        <w:rPr>
          <w:spacing w:val="-14"/>
        </w:rPr>
        <w:t> </w:t>
      </w:r>
      <w:r>
        <w:rPr>
          <w:spacing w:val="-2"/>
        </w:rPr>
        <w:t>en </w:t>
      </w:r>
      <w:r>
        <w:rPr/>
        <w:t>que la información registrada no fuera suficiente, se recogió información complementaria,</w:t>
      </w:r>
      <w:r>
        <w:rPr>
          <w:spacing w:val="-7"/>
        </w:rPr>
        <w:t> </w:t>
      </w:r>
      <w:r>
        <w:rPr/>
        <w:t>en</w:t>
      </w:r>
      <w:r>
        <w:rPr>
          <w:spacing w:val="-10"/>
        </w:rPr>
        <w:t> </w:t>
      </w:r>
      <w:r>
        <w:rPr/>
        <w:t>coordinación</w:t>
      </w:r>
      <w:r>
        <w:rPr>
          <w:spacing w:val="-8"/>
        </w:rPr>
        <w:t> </w:t>
      </w:r>
      <w:r>
        <w:rPr/>
        <w:t>con</w:t>
      </w:r>
      <w:r>
        <w:rPr>
          <w:spacing w:val="-8"/>
        </w:rPr>
        <w:t> </w:t>
      </w:r>
      <w:r>
        <w:rPr/>
        <w:t>la</w:t>
      </w:r>
      <w:r>
        <w:rPr>
          <w:spacing w:val="-10"/>
        </w:rPr>
        <w:t> </w:t>
      </w:r>
      <w:r>
        <w:rPr/>
        <w:t>dirección</w:t>
      </w:r>
      <w:r>
        <w:rPr>
          <w:spacing w:val="-10"/>
        </w:rPr>
        <w:t> </w:t>
      </w:r>
      <w:r>
        <w:rPr/>
        <w:t>conductora</w:t>
      </w:r>
      <w:r>
        <w:rPr>
          <w:spacing w:val="-10"/>
        </w:rPr>
        <w:t> </w:t>
      </w:r>
      <w:r>
        <w:rPr/>
        <w:t>de</w:t>
      </w:r>
      <w:r>
        <w:rPr>
          <w:spacing w:val="-10"/>
        </w:rPr>
        <w:t> </w:t>
      </w:r>
      <w:r>
        <w:rPr/>
        <w:t>la</w:t>
      </w:r>
      <w:r>
        <w:rPr>
          <w:spacing w:val="-10"/>
        </w:rPr>
        <w:t> </w:t>
      </w:r>
      <w:r>
        <w:rPr/>
        <w:t>PNIG.</w:t>
      </w:r>
      <w:r>
        <w:rPr>
          <w:spacing w:val="-7"/>
        </w:rPr>
        <w:t> </w:t>
      </w:r>
      <w:r>
        <w:rPr/>
        <w:t>Así,</w:t>
      </w:r>
      <w:r>
        <w:rPr>
          <w:spacing w:val="-7"/>
        </w:rPr>
        <w:t> </w:t>
      </w:r>
      <w:r>
        <w:rPr/>
        <w:t>el Ministerio de la Mujer y Poblaciones Vulnerables (MIMP) solicitó información proveniente de 3 tipos de fuentes: encuestas a cargo del Instituto Nacional de Estadística e Informática (INEI), registros administrativos MIMP y registros administrativos de otros sectores.</w:t>
      </w:r>
    </w:p>
    <w:p>
      <w:pPr>
        <w:pStyle w:val="BodyText"/>
        <w:spacing w:line="307" w:lineRule="auto" w:before="156"/>
        <w:ind w:left="143" w:right="703"/>
        <w:jc w:val="both"/>
      </w:pPr>
      <w:r>
        <w:rPr/>
        <w:t>Respecto al reporte de información de objetivos prioritarios para el año 2023, tanto el MIMP, a</w:t>
      </w:r>
      <w:r>
        <w:rPr>
          <w:spacing w:val="-1"/>
        </w:rPr>
        <w:t> </w:t>
      </w:r>
      <w:r>
        <w:rPr/>
        <w:t>cargo de reportar información correspondiente a 3</w:t>
      </w:r>
      <w:r>
        <w:rPr>
          <w:spacing w:val="-1"/>
        </w:rPr>
        <w:t> </w:t>
      </w:r>
      <w:r>
        <w:rPr/>
        <w:t>indicadores (OP1,</w:t>
      </w:r>
      <w:r>
        <w:rPr>
          <w:spacing w:val="-10"/>
        </w:rPr>
        <w:t> </w:t>
      </w:r>
      <w:r>
        <w:rPr/>
        <w:t>OP3</w:t>
      </w:r>
      <w:r>
        <w:rPr>
          <w:spacing w:val="-10"/>
        </w:rPr>
        <w:t> </w:t>
      </w:r>
      <w:r>
        <w:rPr/>
        <w:t>y</w:t>
      </w:r>
      <w:r>
        <w:rPr>
          <w:spacing w:val="-10"/>
        </w:rPr>
        <w:t> </w:t>
      </w:r>
      <w:r>
        <w:rPr/>
        <w:t>OP5),</w:t>
      </w:r>
      <w:r>
        <w:rPr>
          <w:spacing w:val="-10"/>
        </w:rPr>
        <w:t> </w:t>
      </w:r>
      <w:r>
        <w:rPr/>
        <w:t>como</w:t>
      </w:r>
      <w:r>
        <w:rPr>
          <w:spacing w:val="-10"/>
        </w:rPr>
        <w:t> </w:t>
      </w:r>
      <w:r>
        <w:rPr/>
        <w:t>el</w:t>
      </w:r>
      <w:r>
        <w:rPr>
          <w:spacing w:val="-6"/>
        </w:rPr>
        <w:t> </w:t>
      </w:r>
      <w:r>
        <w:rPr/>
        <w:t>Ministerio</w:t>
      </w:r>
      <w:r>
        <w:rPr>
          <w:spacing w:val="-10"/>
        </w:rPr>
        <w:t> </w:t>
      </w:r>
      <w:r>
        <w:rPr/>
        <w:t>de</w:t>
      </w:r>
      <w:r>
        <w:rPr>
          <w:spacing w:val="-10"/>
        </w:rPr>
        <w:t> </w:t>
      </w:r>
      <w:r>
        <w:rPr/>
        <w:t>Salud</w:t>
      </w:r>
      <w:r>
        <w:rPr>
          <w:spacing w:val="-8"/>
        </w:rPr>
        <w:t> </w:t>
      </w:r>
      <w:r>
        <w:rPr/>
        <w:t>(MINSA)</w:t>
      </w:r>
      <w:r>
        <w:rPr>
          <w:spacing w:val="-10"/>
        </w:rPr>
        <w:t> </w:t>
      </w:r>
      <w:r>
        <w:rPr/>
        <w:t>y</w:t>
      </w:r>
      <w:r>
        <w:rPr>
          <w:spacing w:val="-10"/>
        </w:rPr>
        <w:t> </w:t>
      </w:r>
      <w:r>
        <w:rPr/>
        <w:t>la</w:t>
      </w:r>
      <w:r>
        <w:rPr>
          <w:spacing w:val="-10"/>
        </w:rPr>
        <w:t> </w:t>
      </w:r>
      <w:r>
        <w:rPr/>
        <w:t>Autoridad</w:t>
      </w:r>
      <w:r>
        <w:rPr>
          <w:spacing w:val="-10"/>
        </w:rPr>
        <w:t> </w:t>
      </w:r>
      <w:r>
        <w:rPr/>
        <w:t>Nacional del Servicio Civil (SERVIR), a cargo de reportar 2 indicadores (OP2 y OP5), cumplieron con reportar los 5 indicadores de OP bajo su responsabilidad. Sin embargo, cabe señalar que, no se recibió información respecto al OP 4 a cargo del MIMP. Así, 04 de los 13 IOP (30.8%) lograron un nivel de cumplimiento alto respecto de las metas programadas al 2023: 2 indicadores del OP.02, 1 indicador del OP.03 y 1 del OP.05 a cargo de MINSA, MIMP y SERVIR, respectivamente. Por otro lado, 3 IOP (40 %) lograron un nivel de cumplimiento </w:t>
      </w:r>
      <w:r>
        <w:rPr>
          <w:spacing w:val="-2"/>
        </w:rPr>
        <w:t>medio</w:t>
      </w:r>
      <w:r>
        <w:rPr>
          <w:spacing w:val="-11"/>
        </w:rPr>
        <w:t> </w:t>
      </w:r>
      <w:r>
        <w:rPr>
          <w:spacing w:val="-2"/>
        </w:rPr>
        <w:t>(OP1,</w:t>
      </w:r>
      <w:r>
        <w:rPr>
          <w:spacing w:val="-12"/>
        </w:rPr>
        <w:t> </w:t>
      </w:r>
      <w:r>
        <w:rPr>
          <w:spacing w:val="-2"/>
        </w:rPr>
        <w:t>OP2,</w:t>
      </w:r>
      <w:r>
        <w:rPr>
          <w:spacing w:val="-12"/>
        </w:rPr>
        <w:t> </w:t>
      </w:r>
      <w:r>
        <w:rPr>
          <w:spacing w:val="-2"/>
        </w:rPr>
        <w:t>OP3),</w:t>
      </w:r>
      <w:r>
        <w:rPr>
          <w:spacing w:val="-12"/>
        </w:rPr>
        <w:t> </w:t>
      </w:r>
      <w:r>
        <w:rPr>
          <w:spacing w:val="-2"/>
        </w:rPr>
        <w:t>los</w:t>
      </w:r>
      <w:r>
        <w:rPr>
          <w:spacing w:val="-12"/>
        </w:rPr>
        <w:t> </w:t>
      </w:r>
      <w:r>
        <w:rPr>
          <w:spacing w:val="-2"/>
        </w:rPr>
        <w:t>cuales</w:t>
      </w:r>
      <w:r>
        <w:rPr>
          <w:spacing w:val="-12"/>
        </w:rPr>
        <w:t> </w:t>
      </w:r>
      <w:r>
        <w:rPr>
          <w:spacing w:val="-2"/>
        </w:rPr>
        <w:t>están</w:t>
      </w:r>
      <w:r>
        <w:rPr>
          <w:spacing w:val="-13"/>
        </w:rPr>
        <w:t> </w:t>
      </w:r>
      <w:r>
        <w:rPr>
          <w:spacing w:val="-2"/>
        </w:rPr>
        <w:t>a</w:t>
      </w:r>
      <w:r>
        <w:rPr>
          <w:spacing w:val="-15"/>
        </w:rPr>
        <w:t> </w:t>
      </w:r>
      <w:r>
        <w:rPr>
          <w:spacing w:val="-2"/>
        </w:rPr>
        <w:t>cargo</w:t>
      </w:r>
      <w:r>
        <w:rPr>
          <w:spacing w:val="-13"/>
        </w:rPr>
        <w:t> </w:t>
      </w:r>
      <w:r>
        <w:rPr>
          <w:spacing w:val="-2"/>
        </w:rPr>
        <w:t>del</w:t>
      </w:r>
      <w:r>
        <w:rPr>
          <w:spacing w:val="-12"/>
        </w:rPr>
        <w:t> </w:t>
      </w:r>
      <w:r>
        <w:rPr>
          <w:spacing w:val="-2"/>
        </w:rPr>
        <w:t>MIMP,</w:t>
      </w:r>
      <w:r>
        <w:rPr>
          <w:spacing w:val="-12"/>
        </w:rPr>
        <w:t> </w:t>
      </w:r>
      <w:r>
        <w:rPr>
          <w:spacing w:val="-2"/>
        </w:rPr>
        <w:t>MINSA</w:t>
      </w:r>
      <w:r>
        <w:rPr>
          <w:spacing w:val="-12"/>
        </w:rPr>
        <w:t> </w:t>
      </w:r>
      <w:r>
        <w:rPr>
          <w:spacing w:val="-2"/>
        </w:rPr>
        <w:t>y</w:t>
      </w:r>
      <w:r>
        <w:rPr>
          <w:spacing w:val="-15"/>
        </w:rPr>
        <w:t> </w:t>
      </w:r>
      <w:r>
        <w:rPr>
          <w:spacing w:val="-2"/>
        </w:rPr>
        <w:t>SERVIR.</w:t>
      </w:r>
    </w:p>
    <w:p>
      <w:pPr>
        <w:pStyle w:val="BodyText"/>
        <w:spacing w:line="326" w:lineRule="auto" w:before="157"/>
        <w:ind w:left="143" w:right="703"/>
        <w:jc w:val="both"/>
      </w:pPr>
      <w:r>
        <w:rPr/>
        <w:t>Con relación al reporte de información a nivel de servicios, correspondía medir el</w:t>
      </w:r>
      <w:r>
        <w:rPr>
          <w:spacing w:val="-5"/>
        </w:rPr>
        <w:t> </w:t>
      </w:r>
      <w:r>
        <w:rPr/>
        <w:t>avance</w:t>
      </w:r>
      <w:r>
        <w:rPr>
          <w:spacing w:val="-8"/>
        </w:rPr>
        <w:t> </w:t>
      </w:r>
      <w:r>
        <w:rPr/>
        <w:t>de</w:t>
      </w:r>
      <w:r>
        <w:rPr>
          <w:spacing w:val="-5"/>
        </w:rPr>
        <w:t> </w:t>
      </w:r>
      <w:r>
        <w:rPr/>
        <w:t>35</w:t>
      </w:r>
      <w:r>
        <w:rPr>
          <w:spacing w:val="-9"/>
        </w:rPr>
        <w:t> </w:t>
      </w:r>
      <w:r>
        <w:rPr/>
        <w:t>indicadores</w:t>
      </w:r>
      <w:r>
        <w:rPr>
          <w:spacing w:val="-7"/>
        </w:rPr>
        <w:t> </w:t>
      </w:r>
      <w:r>
        <w:rPr/>
        <w:t>de</w:t>
      </w:r>
      <w:r>
        <w:rPr>
          <w:spacing w:val="-6"/>
        </w:rPr>
        <w:t> </w:t>
      </w:r>
      <w:r>
        <w:rPr/>
        <w:t>servicios</w:t>
      </w:r>
      <w:r>
        <w:rPr>
          <w:spacing w:val="-5"/>
        </w:rPr>
        <w:t> </w:t>
      </w:r>
      <w:r>
        <w:rPr/>
        <w:t>en</w:t>
      </w:r>
      <w:r>
        <w:rPr>
          <w:spacing w:val="-8"/>
        </w:rPr>
        <w:t> </w:t>
      </w:r>
      <w:r>
        <w:rPr/>
        <w:t>tanto</w:t>
      </w:r>
      <w:r>
        <w:rPr>
          <w:spacing w:val="-8"/>
        </w:rPr>
        <w:t> </w:t>
      </w:r>
      <w:r>
        <w:rPr/>
        <w:t>contaban</w:t>
      </w:r>
      <w:r>
        <w:rPr>
          <w:spacing w:val="-8"/>
        </w:rPr>
        <w:t> </w:t>
      </w:r>
      <w:r>
        <w:rPr/>
        <w:t>con</w:t>
      </w:r>
      <w:r>
        <w:rPr>
          <w:spacing w:val="-6"/>
        </w:rPr>
        <w:t> </w:t>
      </w:r>
      <w:r>
        <w:rPr/>
        <w:t>metas</w:t>
      </w:r>
      <w:r>
        <w:rPr>
          <w:spacing w:val="-2"/>
        </w:rPr>
        <w:t> </w:t>
      </w:r>
      <w:r>
        <w:rPr/>
        <w:t>para</w:t>
      </w:r>
      <w:r>
        <w:rPr>
          <w:spacing w:val="-8"/>
        </w:rPr>
        <w:t> </w:t>
      </w:r>
      <w:r>
        <w:rPr/>
        <w:t>este periodo de medición; sin embargo, 3 de ellos presentaron dificultades en su medición. Así, se obtuvo que, 13 presentan un nivel de cumplimiento alto, 8 presentaron un cumplimiento alto con posible falla de planeación, 4 presentan un nivel medio, 5 presenta un nivel de cumplimiento bajo y 1 presenta un nivel de cumplimiento bajo con posible falla de planeación. En ese sentido, la presente evaluación priorizó a 17 indicadores de servicio que presentaron alertas en su nivel de cumplimiento, tales como: posible falla de planeación (9), bajo nivel de cumplimiento (5), y dificultades para reportar su avance (3).</w:t>
      </w:r>
    </w:p>
    <w:p>
      <w:pPr>
        <w:pStyle w:val="BodyText"/>
        <w:spacing w:line="307" w:lineRule="auto" w:before="164"/>
        <w:ind w:left="143" w:right="714"/>
        <w:jc w:val="both"/>
      </w:pPr>
      <w:r>
        <w:rPr/>
        <w:t>Dentro de los principales aspectos de mejora identificados en los servicios evaluados, se encontró la necesidad de establecer una línea de base y ajustar</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6"/>
        <w:jc w:val="both"/>
      </w:pPr>
      <w:r>
        <w:rPr/>
        <w:t>las metas de los indicadores, las cuales deberían estimarse sobre los valores históricos ejecutados; asimismo, es fundamental contar con una base de datos estructurada. Adicionalmente, se identificó la necesidad de mejorar los mecanismos de entrega y ampliar la cobertura y calidad de los servicios.</w:t>
      </w:r>
    </w:p>
    <w:p>
      <w:pPr>
        <w:pStyle w:val="BodyText"/>
        <w:spacing w:line="307" w:lineRule="auto" w:before="157"/>
        <w:ind w:left="143" w:right="705"/>
        <w:jc w:val="both"/>
      </w:pPr>
      <w:r>
        <w:rPr/>
        <w:t>Por otro lado, respecto a</w:t>
      </w:r>
      <w:r>
        <w:rPr>
          <w:spacing w:val="-1"/>
        </w:rPr>
        <w:t> </w:t>
      </w:r>
      <w:r>
        <w:rPr/>
        <w:t>la</w:t>
      </w:r>
      <w:r>
        <w:rPr>
          <w:spacing w:val="-1"/>
        </w:rPr>
        <w:t> </w:t>
      </w:r>
      <w:r>
        <w:rPr/>
        <w:t>situación</w:t>
      </w:r>
      <w:r>
        <w:rPr>
          <w:spacing w:val="-1"/>
        </w:rPr>
        <w:t> </w:t>
      </w:r>
      <w:r>
        <w:rPr/>
        <w:t>de la</w:t>
      </w:r>
      <w:r>
        <w:rPr>
          <w:spacing w:val="-1"/>
        </w:rPr>
        <w:t> </w:t>
      </w:r>
      <w:r>
        <w:rPr/>
        <w:t>aprobación</w:t>
      </w:r>
      <w:r>
        <w:rPr>
          <w:spacing w:val="-1"/>
        </w:rPr>
        <w:t> </w:t>
      </w:r>
      <w:r>
        <w:rPr/>
        <w:t>de</w:t>
      </w:r>
      <w:r>
        <w:rPr>
          <w:spacing w:val="-3"/>
        </w:rPr>
        <w:t> </w:t>
      </w:r>
      <w:r>
        <w:rPr/>
        <w:t>protocolos,</w:t>
      </w:r>
      <w:r>
        <w:rPr>
          <w:spacing w:val="-2"/>
        </w:rPr>
        <w:t> </w:t>
      </w:r>
      <w:r>
        <w:rPr/>
        <w:t>se precisa que es un proceso que podría culminar en el 2030, año en que culmina la implementación</w:t>
      </w:r>
      <w:r>
        <w:rPr>
          <w:spacing w:val="-9"/>
        </w:rPr>
        <w:t> </w:t>
      </w:r>
      <w:r>
        <w:rPr/>
        <w:t>de</w:t>
      </w:r>
      <w:r>
        <w:rPr>
          <w:spacing w:val="-11"/>
        </w:rPr>
        <w:t> </w:t>
      </w:r>
      <w:r>
        <w:rPr/>
        <w:t>la</w:t>
      </w:r>
      <w:r>
        <w:rPr>
          <w:spacing w:val="-11"/>
        </w:rPr>
        <w:t> </w:t>
      </w:r>
      <w:r>
        <w:rPr/>
        <w:t>PNIG.</w:t>
      </w:r>
      <w:r>
        <w:rPr>
          <w:spacing w:val="-6"/>
        </w:rPr>
        <w:t> </w:t>
      </w:r>
      <w:r>
        <w:rPr/>
        <w:t>En</w:t>
      </w:r>
      <w:r>
        <w:rPr>
          <w:spacing w:val="-9"/>
        </w:rPr>
        <w:t> </w:t>
      </w:r>
      <w:r>
        <w:rPr/>
        <w:t>ese</w:t>
      </w:r>
      <w:r>
        <w:rPr>
          <w:spacing w:val="-9"/>
        </w:rPr>
        <w:t> </w:t>
      </w:r>
      <w:r>
        <w:rPr/>
        <w:t>sentido,</w:t>
      </w:r>
      <w:r>
        <w:rPr>
          <w:spacing w:val="-8"/>
        </w:rPr>
        <w:t> </w:t>
      </w:r>
      <w:r>
        <w:rPr/>
        <w:t>a</w:t>
      </w:r>
      <w:r>
        <w:rPr>
          <w:spacing w:val="-11"/>
        </w:rPr>
        <w:t> </w:t>
      </w:r>
      <w:r>
        <w:rPr/>
        <w:t>fin</w:t>
      </w:r>
      <w:r>
        <w:rPr>
          <w:spacing w:val="-9"/>
        </w:rPr>
        <w:t> </w:t>
      </w:r>
      <w:r>
        <w:rPr/>
        <w:t>de</w:t>
      </w:r>
      <w:r>
        <w:rPr>
          <w:spacing w:val="-9"/>
        </w:rPr>
        <w:t> </w:t>
      </w:r>
      <w:r>
        <w:rPr/>
        <w:t>asegurar</w:t>
      </w:r>
      <w:r>
        <w:rPr>
          <w:spacing w:val="-6"/>
        </w:rPr>
        <w:t> </w:t>
      </w:r>
      <w:r>
        <w:rPr/>
        <w:t>la</w:t>
      </w:r>
      <w:r>
        <w:rPr>
          <w:spacing w:val="-11"/>
        </w:rPr>
        <w:t> </w:t>
      </w:r>
      <w:r>
        <w:rPr/>
        <w:t>implementación oportuna de los servicios con las características requeridas por los objetivos de la política y un seguimiento oportuno de los mismos, se recomienda evaluar la actualización de la política.</w:t>
      </w:r>
    </w:p>
    <w:p>
      <w:pPr>
        <w:pStyle w:val="BodyText"/>
      </w:pPr>
    </w:p>
    <w:p>
      <w:pPr>
        <w:pStyle w:val="BodyText"/>
        <w:spacing w:before="208"/>
      </w:pPr>
    </w:p>
    <w:p>
      <w:pPr>
        <w:pStyle w:val="Heading1"/>
        <w:numPr>
          <w:ilvl w:val="0"/>
          <w:numId w:val="3"/>
        </w:numPr>
        <w:tabs>
          <w:tab w:pos="569" w:val="left" w:leader="none"/>
        </w:tabs>
        <w:spacing w:line="240" w:lineRule="auto" w:before="0" w:after="0"/>
        <w:ind w:left="569" w:right="0" w:hanging="426"/>
        <w:jc w:val="left"/>
      </w:pPr>
      <w:bookmarkStart w:name="_bookmark1" w:id="2"/>
      <w:bookmarkEnd w:id="2"/>
      <w:r>
        <w:rPr/>
      </w:r>
      <w:r>
        <w:rPr>
          <w:color w:val="2E5395"/>
        </w:rPr>
        <w:t>Descripción</w:t>
      </w:r>
      <w:r>
        <w:rPr>
          <w:color w:val="2E5395"/>
          <w:spacing w:val="-6"/>
        </w:rPr>
        <w:t> </w:t>
      </w:r>
      <w:r>
        <w:rPr>
          <w:color w:val="2E5395"/>
        </w:rPr>
        <w:t>de</w:t>
      </w:r>
      <w:r>
        <w:rPr>
          <w:color w:val="2E5395"/>
          <w:spacing w:val="-5"/>
        </w:rPr>
        <w:t> </w:t>
      </w:r>
      <w:r>
        <w:rPr>
          <w:color w:val="2E5395"/>
        </w:rPr>
        <w:t>la</w:t>
      </w:r>
      <w:r>
        <w:rPr>
          <w:color w:val="2E5395"/>
          <w:spacing w:val="-3"/>
        </w:rPr>
        <w:t> </w:t>
      </w:r>
      <w:r>
        <w:rPr>
          <w:color w:val="2E5395"/>
        </w:rPr>
        <w:t>política</w:t>
      </w:r>
      <w:r>
        <w:rPr>
          <w:color w:val="2E5395"/>
          <w:spacing w:val="-4"/>
        </w:rPr>
        <w:t> </w:t>
      </w:r>
      <w:r>
        <w:rPr>
          <w:color w:val="2E5395"/>
          <w:spacing w:val="-2"/>
        </w:rPr>
        <w:t>nacional</w:t>
      </w:r>
    </w:p>
    <w:p>
      <w:pPr>
        <w:pStyle w:val="Heading2"/>
        <w:numPr>
          <w:ilvl w:val="1"/>
          <w:numId w:val="3"/>
        </w:numPr>
        <w:tabs>
          <w:tab w:pos="568" w:val="left" w:leader="none"/>
        </w:tabs>
        <w:spacing w:line="240" w:lineRule="auto" w:before="334" w:after="0"/>
        <w:ind w:left="568" w:right="0" w:hanging="425"/>
        <w:jc w:val="left"/>
      </w:pPr>
      <w:bookmarkStart w:name="_bookmark2" w:id="3"/>
      <w:bookmarkEnd w:id="3"/>
      <w:r>
        <w:rPr/>
      </w:r>
      <w:r>
        <w:rPr>
          <w:color w:val="2E5395"/>
        </w:rPr>
        <w:t>Problema</w:t>
      </w:r>
      <w:r>
        <w:rPr>
          <w:color w:val="2E5395"/>
          <w:spacing w:val="14"/>
        </w:rPr>
        <w:t> </w:t>
      </w:r>
      <w:r>
        <w:rPr>
          <w:color w:val="2E5395"/>
        </w:rPr>
        <w:t>público</w:t>
      </w:r>
      <w:r>
        <w:rPr>
          <w:color w:val="2E5395"/>
          <w:spacing w:val="11"/>
        </w:rPr>
        <w:t> </w:t>
      </w:r>
      <w:r>
        <w:rPr>
          <w:color w:val="2E5395"/>
        </w:rPr>
        <w:t>y</w:t>
      </w:r>
      <w:r>
        <w:rPr>
          <w:color w:val="2E5395"/>
          <w:spacing w:val="13"/>
        </w:rPr>
        <w:t> </w:t>
      </w:r>
      <w:r>
        <w:rPr>
          <w:color w:val="2E5395"/>
        </w:rPr>
        <w:t>futuro</w:t>
      </w:r>
      <w:r>
        <w:rPr>
          <w:color w:val="2E5395"/>
          <w:spacing w:val="12"/>
        </w:rPr>
        <w:t> </w:t>
      </w:r>
      <w:r>
        <w:rPr>
          <w:color w:val="2E5395"/>
          <w:spacing w:val="-2"/>
        </w:rPr>
        <w:t>deseado</w:t>
      </w:r>
    </w:p>
    <w:p>
      <w:pPr>
        <w:pStyle w:val="BodyText"/>
        <w:spacing w:before="23"/>
        <w:rPr>
          <w:sz w:val="26"/>
        </w:rPr>
      </w:pPr>
    </w:p>
    <w:p>
      <w:pPr>
        <w:pStyle w:val="BodyText"/>
        <w:spacing w:line="307" w:lineRule="auto"/>
        <w:ind w:left="143" w:right="704"/>
        <w:jc w:val="both"/>
      </w:pPr>
      <w:r>
        <w:rPr/>
        <w:t>La</w:t>
      </w:r>
      <w:r>
        <w:rPr>
          <w:spacing w:val="-12"/>
        </w:rPr>
        <w:t> </w:t>
      </w:r>
      <w:r>
        <w:rPr/>
        <w:t>Política</w:t>
      </w:r>
      <w:r>
        <w:rPr>
          <w:spacing w:val="-12"/>
        </w:rPr>
        <w:t> </w:t>
      </w:r>
      <w:r>
        <w:rPr/>
        <w:t>Nacional</w:t>
      </w:r>
      <w:r>
        <w:rPr>
          <w:spacing w:val="-9"/>
        </w:rPr>
        <w:t> </w:t>
      </w:r>
      <w:r>
        <w:rPr/>
        <w:t>de</w:t>
      </w:r>
      <w:r>
        <w:rPr>
          <w:spacing w:val="-14"/>
        </w:rPr>
        <w:t> </w:t>
      </w:r>
      <w:r>
        <w:rPr/>
        <w:t>Igualdad</w:t>
      </w:r>
      <w:r>
        <w:rPr>
          <w:spacing w:val="-11"/>
        </w:rPr>
        <w:t> </w:t>
      </w:r>
      <w:r>
        <w:rPr/>
        <w:t>de</w:t>
      </w:r>
      <w:r>
        <w:rPr>
          <w:spacing w:val="-12"/>
        </w:rPr>
        <w:t> </w:t>
      </w:r>
      <w:r>
        <w:rPr/>
        <w:t>Género</w:t>
      </w:r>
      <w:r>
        <w:rPr>
          <w:spacing w:val="-8"/>
        </w:rPr>
        <w:t> </w:t>
      </w:r>
      <w:r>
        <w:rPr/>
        <w:t>(PNIG)</w:t>
      </w:r>
      <w:r>
        <w:rPr>
          <w:spacing w:val="-12"/>
        </w:rPr>
        <w:t> </w:t>
      </w:r>
      <w:r>
        <w:rPr/>
        <w:t>tiene</w:t>
      </w:r>
      <w:r>
        <w:rPr>
          <w:spacing w:val="-11"/>
        </w:rPr>
        <w:t> </w:t>
      </w:r>
      <w:r>
        <w:rPr/>
        <w:t>como</w:t>
      </w:r>
      <w:r>
        <w:rPr>
          <w:spacing w:val="-11"/>
        </w:rPr>
        <w:t> </w:t>
      </w:r>
      <w:r>
        <w:rPr/>
        <w:t>problema</w:t>
      </w:r>
      <w:r>
        <w:rPr>
          <w:spacing w:val="-12"/>
        </w:rPr>
        <w:t> </w:t>
      </w:r>
      <w:r>
        <w:rPr/>
        <w:t>público a</w:t>
      </w:r>
      <w:r>
        <w:rPr>
          <w:spacing w:val="-13"/>
        </w:rPr>
        <w:t> </w:t>
      </w:r>
      <w:r>
        <w:rPr/>
        <w:t>la</w:t>
      </w:r>
      <w:r>
        <w:rPr>
          <w:spacing w:val="-12"/>
        </w:rPr>
        <w:t> </w:t>
      </w:r>
      <w:r>
        <w:rPr>
          <w:rFonts w:ascii="Arial" w:hAnsi="Arial"/>
          <w:i/>
        </w:rPr>
        <w:t>“Discriminación</w:t>
      </w:r>
      <w:r>
        <w:rPr>
          <w:rFonts w:ascii="Arial" w:hAnsi="Arial"/>
          <w:i/>
          <w:spacing w:val="-13"/>
        </w:rPr>
        <w:t> </w:t>
      </w:r>
      <w:r>
        <w:rPr>
          <w:rFonts w:ascii="Arial" w:hAnsi="Arial"/>
          <w:i/>
        </w:rPr>
        <w:t>estructural</w:t>
      </w:r>
      <w:r>
        <w:rPr>
          <w:rFonts w:ascii="Arial" w:hAnsi="Arial"/>
          <w:i/>
          <w:spacing w:val="-14"/>
        </w:rPr>
        <w:t> </w:t>
      </w:r>
      <w:r>
        <w:rPr>
          <w:rFonts w:ascii="Arial" w:hAnsi="Arial"/>
          <w:i/>
        </w:rPr>
        <w:t>contra</w:t>
      </w:r>
      <w:r>
        <w:rPr>
          <w:rFonts w:ascii="Arial" w:hAnsi="Arial"/>
          <w:i/>
          <w:spacing w:val="-14"/>
        </w:rPr>
        <w:t> </w:t>
      </w:r>
      <w:r>
        <w:rPr>
          <w:rFonts w:ascii="Arial" w:hAnsi="Arial"/>
          <w:i/>
        </w:rPr>
        <w:t>las</w:t>
      </w:r>
      <w:r>
        <w:rPr>
          <w:rFonts w:ascii="Arial" w:hAnsi="Arial"/>
          <w:i/>
          <w:spacing w:val="-14"/>
        </w:rPr>
        <w:t> </w:t>
      </w:r>
      <w:r>
        <w:rPr>
          <w:rFonts w:ascii="Arial" w:hAnsi="Arial"/>
          <w:i/>
        </w:rPr>
        <w:t>mujeres”</w:t>
      </w:r>
      <w:r>
        <w:rPr>
          <w:rFonts w:ascii="Arial" w:hAnsi="Arial"/>
          <w:i/>
          <w:spacing w:val="-12"/>
        </w:rPr>
        <w:t> </w:t>
      </w:r>
      <w:r>
        <w:rPr>
          <w:rFonts w:ascii="Arial" w:hAnsi="Arial"/>
          <w:i/>
        </w:rPr>
        <w:t>y</w:t>
      </w:r>
      <w:r>
        <w:rPr>
          <w:rFonts w:ascii="Arial" w:hAnsi="Arial"/>
          <w:i/>
          <w:spacing w:val="-12"/>
        </w:rPr>
        <w:t> </w:t>
      </w:r>
      <w:r>
        <w:rPr/>
        <w:t>el</w:t>
      </w:r>
      <w:r>
        <w:rPr>
          <w:spacing w:val="-12"/>
        </w:rPr>
        <w:t> </w:t>
      </w:r>
      <w:r>
        <w:rPr/>
        <w:t>futuro</w:t>
      </w:r>
      <w:r>
        <w:rPr>
          <w:spacing w:val="-12"/>
        </w:rPr>
        <w:t> </w:t>
      </w:r>
      <w:r>
        <w:rPr/>
        <w:t>deseado</w:t>
      </w:r>
      <w:r>
        <w:rPr>
          <w:spacing w:val="-10"/>
        </w:rPr>
        <w:t> </w:t>
      </w:r>
      <w:r>
        <w:rPr/>
        <w:t>se</w:t>
      </w:r>
      <w:r>
        <w:rPr>
          <w:spacing w:val="-13"/>
        </w:rPr>
        <w:t> </w:t>
      </w:r>
      <w:r>
        <w:rPr/>
        <w:t>espera alcanzar al 2030 es que “…en nuestro país, la discriminación estructural que afecta a las mujeres se reduzca, permitiendo que ejerzan plenamente sus derechos y se garantice su calidad de vida</w:t>
      </w:r>
    </w:p>
    <w:p>
      <w:pPr>
        <w:pStyle w:val="BodyText"/>
        <w:spacing w:line="307" w:lineRule="auto" w:before="157"/>
        <w:ind w:left="143" w:right="703"/>
        <w:jc w:val="both"/>
      </w:pPr>
      <w:r>
        <w:rPr/>
        <w:t>Así, la PNIG aborda el problema público de la discriminación estructural contra las mujeres a fin de garantizar el pleno</w:t>
      </w:r>
      <w:r>
        <w:rPr>
          <w:spacing w:val="-1"/>
        </w:rPr>
        <w:t> </w:t>
      </w:r>
      <w:r>
        <w:rPr/>
        <w:t>ejercicio de</w:t>
      </w:r>
      <w:r>
        <w:rPr>
          <w:spacing w:val="-2"/>
        </w:rPr>
        <w:t> </w:t>
      </w:r>
      <w:r>
        <w:rPr/>
        <w:t>los derechos</w:t>
      </w:r>
      <w:r>
        <w:rPr>
          <w:spacing w:val="-1"/>
        </w:rPr>
        <w:t> </w:t>
      </w:r>
      <w:r>
        <w:rPr/>
        <w:t>de</w:t>
      </w:r>
      <w:r>
        <w:rPr>
          <w:spacing w:val="-2"/>
        </w:rPr>
        <w:t> </w:t>
      </w:r>
      <w:r>
        <w:rPr/>
        <w:t>las mujeres y su calidad de vida. En ese sentido, para alcanzar la situación futura deseada, la PNIG plantea 6 objetivos prioritarios y sus respectivos lineamientos.</w:t>
      </w:r>
    </w:p>
    <w:p>
      <w:pPr>
        <w:pStyle w:val="BodyText"/>
        <w:spacing w:line="307" w:lineRule="auto" w:before="159"/>
        <w:ind w:left="143" w:right="706"/>
        <w:jc w:val="both"/>
      </w:pPr>
      <w:r>
        <w:rPr/>
        <w:t>Los</w:t>
      </w:r>
      <w:r>
        <w:rPr>
          <w:spacing w:val="-3"/>
        </w:rPr>
        <w:t> </w:t>
      </w:r>
      <w:r>
        <w:rPr/>
        <w:t>objetivos</w:t>
      </w:r>
      <w:r>
        <w:rPr>
          <w:spacing w:val="-3"/>
        </w:rPr>
        <w:t> </w:t>
      </w:r>
      <w:r>
        <w:rPr/>
        <w:t>y</w:t>
      </w:r>
      <w:r>
        <w:rPr>
          <w:spacing w:val="-7"/>
        </w:rPr>
        <w:t> </w:t>
      </w:r>
      <w:r>
        <w:rPr/>
        <w:t>lineamientos</w:t>
      </w:r>
      <w:r>
        <w:rPr>
          <w:spacing w:val="-6"/>
        </w:rPr>
        <w:t> </w:t>
      </w:r>
      <w:r>
        <w:rPr/>
        <w:t>guiarán,</w:t>
      </w:r>
      <w:r>
        <w:rPr>
          <w:spacing w:val="-3"/>
        </w:rPr>
        <w:t> </w:t>
      </w:r>
      <w:r>
        <w:rPr/>
        <w:t>orientarán</w:t>
      </w:r>
      <w:r>
        <w:rPr>
          <w:spacing w:val="-5"/>
        </w:rPr>
        <w:t> </w:t>
      </w:r>
      <w:r>
        <w:rPr/>
        <w:t>y</w:t>
      </w:r>
      <w:r>
        <w:rPr>
          <w:spacing w:val="-5"/>
        </w:rPr>
        <w:t> </w:t>
      </w:r>
      <w:r>
        <w:rPr/>
        <w:t>articularán</w:t>
      </w:r>
      <w:r>
        <w:rPr>
          <w:spacing w:val="-7"/>
        </w:rPr>
        <w:t> </w:t>
      </w:r>
      <w:r>
        <w:rPr/>
        <w:t>las</w:t>
      </w:r>
      <w:r>
        <w:rPr>
          <w:spacing w:val="-7"/>
        </w:rPr>
        <w:t> </w:t>
      </w:r>
      <w:r>
        <w:rPr/>
        <w:t>intervenciones, procesos, estrategias y, en general, los esfuerzos de todos los sectores involucrados y responsables del problema público. Estos cambios se verán reflejados en la evolución de los siguientes indicadores prioritarios:</w:t>
      </w:r>
    </w:p>
    <w:p>
      <w:pPr>
        <w:pStyle w:val="ListParagraph"/>
        <w:numPr>
          <w:ilvl w:val="0"/>
          <w:numId w:val="4"/>
        </w:numPr>
        <w:tabs>
          <w:tab w:pos="1210" w:val="left" w:leader="none"/>
        </w:tabs>
        <w:spacing w:line="240" w:lineRule="auto" w:before="157" w:after="0"/>
        <w:ind w:left="1210" w:right="0" w:hanging="359"/>
        <w:jc w:val="both"/>
        <w:rPr>
          <w:sz w:val="24"/>
        </w:rPr>
      </w:pPr>
      <w:r>
        <w:rPr>
          <w:sz w:val="24"/>
        </w:rPr>
        <w:t>Porcentaje</w:t>
      </w:r>
      <w:r>
        <w:rPr>
          <w:spacing w:val="-11"/>
          <w:sz w:val="24"/>
        </w:rPr>
        <w:t> </w:t>
      </w:r>
      <w:r>
        <w:rPr>
          <w:sz w:val="24"/>
        </w:rPr>
        <w:t>de</w:t>
      </w:r>
      <w:r>
        <w:rPr>
          <w:spacing w:val="-10"/>
          <w:sz w:val="24"/>
        </w:rPr>
        <w:t> </w:t>
      </w:r>
      <w:r>
        <w:rPr>
          <w:sz w:val="24"/>
        </w:rPr>
        <w:t>mujeres</w:t>
      </w:r>
      <w:r>
        <w:rPr>
          <w:spacing w:val="-11"/>
          <w:sz w:val="24"/>
        </w:rPr>
        <w:t> </w:t>
      </w:r>
      <w:r>
        <w:rPr>
          <w:sz w:val="24"/>
        </w:rPr>
        <w:t>víctimas</w:t>
      </w:r>
      <w:r>
        <w:rPr>
          <w:spacing w:val="-11"/>
          <w:sz w:val="24"/>
        </w:rPr>
        <w:t> </w:t>
      </w:r>
      <w:r>
        <w:rPr>
          <w:sz w:val="24"/>
        </w:rPr>
        <w:t>de</w:t>
      </w:r>
      <w:r>
        <w:rPr>
          <w:spacing w:val="-11"/>
          <w:sz w:val="24"/>
        </w:rPr>
        <w:t> </w:t>
      </w:r>
      <w:r>
        <w:rPr>
          <w:sz w:val="24"/>
        </w:rPr>
        <w:t>violencia</w:t>
      </w:r>
      <w:r>
        <w:rPr>
          <w:spacing w:val="-12"/>
          <w:sz w:val="24"/>
        </w:rPr>
        <w:t> </w:t>
      </w:r>
      <w:r>
        <w:rPr>
          <w:sz w:val="24"/>
        </w:rPr>
        <w:t>hacia</w:t>
      </w:r>
      <w:r>
        <w:rPr>
          <w:spacing w:val="-10"/>
          <w:sz w:val="24"/>
        </w:rPr>
        <w:t> </w:t>
      </w:r>
      <w:r>
        <w:rPr>
          <w:sz w:val="24"/>
        </w:rPr>
        <w:t>las</w:t>
      </w:r>
      <w:r>
        <w:rPr>
          <w:spacing w:val="-9"/>
          <w:sz w:val="24"/>
        </w:rPr>
        <w:t> </w:t>
      </w:r>
      <w:r>
        <w:rPr>
          <w:spacing w:val="-2"/>
          <w:sz w:val="24"/>
        </w:rPr>
        <w:t>mujeres.</w:t>
      </w:r>
    </w:p>
    <w:p>
      <w:pPr>
        <w:pStyle w:val="ListParagraph"/>
        <w:numPr>
          <w:ilvl w:val="0"/>
          <w:numId w:val="4"/>
        </w:numPr>
        <w:tabs>
          <w:tab w:pos="1210" w:val="left" w:leader="none"/>
        </w:tabs>
        <w:spacing w:line="240" w:lineRule="auto" w:before="76" w:after="0"/>
        <w:ind w:left="1210" w:right="0" w:hanging="359"/>
        <w:jc w:val="both"/>
        <w:rPr>
          <w:sz w:val="24"/>
        </w:rPr>
      </w:pPr>
      <w:r>
        <w:rPr>
          <w:sz w:val="24"/>
        </w:rPr>
        <w:t>Porcentaje</w:t>
      </w:r>
      <w:r>
        <w:rPr>
          <w:spacing w:val="8"/>
          <w:sz w:val="24"/>
        </w:rPr>
        <w:t> </w:t>
      </w:r>
      <w:r>
        <w:rPr>
          <w:sz w:val="24"/>
        </w:rPr>
        <w:t>mujeres</w:t>
      </w:r>
      <w:r>
        <w:rPr>
          <w:spacing w:val="8"/>
          <w:sz w:val="24"/>
        </w:rPr>
        <w:t> </w:t>
      </w:r>
      <w:r>
        <w:rPr>
          <w:sz w:val="24"/>
        </w:rPr>
        <w:t>que</w:t>
      </w:r>
      <w:r>
        <w:rPr>
          <w:spacing w:val="9"/>
          <w:sz w:val="24"/>
        </w:rPr>
        <w:t> </w:t>
      </w:r>
      <w:r>
        <w:rPr>
          <w:sz w:val="24"/>
        </w:rPr>
        <w:t>utilizan</w:t>
      </w:r>
      <w:r>
        <w:rPr>
          <w:spacing w:val="12"/>
          <w:sz w:val="24"/>
        </w:rPr>
        <w:t> </w:t>
      </w:r>
      <w:r>
        <w:rPr>
          <w:sz w:val="24"/>
        </w:rPr>
        <w:t>métodos</w:t>
      </w:r>
      <w:r>
        <w:rPr>
          <w:spacing w:val="10"/>
          <w:sz w:val="24"/>
        </w:rPr>
        <w:t> </w:t>
      </w:r>
      <w:r>
        <w:rPr>
          <w:spacing w:val="-2"/>
          <w:sz w:val="24"/>
        </w:rPr>
        <w:t>anticonceptivos.</w:t>
      </w:r>
    </w:p>
    <w:p>
      <w:pPr>
        <w:pStyle w:val="ListParagraph"/>
        <w:numPr>
          <w:ilvl w:val="0"/>
          <w:numId w:val="4"/>
        </w:numPr>
        <w:tabs>
          <w:tab w:pos="1211" w:val="left" w:leader="none"/>
        </w:tabs>
        <w:spacing w:line="307" w:lineRule="auto" w:before="78" w:after="0"/>
        <w:ind w:left="1211" w:right="712" w:hanging="360"/>
        <w:jc w:val="left"/>
        <w:rPr>
          <w:sz w:val="24"/>
        </w:rPr>
      </w:pPr>
      <w:r>
        <w:rPr>
          <w:sz w:val="24"/>
        </w:rPr>
        <w:t>Proporción</w:t>
      </w:r>
      <w:r>
        <w:rPr>
          <w:spacing w:val="40"/>
          <w:sz w:val="24"/>
        </w:rPr>
        <w:t> </w:t>
      </w:r>
      <w:r>
        <w:rPr>
          <w:sz w:val="24"/>
        </w:rPr>
        <w:t>de</w:t>
      </w:r>
      <w:r>
        <w:rPr>
          <w:spacing w:val="40"/>
          <w:sz w:val="24"/>
        </w:rPr>
        <w:t> </w:t>
      </w:r>
      <w:r>
        <w:rPr>
          <w:sz w:val="24"/>
        </w:rPr>
        <w:t>mujeres</w:t>
      </w:r>
      <w:r>
        <w:rPr>
          <w:spacing w:val="40"/>
          <w:sz w:val="24"/>
        </w:rPr>
        <w:t> </w:t>
      </w:r>
      <w:r>
        <w:rPr>
          <w:sz w:val="24"/>
        </w:rPr>
        <w:t>con</w:t>
      </w:r>
      <w:r>
        <w:rPr>
          <w:spacing w:val="40"/>
          <w:sz w:val="24"/>
        </w:rPr>
        <w:t> </w:t>
      </w:r>
      <w:r>
        <w:rPr>
          <w:sz w:val="24"/>
        </w:rPr>
        <w:t>demanda</w:t>
      </w:r>
      <w:r>
        <w:rPr>
          <w:spacing w:val="40"/>
          <w:sz w:val="24"/>
        </w:rPr>
        <w:t> </w:t>
      </w:r>
      <w:r>
        <w:rPr>
          <w:sz w:val="24"/>
        </w:rPr>
        <w:t>insatisfecha</w:t>
      </w:r>
      <w:r>
        <w:rPr>
          <w:spacing w:val="40"/>
          <w:sz w:val="24"/>
        </w:rPr>
        <w:t> </w:t>
      </w:r>
      <w:r>
        <w:rPr>
          <w:sz w:val="24"/>
        </w:rPr>
        <w:t>de</w:t>
      </w:r>
      <w:r>
        <w:rPr>
          <w:spacing w:val="40"/>
          <w:sz w:val="24"/>
        </w:rPr>
        <w:t> </w:t>
      </w:r>
      <w:r>
        <w:rPr>
          <w:sz w:val="24"/>
        </w:rPr>
        <w:t>planificación </w:t>
      </w:r>
      <w:r>
        <w:rPr>
          <w:spacing w:val="-2"/>
          <w:sz w:val="24"/>
        </w:rPr>
        <w:t>familiar.</w:t>
      </w:r>
    </w:p>
    <w:p>
      <w:pPr>
        <w:pStyle w:val="ListParagraph"/>
        <w:numPr>
          <w:ilvl w:val="0"/>
          <w:numId w:val="4"/>
        </w:numPr>
        <w:tabs>
          <w:tab w:pos="1210" w:val="left" w:leader="none"/>
        </w:tabs>
        <w:spacing w:line="275" w:lineRule="exact" w:before="0" w:after="0"/>
        <w:ind w:left="1210" w:right="0" w:hanging="359"/>
        <w:jc w:val="left"/>
        <w:rPr>
          <w:sz w:val="24"/>
        </w:rPr>
      </w:pPr>
      <w:r>
        <w:rPr>
          <w:sz w:val="24"/>
        </w:rPr>
        <w:t>Porcentaje de</w:t>
      </w:r>
      <w:r>
        <w:rPr>
          <w:spacing w:val="1"/>
          <w:sz w:val="24"/>
        </w:rPr>
        <w:t> </w:t>
      </w:r>
      <w:r>
        <w:rPr>
          <w:sz w:val="24"/>
        </w:rPr>
        <w:t>embarazo</w:t>
      </w:r>
      <w:r>
        <w:rPr>
          <w:spacing w:val="2"/>
          <w:sz w:val="24"/>
        </w:rPr>
        <w:t> </w:t>
      </w:r>
      <w:r>
        <w:rPr>
          <w:spacing w:val="-2"/>
          <w:sz w:val="24"/>
        </w:rPr>
        <w:t>adolescente.</w:t>
      </w:r>
    </w:p>
    <w:p>
      <w:pPr>
        <w:pStyle w:val="ListParagraph"/>
        <w:numPr>
          <w:ilvl w:val="0"/>
          <w:numId w:val="4"/>
        </w:numPr>
        <w:tabs>
          <w:tab w:pos="1210" w:val="left" w:leader="none"/>
        </w:tabs>
        <w:spacing w:line="240" w:lineRule="auto" w:before="77" w:after="0"/>
        <w:ind w:left="1210" w:right="0" w:hanging="359"/>
        <w:jc w:val="left"/>
        <w:rPr>
          <w:sz w:val="24"/>
        </w:rPr>
      </w:pPr>
      <w:r>
        <w:rPr>
          <w:sz w:val="24"/>
        </w:rPr>
        <w:t>Índice</w:t>
      </w:r>
      <w:r>
        <w:rPr>
          <w:spacing w:val="6"/>
          <w:sz w:val="24"/>
        </w:rPr>
        <w:t> </w:t>
      </w:r>
      <w:r>
        <w:rPr>
          <w:sz w:val="24"/>
        </w:rPr>
        <w:t>de</w:t>
      </w:r>
      <w:r>
        <w:rPr>
          <w:spacing w:val="9"/>
          <w:sz w:val="24"/>
        </w:rPr>
        <w:t> </w:t>
      </w:r>
      <w:r>
        <w:rPr>
          <w:sz w:val="24"/>
        </w:rPr>
        <w:t>empoderamiento</w:t>
      </w:r>
      <w:r>
        <w:rPr>
          <w:spacing w:val="8"/>
          <w:sz w:val="24"/>
        </w:rPr>
        <w:t> </w:t>
      </w:r>
      <w:r>
        <w:rPr>
          <w:sz w:val="24"/>
        </w:rPr>
        <w:t>político</w:t>
      </w:r>
      <w:r>
        <w:rPr>
          <w:spacing w:val="8"/>
          <w:sz w:val="24"/>
        </w:rPr>
        <w:t> </w:t>
      </w:r>
      <w:r>
        <w:rPr>
          <w:sz w:val="24"/>
        </w:rPr>
        <w:t>de</w:t>
      </w:r>
      <w:r>
        <w:rPr>
          <w:spacing w:val="7"/>
          <w:sz w:val="24"/>
        </w:rPr>
        <w:t> </w:t>
      </w:r>
      <w:r>
        <w:rPr>
          <w:sz w:val="24"/>
        </w:rPr>
        <w:t>las</w:t>
      </w:r>
      <w:r>
        <w:rPr>
          <w:spacing w:val="10"/>
          <w:sz w:val="24"/>
        </w:rPr>
        <w:t> </w:t>
      </w:r>
      <w:r>
        <w:rPr>
          <w:spacing w:val="-2"/>
          <w:sz w:val="24"/>
        </w:rPr>
        <w:t>mujeres.</w:t>
      </w:r>
    </w:p>
    <w:p>
      <w:pPr>
        <w:pStyle w:val="ListParagraph"/>
        <w:numPr>
          <w:ilvl w:val="0"/>
          <w:numId w:val="4"/>
        </w:numPr>
        <w:tabs>
          <w:tab w:pos="1211" w:val="left" w:leader="none"/>
        </w:tabs>
        <w:spacing w:line="307" w:lineRule="auto" w:before="77" w:after="0"/>
        <w:ind w:left="1211" w:right="714" w:hanging="360"/>
        <w:jc w:val="left"/>
        <w:rPr>
          <w:sz w:val="24"/>
        </w:rPr>
      </w:pPr>
      <w:r>
        <w:rPr>
          <w:sz w:val="24"/>
        </w:rPr>
        <w:t>Porcentaje</w:t>
      </w:r>
      <w:r>
        <w:rPr>
          <w:spacing w:val="80"/>
          <w:sz w:val="24"/>
        </w:rPr>
        <w:t> </w:t>
      </w:r>
      <w:r>
        <w:rPr>
          <w:sz w:val="24"/>
        </w:rPr>
        <w:t>de</w:t>
      </w:r>
      <w:r>
        <w:rPr>
          <w:spacing w:val="80"/>
          <w:sz w:val="24"/>
        </w:rPr>
        <w:t> </w:t>
      </w:r>
      <w:r>
        <w:rPr>
          <w:sz w:val="24"/>
        </w:rPr>
        <w:t>participación</w:t>
      </w:r>
      <w:r>
        <w:rPr>
          <w:spacing w:val="80"/>
          <w:sz w:val="24"/>
        </w:rPr>
        <w:t> </w:t>
      </w:r>
      <w:r>
        <w:rPr>
          <w:sz w:val="24"/>
        </w:rPr>
        <w:t>de</w:t>
      </w:r>
      <w:r>
        <w:rPr>
          <w:spacing w:val="80"/>
          <w:sz w:val="24"/>
        </w:rPr>
        <w:t> </w:t>
      </w:r>
      <w:r>
        <w:rPr>
          <w:sz w:val="24"/>
        </w:rPr>
        <w:t>servidoras</w:t>
      </w:r>
      <w:r>
        <w:rPr>
          <w:spacing w:val="80"/>
          <w:sz w:val="24"/>
        </w:rPr>
        <w:t> </w:t>
      </w:r>
      <w:r>
        <w:rPr>
          <w:sz w:val="24"/>
        </w:rPr>
        <w:t>civiles</w:t>
      </w:r>
      <w:r>
        <w:rPr>
          <w:spacing w:val="80"/>
          <w:sz w:val="24"/>
        </w:rPr>
        <w:t> </w:t>
      </w:r>
      <w:r>
        <w:rPr>
          <w:sz w:val="24"/>
        </w:rPr>
        <w:t>funcionarias</w:t>
      </w:r>
      <w:r>
        <w:rPr>
          <w:spacing w:val="80"/>
          <w:sz w:val="24"/>
        </w:rPr>
        <w:t> </w:t>
      </w:r>
      <w:r>
        <w:rPr>
          <w:sz w:val="24"/>
        </w:rPr>
        <w:t>y </w:t>
      </w:r>
      <w:r>
        <w:rPr>
          <w:spacing w:val="-2"/>
          <w:sz w:val="24"/>
        </w:rPr>
        <w:t>directivas.</w:t>
      </w:r>
    </w:p>
    <w:p>
      <w:pPr>
        <w:pStyle w:val="ListParagraph"/>
        <w:spacing w:after="0" w:line="307" w:lineRule="auto"/>
        <w:jc w:val="left"/>
        <w:rPr>
          <w:sz w:val="24"/>
        </w:rPr>
        <w:sectPr>
          <w:pgSz w:w="11910" w:h="16840"/>
          <w:pgMar w:header="713" w:footer="1000" w:top="1420" w:bottom="1200" w:left="1559" w:right="992"/>
        </w:sectPr>
      </w:pPr>
    </w:p>
    <w:p>
      <w:pPr>
        <w:pStyle w:val="ListParagraph"/>
        <w:numPr>
          <w:ilvl w:val="0"/>
          <w:numId w:val="4"/>
        </w:numPr>
        <w:tabs>
          <w:tab w:pos="1209" w:val="left" w:leader="none"/>
        </w:tabs>
        <w:spacing w:line="240" w:lineRule="auto" w:before="123" w:after="0"/>
        <w:ind w:left="1209" w:right="0" w:hanging="358"/>
        <w:jc w:val="left"/>
        <w:rPr>
          <w:sz w:val="24"/>
        </w:rPr>
      </w:pPr>
      <w:r>
        <w:rPr>
          <w:sz w:val="24"/>
        </w:rPr>
        <w:t>Índice</w:t>
      </w:r>
      <w:r>
        <w:rPr>
          <w:spacing w:val="6"/>
          <w:sz w:val="24"/>
        </w:rPr>
        <w:t> </w:t>
      </w:r>
      <w:r>
        <w:rPr>
          <w:sz w:val="24"/>
        </w:rPr>
        <w:t>de</w:t>
      </w:r>
      <w:r>
        <w:rPr>
          <w:spacing w:val="8"/>
          <w:sz w:val="24"/>
        </w:rPr>
        <w:t> </w:t>
      </w:r>
      <w:r>
        <w:rPr>
          <w:sz w:val="24"/>
        </w:rPr>
        <w:t>empoderamiento</w:t>
      </w:r>
      <w:r>
        <w:rPr>
          <w:spacing w:val="10"/>
          <w:sz w:val="24"/>
        </w:rPr>
        <w:t> </w:t>
      </w:r>
      <w:r>
        <w:rPr>
          <w:sz w:val="24"/>
        </w:rPr>
        <w:t>económico</w:t>
      </w:r>
      <w:r>
        <w:rPr>
          <w:spacing w:val="8"/>
          <w:sz w:val="24"/>
        </w:rPr>
        <w:t> </w:t>
      </w:r>
      <w:r>
        <w:rPr>
          <w:sz w:val="24"/>
        </w:rPr>
        <w:t>de</w:t>
      </w:r>
      <w:r>
        <w:rPr>
          <w:spacing w:val="9"/>
          <w:sz w:val="24"/>
        </w:rPr>
        <w:t> </w:t>
      </w:r>
      <w:r>
        <w:rPr>
          <w:sz w:val="24"/>
        </w:rPr>
        <w:t>las</w:t>
      </w:r>
      <w:r>
        <w:rPr>
          <w:spacing w:val="7"/>
          <w:sz w:val="24"/>
        </w:rPr>
        <w:t> </w:t>
      </w:r>
      <w:r>
        <w:rPr>
          <w:spacing w:val="-2"/>
          <w:sz w:val="24"/>
        </w:rPr>
        <w:t>mujeres.</w:t>
      </w:r>
    </w:p>
    <w:p>
      <w:pPr>
        <w:pStyle w:val="ListParagraph"/>
        <w:numPr>
          <w:ilvl w:val="0"/>
          <w:numId w:val="4"/>
        </w:numPr>
        <w:tabs>
          <w:tab w:pos="1210" w:val="left" w:leader="none"/>
        </w:tabs>
        <w:spacing w:line="240" w:lineRule="auto" w:before="75" w:after="0"/>
        <w:ind w:left="1210" w:right="0" w:hanging="359"/>
        <w:jc w:val="left"/>
        <w:rPr>
          <w:sz w:val="24"/>
        </w:rPr>
      </w:pPr>
      <w:r>
        <w:rPr>
          <w:sz w:val="24"/>
        </w:rPr>
        <w:t>Índice de</w:t>
      </w:r>
      <w:r>
        <w:rPr>
          <w:spacing w:val="3"/>
          <w:sz w:val="24"/>
        </w:rPr>
        <w:t> </w:t>
      </w:r>
      <w:r>
        <w:rPr>
          <w:sz w:val="24"/>
        </w:rPr>
        <w:t>empoderamiento</w:t>
      </w:r>
      <w:r>
        <w:rPr>
          <w:spacing w:val="5"/>
          <w:sz w:val="24"/>
        </w:rPr>
        <w:t> </w:t>
      </w:r>
      <w:r>
        <w:rPr>
          <w:sz w:val="24"/>
        </w:rPr>
        <w:t>social</w:t>
      </w:r>
      <w:r>
        <w:rPr>
          <w:spacing w:val="2"/>
          <w:sz w:val="24"/>
        </w:rPr>
        <w:t> </w:t>
      </w:r>
      <w:r>
        <w:rPr>
          <w:sz w:val="24"/>
        </w:rPr>
        <w:t>de</w:t>
      </w:r>
      <w:r>
        <w:rPr>
          <w:spacing w:val="3"/>
          <w:sz w:val="24"/>
        </w:rPr>
        <w:t> </w:t>
      </w:r>
      <w:r>
        <w:rPr>
          <w:sz w:val="24"/>
        </w:rPr>
        <w:t>las</w:t>
      </w:r>
      <w:r>
        <w:rPr>
          <w:spacing w:val="4"/>
          <w:sz w:val="24"/>
        </w:rPr>
        <w:t> </w:t>
      </w:r>
      <w:r>
        <w:rPr>
          <w:spacing w:val="-2"/>
          <w:sz w:val="24"/>
        </w:rPr>
        <w:t>mujeres.</w:t>
      </w:r>
    </w:p>
    <w:p>
      <w:pPr>
        <w:pStyle w:val="ListParagraph"/>
        <w:numPr>
          <w:ilvl w:val="0"/>
          <w:numId w:val="4"/>
        </w:numPr>
        <w:tabs>
          <w:tab w:pos="1210" w:val="left" w:leader="none"/>
        </w:tabs>
        <w:spacing w:line="240" w:lineRule="auto" w:before="77" w:after="0"/>
        <w:ind w:left="1210" w:right="0" w:hanging="359"/>
        <w:jc w:val="left"/>
        <w:rPr>
          <w:sz w:val="24"/>
        </w:rPr>
      </w:pPr>
      <w:r>
        <w:rPr>
          <w:sz w:val="24"/>
        </w:rPr>
        <w:t>Índice</w:t>
      </w:r>
      <w:r>
        <w:rPr>
          <w:spacing w:val="-1"/>
          <w:sz w:val="24"/>
        </w:rPr>
        <w:t> </w:t>
      </w:r>
      <w:r>
        <w:rPr>
          <w:sz w:val="24"/>
        </w:rPr>
        <w:t>de</w:t>
      </w:r>
      <w:r>
        <w:rPr>
          <w:spacing w:val="3"/>
          <w:sz w:val="24"/>
        </w:rPr>
        <w:t> </w:t>
      </w:r>
      <w:r>
        <w:rPr>
          <w:sz w:val="24"/>
        </w:rPr>
        <w:t>empoderamiento</w:t>
      </w:r>
      <w:r>
        <w:rPr>
          <w:spacing w:val="3"/>
          <w:sz w:val="24"/>
        </w:rPr>
        <w:t> </w:t>
      </w:r>
      <w:r>
        <w:rPr>
          <w:sz w:val="24"/>
        </w:rPr>
        <w:t>social</w:t>
      </w:r>
      <w:r>
        <w:rPr>
          <w:spacing w:val="1"/>
          <w:sz w:val="24"/>
        </w:rPr>
        <w:t> </w:t>
      </w:r>
      <w:r>
        <w:rPr>
          <w:sz w:val="24"/>
        </w:rPr>
        <w:t>de</w:t>
      </w:r>
      <w:r>
        <w:rPr>
          <w:spacing w:val="2"/>
          <w:sz w:val="24"/>
        </w:rPr>
        <w:t> </w:t>
      </w:r>
      <w:r>
        <w:rPr>
          <w:sz w:val="24"/>
        </w:rPr>
        <w:t>niñas</w:t>
      </w:r>
      <w:r>
        <w:rPr>
          <w:spacing w:val="4"/>
          <w:sz w:val="24"/>
        </w:rPr>
        <w:t> </w:t>
      </w:r>
      <w:r>
        <w:rPr>
          <w:sz w:val="24"/>
        </w:rPr>
        <w:t>y </w:t>
      </w:r>
      <w:r>
        <w:rPr>
          <w:spacing w:val="-2"/>
          <w:sz w:val="24"/>
        </w:rPr>
        <w:t>adolescentes.</w:t>
      </w:r>
    </w:p>
    <w:p>
      <w:pPr>
        <w:pStyle w:val="ListParagraph"/>
        <w:numPr>
          <w:ilvl w:val="0"/>
          <w:numId w:val="4"/>
        </w:numPr>
        <w:tabs>
          <w:tab w:pos="1211" w:val="left" w:leader="none"/>
        </w:tabs>
        <w:spacing w:line="307" w:lineRule="auto" w:before="76" w:after="0"/>
        <w:ind w:left="1211" w:right="714" w:hanging="360"/>
        <w:jc w:val="left"/>
        <w:rPr>
          <w:sz w:val="24"/>
        </w:rPr>
      </w:pPr>
      <w:r>
        <w:rPr>
          <w:sz w:val="24"/>
        </w:rPr>
        <w:t>Porcentaje</w:t>
      </w:r>
      <w:r>
        <w:rPr>
          <w:spacing w:val="80"/>
          <w:sz w:val="24"/>
        </w:rPr>
        <w:t> </w:t>
      </w:r>
      <w:r>
        <w:rPr>
          <w:sz w:val="24"/>
        </w:rPr>
        <w:t>de</w:t>
      </w:r>
      <w:r>
        <w:rPr>
          <w:spacing w:val="80"/>
          <w:sz w:val="24"/>
        </w:rPr>
        <w:t> </w:t>
      </w:r>
      <w:r>
        <w:rPr>
          <w:sz w:val="24"/>
        </w:rPr>
        <w:t>entidades</w:t>
      </w:r>
      <w:r>
        <w:rPr>
          <w:spacing w:val="80"/>
          <w:sz w:val="24"/>
        </w:rPr>
        <w:t> </w:t>
      </w:r>
      <w:r>
        <w:rPr>
          <w:sz w:val="24"/>
        </w:rPr>
        <w:t>públicas</w:t>
      </w:r>
      <w:r>
        <w:rPr>
          <w:spacing w:val="80"/>
          <w:sz w:val="24"/>
        </w:rPr>
        <w:t> </w:t>
      </w:r>
      <w:r>
        <w:rPr>
          <w:sz w:val="24"/>
        </w:rPr>
        <w:t>que</w:t>
      </w:r>
      <w:r>
        <w:rPr>
          <w:spacing w:val="80"/>
          <w:sz w:val="24"/>
        </w:rPr>
        <w:t> </w:t>
      </w:r>
      <w:r>
        <w:rPr>
          <w:sz w:val="24"/>
        </w:rPr>
        <w:t>incorporan</w:t>
      </w:r>
      <w:r>
        <w:rPr>
          <w:spacing w:val="80"/>
          <w:sz w:val="24"/>
        </w:rPr>
        <w:t> </w:t>
      </w:r>
      <w:r>
        <w:rPr>
          <w:sz w:val="24"/>
        </w:rPr>
        <w:t>el</w:t>
      </w:r>
      <w:r>
        <w:rPr>
          <w:spacing w:val="80"/>
          <w:sz w:val="24"/>
        </w:rPr>
        <w:t> </w:t>
      </w:r>
      <w:r>
        <w:rPr>
          <w:sz w:val="24"/>
        </w:rPr>
        <w:t>enfoque</w:t>
      </w:r>
      <w:r>
        <w:rPr>
          <w:spacing w:val="80"/>
          <w:sz w:val="24"/>
        </w:rPr>
        <w:t> </w:t>
      </w:r>
      <w:r>
        <w:rPr>
          <w:sz w:val="24"/>
        </w:rPr>
        <w:t>de género en la gestión institucional.</w:t>
      </w:r>
    </w:p>
    <w:p>
      <w:pPr>
        <w:pStyle w:val="ListParagraph"/>
        <w:numPr>
          <w:ilvl w:val="0"/>
          <w:numId w:val="4"/>
        </w:numPr>
        <w:tabs>
          <w:tab w:pos="1210" w:val="left" w:leader="none"/>
        </w:tabs>
        <w:spacing w:line="275" w:lineRule="exact" w:before="0" w:after="0"/>
        <w:ind w:left="1210" w:right="0" w:hanging="359"/>
        <w:jc w:val="left"/>
        <w:rPr>
          <w:sz w:val="24"/>
        </w:rPr>
      </w:pPr>
      <w:r>
        <w:rPr>
          <w:sz w:val="24"/>
        </w:rPr>
        <w:t>Brecha salarial</w:t>
      </w:r>
      <w:r>
        <w:rPr>
          <w:spacing w:val="1"/>
          <w:sz w:val="24"/>
        </w:rPr>
        <w:t> </w:t>
      </w:r>
      <w:r>
        <w:rPr>
          <w:sz w:val="24"/>
        </w:rPr>
        <w:t>entre el</w:t>
      </w:r>
      <w:r>
        <w:rPr>
          <w:spacing w:val="2"/>
          <w:sz w:val="24"/>
        </w:rPr>
        <w:t> </w:t>
      </w:r>
      <w:r>
        <w:rPr>
          <w:sz w:val="24"/>
        </w:rPr>
        <w:t>hombre y</w:t>
      </w:r>
      <w:r>
        <w:rPr>
          <w:spacing w:val="-2"/>
          <w:sz w:val="24"/>
        </w:rPr>
        <w:t> </w:t>
      </w:r>
      <w:r>
        <w:rPr>
          <w:sz w:val="24"/>
        </w:rPr>
        <w:t>la</w:t>
      </w:r>
      <w:r>
        <w:rPr>
          <w:spacing w:val="1"/>
          <w:sz w:val="24"/>
        </w:rPr>
        <w:t> </w:t>
      </w:r>
      <w:r>
        <w:rPr>
          <w:sz w:val="24"/>
        </w:rPr>
        <w:t>mujer en</w:t>
      </w:r>
      <w:r>
        <w:rPr>
          <w:spacing w:val="-2"/>
          <w:sz w:val="24"/>
        </w:rPr>
        <w:t> </w:t>
      </w:r>
      <w:r>
        <w:rPr>
          <w:sz w:val="24"/>
        </w:rPr>
        <w:t>el</w:t>
      </w:r>
      <w:r>
        <w:rPr>
          <w:spacing w:val="1"/>
          <w:sz w:val="24"/>
        </w:rPr>
        <w:t> </w:t>
      </w:r>
      <w:r>
        <w:rPr>
          <w:sz w:val="24"/>
        </w:rPr>
        <w:t>sector</w:t>
      </w:r>
      <w:r>
        <w:rPr>
          <w:spacing w:val="1"/>
          <w:sz w:val="24"/>
        </w:rPr>
        <w:t> </w:t>
      </w:r>
      <w:r>
        <w:rPr>
          <w:spacing w:val="-2"/>
          <w:sz w:val="24"/>
        </w:rPr>
        <w:t>público.</w:t>
      </w:r>
    </w:p>
    <w:p>
      <w:pPr>
        <w:pStyle w:val="ListParagraph"/>
        <w:numPr>
          <w:ilvl w:val="0"/>
          <w:numId w:val="4"/>
        </w:numPr>
        <w:tabs>
          <w:tab w:pos="1210" w:val="left" w:leader="none"/>
        </w:tabs>
        <w:spacing w:line="240" w:lineRule="auto" w:before="77" w:after="0"/>
        <w:ind w:left="1210" w:right="0" w:hanging="359"/>
        <w:jc w:val="left"/>
        <w:rPr>
          <w:sz w:val="24"/>
        </w:rPr>
      </w:pPr>
      <w:r>
        <w:rPr>
          <w:sz w:val="24"/>
        </w:rPr>
        <w:t>Porcentaje de</w:t>
      </w:r>
      <w:r>
        <w:rPr>
          <w:spacing w:val="-1"/>
          <w:sz w:val="24"/>
        </w:rPr>
        <w:t> </w:t>
      </w:r>
      <w:r>
        <w:rPr>
          <w:sz w:val="24"/>
        </w:rPr>
        <w:t>participación</w:t>
      </w:r>
      <w:r>
        <w:rPr>
          <w:spacing w:val="-1"/>
          <w:sz w:val="24"/>
        </w:rPr>
        <w:t> </w:t>
      </w:r>
      <w:r>
        <w:rPr>
          <w:sz w:val="24"/>
        </w:rPr>
        <w:t>de la</w:t>
      </w:r>
      <w:r>
        <w:rPr>
          <w:spacing w:val="1"/>
          <w:sz w:val="24"/>
        </w:rPr>
        <w:t> </w:t>
      </w:r>
      <w:r>
        <w:rPr>
          <w:sz w:val="24"/>
        </w:rPr>
        <w:t>mujer</w:t>
      </w:r>
      <w:r>
        <w:rPr>
          <w:spacing w:val="1"/>
          <w:sz w:val="24"/>
        </w:rPr>
        <w:t> </w:t>
      </w:r>
      <w:r>
        <w:rPr>
          <w:sz w:val="24"/>
        </w:rPr>
        <w:t>en</w:t>
      </w:r>
      <w:r>
        <w:rPr>
          <w:spacing w:val="1"/>
          <w:sz w:val="24"/>
        </w:rPr>
        <w:t> </w:t>
      </w:r>
      <w:r>
        <w:rPr>
          <w:sz w:val="24"/>
        </w:rPr>
        <w:t>el</w:t>
      </w:r>
      <w:r>
        <w:rPr>
          <w:spacing w:val="-1"/>
          <w:sz w:val="24"/>
        </w:rPr>
        <w:t> </w:t>
      </w:r>
      <w:r>
        <w:rPr>
          <w:sz w:val="24"/>
        </w:rPr>
        <w:t>servicio </w:t>
      </w:r>
      <w:r>
        <w:rPr>
          <w:spacing w:val="-2"/>
          <w:sz w:val="24"/>
        </w:rPr>
        <w:t>civil.</w:t>
      </w:r>
    </w:p>
    <w:p>
      <w:pPr>
        <w:pStyle w:val="ListParagraph"/>
        <w:numPr>
          <w:ilvl w:val="0"/>
          <w:numId w:val="4"/>
        </w:numPr>
        <w:tabs>
          <w:tab w:pos="1209" w:val="left" w:leader="none"/>
          <w:tab w:pos="1211" w:val="left" w:leader="none"/>
          <w:tab w:pos="2162" w:val="left" w:leader="none"/>
          <w:tab w:pos="2742" w:val="left" w:leader="none"/>
          <w:tab w:pos="4112" w:val="left" w:leader="none"/>
          <w:tab w:pos="5018" w:val="left" w:leader="none"/>
          <w:tab w:pos="5450" w:val="left" w:leader="none"/>
          <w:tab w:pos="6726" w:val="left" w:leader="none"/>
          <w:tab w:pos="7592" w:val="left" w:leader="none"/>
        </w:tabs>
        <w:spacing w:line="307" w:lineRule="auto" w:before="77" w:after="0"/>
        <w:ind w:left="1211" w:right="714" w:hanging="360"/>
        <w:jc w:val="left"/>
        <w:rPr>
          <w:sz w:val="24"/>
        </w:rPr>
      </w:pPr>
      <w:r>
        <w:rPr>
          <w:spacing w:val="-2"/>
          <w:sz w:val="24"/>
        </w:rPr>
        <w:t>Índice</w:t>
      </w:r>
      <w:r>
        <w:rPr>
          <w:sz w:val="24"/>
        </w:rPr>
        <w:tab/>
      </w:r>
      <w:r>
        <w:rPr>
          <w:spacing w:val="-6"/>
          <w:sz w:val="24"/>
        </w:rPr>
        <w:t>de</w:t>
      </w:r>
      <w:r>
        <w:rPr>
          <w:sz w:val="24"/>
        </w:rPr>
        <w:tab/>
      </w:r>
      <w:r>
        <w:rPr>
          <w:spacing w:val="-2"/>
          <w:sz w:val="24"/>
        </w:rPr>
        <w:t>tolerancia</w:t>
      </w:r>
      <w:r>
        <w:rPr>
          <w:sz w:val="24"/>
        </w:rPr>
        <w:tab/>
      </w:r>
      <w:r>
        <w:rPr>
          <w:spacing w:val="-2"/>
          <w:sz w:val="24"/>
        </w:rPr>
        <w:t>social</w:t>
      </w:r>
      <w:r>
        <w:rPr>
          <w:sz w:val="24"/>
        </w:rPr>
        <w:tab/>
      </w:r>
      <w:r>
        <w:rPr>
          <w:spacing w:val="-10"/>
          <w:sz w:val="24"/>
        </w:rPr>
        <w:t>a</w:t>
      </w:r>
      <w:r>
        <w:rPr>
          <w:sz w:val="24"/>
        </w:rPr>
        <w:tab/>
      </w:r>
      <w:r>
        <w:rPr>
          <w:spacing w:val="-2"/>
          <w:sz w:val="24"/>
        </w:rPr>
        <w:t>patrones</w:t>
      </w:r>
      <w:r>
        <w:rPr>
          <w:sz w:val="24"/>
        </w:rPr>
        <w:tab/>
      </w:r>
      <w:r>
        <w:rPr>
          <w:spacing w:val="-2"/>
          <w:sz w:val="24"/>
        </w:rPr>
        <w:t>socio</w:t>
      </w:r>
      <w:r>
        <w:rPr>
          <w:sz w:val="24"/>
        </w:rPr>
        <w:tab/>
      </w:r>
      <w:r>
        <w:rPr>
          <w:spacing w:val="-2"/>
          <w:sz w:val="24"/>
        </w:rPr>
        <w:t>culturales discriminatorios.</w:t>
      </w:r>
    </w:p>
    <w:p>
      <w:pPr>
        <w:pStyle w:val="BodyText"/>
        <w:spacing w:before="119"/>
      </w:pPr>
    </w:p>
    <w:p>
      <w:pPr>
        <w:pStyle w:val="Heading2"/>
        <w:numPr>
          <w:ilvl w:val="1"/>
          <w:numId w:val="3"/>
        </w:numPr>
        <w:tabs>
          <w:tab w:pos="568" w:val="left" w:leader="none"/>
        </w:tabs>
        <w:spacing w:line="240" w:lineRule="auto" w:before="1" w:after="0"/>
        <w:ind w:left="568" w:right="0" w:hanging="425"/>
        <w:jc w:val="both"/>
      </w:pPr>
      <w:bookmarkStart w:name="_bookmark3" w:id="4"/>
      <w:bookmarkEnd w:id="4"/>
      <w:r>
        <w:rPr/>
      </w:r>
      <w:r>
        <w:rPr>
          <w:color w:val="2E5395"/>
        </w:rPr>
        <w:t>Alineamiento</w:t>
      </w:r>
      <w:r>
        <w:rPr>
          <w:color w:val="2E5395"/>
          <w:spacing w:val="-9"/>
        </w:rPr>
        <w:t> </w:t>
      </w:r>
      <w:r>
        <w:rPr>
          <w:color w:val="2E5395"/>
        </w:rPr>
        <w:t>de</w:t>
      </w:r>
      <w:r>
        <w:rPr>
          <w:color w:val="2E5395"/>
          <w:spacing w:val="-9"/>
        </w:rPr>
        <w:t> </w:t>
      </w:r>
      <w:r>
        <w:rPr>
          <w:color w:val="2E5395"/>
        </w:rPr>
        <w:t>la</w:t>
      </w:r>
      <w:r>
        <w:rPr>
          <w:color w:val="2E5395"/>
          <w:spacing w:val="-7"/>
        </w:rPr>
        <w:t> </w:t>
      </w:r>
      <w:r>
        <w:rPr>
          <w:color w:val="2E5395"/>
        </w:rPr>
        <w:t>PNIG</w:t>
      </w:r>
      <w:r>
        <w:rPr>
          <w:color w:val="2E5395"/>
          <w:spacing w:val="-9"/>
        </w:rPr>
        <w:t> </w:t>
      </w:r>
      <w:r>
        <w:rPr>
          <w:color w:val="2E5395"/>
        </w:rPr>
        <w:t>con</w:t>
      </w:r>
      <w:r>
        <w:rPr>
          <w:color w:val="2E5395"/>
          <w:spacing w:val="-7"/>
        </w:rPr>
        <w:t> </w:t>
      </w:r>
      <w:r>
        <w:rPr>
          <w:color w:val="2E5395"/>
        </w:rPr>
        <w:t>otras</w:t>
      </w:r>
      <w:r>
        <w:rPr>
          <w:color w:val="2E5395"/>
          <w:spacing w:val="-9"/>
        </w:rPr>
        <w:t> </w:t>
      </w:r>
      <w:r>
        <w:rPr>
          <w:color w:val="2E5395"/>
        </w:rPr>
        <w:t>políticas</w:t>
      </w:r>
      <w:r>
        <w:rPr>
          <w:color w:val="2E5395"/>
          <w:spacing w:val="-10"/>
        </w:rPr>
        <w:t> </w:t>
      </w:r>
      <w:r>
        <w:rPr>
          <w:color w:val="2E5395"/>
          <w:spacing w:val="-2"/>
        </w:rPr>
        <w:t>nacionales</w:t>
      </w:r>
    </w:p>
    <w:p>
      <w:pPr>
        <w:pStyle w:val="BodyText"/>
        <w:spacing w:before="18"/>
        <w:rPr>
          <w:sz w:val="26"/>
        </w:rPr>
      </w:pPr>
    </w:p>
    <w:p>
      <w:pPr>
        <w:spacing w:before="0"/>
        <w:ind w:left="143" w:right="0" w:firstLine="0"/>
        <w:jc w:val="both"/>
        <w:rPr>
          <w:sz w:val="22"/>
        </w:rPr>
      </w:pPr>
      <w:r>
        <w:rPr>
          <w:spacing w:val="-2"/>
          <w:sz w:val="22"/>
        </w:rPr>
        <w:t>La</w:t>
      </w:r>
      <w:r>
        <w:rPr>
          <w:spacing w:val="-6"/>
          <w:sz w:val="22"/>
        </w:rPr>
        <w:t> </w:t>
      </w:r>
      <w:r>
        <w:rPr>
          <w:spacing w:val="-2"/>
          <w:sz w:val="22"/>
        </w:rPr>
        <w:t>PNIG</w:t>
      </w:r>
      <w:r>
        <w:rPr>
          <w:spacing w:val="-7"/>
          <w:sz w:val="22"/>
        </w:rPr>
        <w:t> </w:t>
      </w:r>
      <w:r>
        <w:rPr>
          <w:spacing w:val="-2"/>
          <w:sz w:val="22"/>
        </w:rPr>
        <w:t>se</w:t>
      </w:r>
      <w:r>
        <w:rPr>
          <w:spacing w:val="-5"/>
          <w:sz w:val="22"/>
        </w:rPr>
        <w:t> </w:t>
      </w:r>
      <w:r>
        <w:rPr>
          <w:spacing w:val="-2"/>
          <w:sz w:val="22"/>
        </w:rPr>
        <w:t>alinea</w:t>
      </w:r>
      <w:r>
        <w:rPr>
          <w:spacing w:val="-5"/>
          <w:sz w:val="22"/>
        </w:rPr>
        <w:t> </w:t>
      </w:r>
      <w:r>
        <w:rPr>
          <w:spacing w:val="-2"/>
          <w:sz w:val="22"/>
        </w:rPr>
        <w:t>con</w:t>
      </w:r>
      <w:r>
        <w:rPr>
          <w:spacing w:val="-9"/>
          <w:sz w:val="22"/>
        </w:rPr>
        <w:t> </w:t>
      </w:r>
      <w:r>
        <w:rPr>
          <w:spacing w:val="-2"/>
          <w:sz w:val="22"/>
        </w:rPr>
        <w:t>4</w:t>
      </w:r>
      <w:r>
        <w:rPr>
          <w:spacing w:val="-6"/>
          <w:sz w:val="22"/>
        </w:rPr>
        <w:t> </w:t>
      </w:r>
      <w:r>
        <w:rPr>
          <w:spacing w:val="-2"/>
          <w:sz w:val="22"/>
        </w:rPr>
        <w:t>políticas</w:t>
      </w:r>
      <w:r>
        <w:rPr>
          <w:spacing w:val="-6"/>
          <w:sz w:val="22"/>
        </w:rPr>
        <w:t> </w:t>
      </w:r>
      <w:r>
        <w:rPr>
          <w:spacing w:val="-2"/>
          <w:sz w:val="22"/>
        </w:rPr>
        <w:t>nacionales</w:t>
      </w:r>
      <w:r>
        <w:rPr>
          <w:spacing w:val="-5"/>
          <w:sz w:val="22"/>
        </w:rPr>
        <w:t> </w:t>
      </w:r>
      <w:r>
        <w:rPr>
          <w:spacing w:val="-2"/>
          <w:sz w:val="22"/>
        </w:rPr>
        <w:t>multisectoriales</w:t>
      </w:r>
    </w:p>
    <w:p>
      <w:pPr>
        <w:pStyle w:val="ListParagraph"/>
        <w:numPr>
          <w:ilvl w:val="0"/>
          <w:numId w:val="5"/>
        </w:numPr>
        <w:tabs>
          <w:tab w:pos="862" w:val="left" w:leader="none"/>
        </w:tabs>
        <w:spacing w:line="240" w:lineRule="auto" w:before="236" w:after="0"/>
        <w:ind w:left="862" w:right="0" w:hanging="360"/>
        <w:jc w:val="left"/>
        <w:rPr>
          <w:sz w:val="22"/>
        </w:rPr>
      </w:pPr>
      <w:r>
        <w:rPr>
          <w:sz w:val="22"/>
        </w:rPr>
        <w:t>Política</w:t>
      </w:r>
      <w:r>
        <w:rPr>
          <w:spacing w:val="-12"/>
          <w:sz w:val="22"/>
        </w:rPr>
        <w:t> </w:t>
      </w:r>
      <w:r>
        <w:rPr>
          <w:sz w:val="22"/>
        </w:rPr>
        <w:t>Nacional</w:t>
      </w:r>
      <w:r>
        <w:rPr>
          <w:spacing w:val="-10"/>
          <w:sz w:val="22"/>
        </w:rPr>
        <w:t> </w:t>
      </w:r>
      <w:r>
        <w:rPr>
          <w:sz w:val="22"/>
        </w:rPr>
        <w:t>Multisectorial</w:t>
      </w:r>
      <w:r>
        <w:rPr>
          <w:spacing w:val="-12"/>
          <w:sz w:val="22"/>
        </w:rPr>
        <w:t> </w:t>
      </w:r>
      <w:r>
        <w:rPr>
          <w:sz w:val="22"/>
        </w:rPr>
        <w:t>para</w:t>
      </w:r>
      <w:r>
        <w:rPr>
          <w:spacing w:val="-12"/>
          <w:sz w:val="22"/>
        </w:rPr>
        <w:t> </w:t>
      </w:r>
      <w:r>
        <w:rPr>
          <w:sz w:val="22"/>
        </w:rPr>
        <w:t>las</w:t>
      </w:r>
      <w:r>
        <w:rPr>
          <w:spacing w:val="-13"/>
          <w:sz w:val="22"/>
        </w:rPr>
        <w:t> </w:t>
      </w:r>
      <w:r>
        <w:rPr>
          <w:sz w:val="22"/>
        </w:rPr>
        <w:t>Niñas,</w:t>
      </w:r>
      <w:r>
        <w:rPr>
          <w:spacing w:val="-11"/>
          <w:sz w:val="22"/>
        </w:rPr>
        <w:t> </w:t>
      </w:r>
      <w:r>
        <w:rPr>
          <w:sz w:val="22"/>
        </w:rPr>
        <w:t>Niños</w:t>
      </w:r>
      <w:r>
        <w:rPr>
          <w:spacing w:val="-11"/>
          <w:sz w:val="22"/>
        </w:rPr>
        <w:t> </w:t>
      </w:r>
      <w:r>
        <w:rPr>
          <w:sz w:val="22"/>
        </w:rPr>
        <w:t>y</w:t>
      </w:r>
      <w:r>
        <w:rPr>
          <w:spacing w:val="-11"/>
          <w:sz w:val="22"/>
        </w:rPr>
        <w:t> </w:t>
      </w:r>
      <w:r>
        <w:rPr>
          <w:sz w:val="22"/>
        </w:rPr>
        <w:t>Adolescentes</w:t>
      </w:r>
      <w:r>
        <w:rPr>
          <w:spacing w:val="-11"/>
          <w:sz w:val="22"/>
        </w:rPr>
        <w:t> </w:t>
      </w:r>
      <w:r>
        <w:rPr>
          <w:spacing w:val="-2"/>
          <w:sz w:val="22"/>
        </w:rPr>
        <w:t>(PNMNNA)</w:t>
      </w:r>
    </w:p>
    <w:p>
      <w:pPr>
        <w:pStyle w:val="ListParagraph"/>
        <w:numPr>
          <w:ilvl w:val="0"/>
          <w:numId w:val="5"/>
        </w:numPr>
        <w:tabs>
          <w:tab w:pos="862" w:val="left" w:leader="none"/>
        </w:tabs>
        <w:spacing w:line="240" w:lineRule="auto" w:before="76" w:after="0"/>
        <w:ind w:left="862" w:right="0" w:hanging="360"/>
        <w:jc w:val="left"/>
        <w:rPr>
          <w:sz w:val="22"/>
        </w:rPr>
      </w:pPr>
      <w:r>
        <w:rPr>
          <w:sz w:val="22"/>
        </w:rPr>
        <w:t>Política</w:t>
      </w:r>
      <w:r>
        <w:rPr>
          <w:spacing w:val="-9"/>
          <w:sz w:val="22"/>
        </w:rPr>
        <w:t> </w:t>
      </w:r>
      <w:r>
        <w:rPr>
          <w:sz w:val="22"/>
        </w:rPr>
        <w:t>Nacional</w:t>
      </w:r>
      <w:r>
        <w:rPr>
          <w:spacing w:val="-8"/>
          <w:sz w:val="22"/>
        </w:rPr>
        <w:t> </w:t>
      </w:r>
      <w:r>
        <w:rPr>
          <w:sz w:val="22"/>
        </w:rPr>
        <w:t>Multisectorial</w:t>
      </w:r>
      <w:r>
        <w:rPr>
          <w:spacing w:val="-11"/>
          <w:sz w:val="22"/>
        </w:rPr>
        <w:t> </w:t>
      </w:r>
      <w:r>
        <w:rPr>
          <w:sz w:val="22"/>
        </w:rPr>
        <w:t>de</w:t>
      </w:r>
      <w:r>
        <w:rPr>
          <w:spacing w:val="-8"/>
          <w:sz w:val="22"/>
        </w:rPr>
        <w:t> </w:t>
      </w:r>
      <w:r>
        <w:rPr>
          <w:sz w:val="22"/>
        </w:rPr>
        <w:t>Seguridad</w:t>
      </w:r>
      <w:r>
        <w:rPr>
          <w:spacing w:val="-10"/>
          <w:sz w:val="22"/>
        </w:rPr>
        <w:t> </w:t>
      </w:r>
      <w:r>
        <w:rPr>
          <w:sz w:val="22"/>
        </w:rPr>
        <w:t>Ciudadana</w:t>
      </w:r>
      <w:r>
        <w:rPr>
          <w:spacing w:val="-11"/>
          <w:sz w:val="22"/>
        </w:rPr>
        <w:t> </w:t>
      </w:r>
      <w:r>
        <w:rPr>
          <w:sz w:val="22"/>
        </w:rPr>
        <w:t>al</w:t>
      </w:r>
      <w:r>
        <w:rPr>
          <w:spacing w:val="-10"/>
          <w:sz w:val="22"/>
        </w:rPr>
        <w:t> </w:t>
      </w:r>
      <w:r>
        <w:rPr>
          <w:spacing w:val="-4"/>
          <w:sz w:val="22"/>
        </w:rPr>
        <w:t>2030</w:t>
      </w:r>
    </w:p>
    <w:p>
      <w:pPr>
        <w:pStyle w:val="ListParagraph"/>
        <w:numPr>
          <w:ilvl w:val="0"/>
          <w:numId w:val="5"/>
        </w:numPr>
        <w:tabs>
          <w:tab w:pos="862" w:val="left" w:leader="none"/>
        </w:tabs>
        <w:spacing w:line="240" w:lineRule="auto" w:before="74" w:after="0"/>
        <w:ind w:left="862" w:right="0" w:hanging="360"/>
        <w:jc w:val="left"/>
        <w:rPr>
          <w:sz w:val="22"/>
        </w:rPr>
      </w:pPr>
      <w:r>
        <w:rPr>
          <w:sz w:val="22"/>
        </w:rPr>
        <w:t>Política</w:t>
      </w:r>
      <w:r>
        <w:rPr>
          <w:spacing w:val="-11"/>
          <w:sz w:val="22"/>
        </w:rPr>
        <w:t> </w:t>
      </w:r>
      <w:r>
        <w:rPr>
          <w:sz w:val="22"/>
        </w:rPr>
        <w:t>Nacional</w:t>
      </w:r>
      <w:r>
        <w:rPr>
          <w:spacing w:val="-10"/>
          <w:sz w:val="22"/>
        </w:rPr>
        <w:t> </w:t>
      </w:r>
      <w:r>
        <w:rPr>
          <w:sz w:val="22"/>
        </w:rPr>
        <w:t>contra</w:t>
      </w:r>
      <w:r>
        <w:rPr>
          <w:spacing w:val="-10"/>
          <w:sz w:val="22"/>
        </w:rPr>
        <w:t> </w:t>
      </w:r>
      <w:r>
        <w:rPr>
          <w:sz w:val="22"/>
        </w:rPr>
        <w:t>la</w:t>
      </w:r>
      <w:r>
        <w:rPr>
          <w:spacing w:val="-11"/>
          <w:sz w:val="22"/>
        </w:rPr>
        <w:t> </w:t>
      </w:r>
      <w:r>
        <w:rPr>
          <w:sz w:val="22"/>
        </w:rPr>
        <w:t>Trata</w:t>
      </w:r>
      <w:r>
        <w:rPr>
          <w:spacing w:val="-11"/>
          <w:sz w:val="22"/>
        </w:rPr>
        <w:t> </w:t>
      </w:r>
      <w:r>
        <w:rPr>
          <w:sz w:val="22"/>
        </w:rPr>
        <w:t>de</w:t>
      </w:r>
      <w:r>
        <w:rPr>
          <w:spacing w:val="-8"/>
          <w:sz w:val="22"/>
        </w:rPr>
        <w:t> </w:t>
      </w:r>
      <w:r>
        <w:rPr>
          <w:sz w:val="22"/>
        </w:rPr>
        <w:t>Personas</w:t>
      </w:r>
      <w:r>
        <w:rPr>
          <w:spacing w:val="-11"/>
          <w:sz w:val="22"/>
        </w:rPr>
        <w:t> </w:t>
      </w:r>
      <w:r>
        <w:rPr>
          <w:sz w:val="22"/>
        </w:rPr>
        <w:t>y</w:t>
      </w:r>
      <w:r>
        <w:rPr>
          <w:spacing w:val="-12"/>
          <w:sz w:val="22"/>
        </w:rPr>
        <w:t> </w:t>
      </w:r>
      <w:r>
        <w:rPr>
          <w:sz w:val="22"/>
        </w:rPr>
        <w:t>sus</w:t>
      </w:r>
      <w:r>
        <w:rPr>
          <w:spacing w:val="-11"/>
          <w:sz w:val="22"/>
        </w:rPr>
        <w:t> </w:t>
      </w:r>
      <w:r>
        <w:rPr>
          <w:sz w:val="22"/>
        </w:rPr>
        <w:t>Formas</w:t>
      </w:r>
      <w:r>
        <w:rPr>
          <w:spacing w:val="-11"/>
          <w:sz w:val="22"/>
        </w:rPr>
        <w:t> </w:t>
      </w:r>
      <w:r>
        <w:rPr>
          <w:sz w:val="22"/>
        </w:rPr>
        <w:t>de</w:t>
      </w:r>
      <w:r>
        <w:rPr>
          <w:spacing w:val="-11"/>
          <w:sz w:val="22"/>
        </w:rPr>
        <w:t> </w:t>
      </w:r>
      <w:r>
        <w:rPr>
          <w:spacing w:val="-2"/>
          <w:sz w:val="22"/>
        </w:rPr>
        <w:t>Explotación</w:t>
      </w:r>
    </w:p>
    <w:p>
      <w:pPr>
        <w:pStyle w:val="ListParagraph"/>
        <w:numPr>
          <w:ilvl w:val="0"/>
          <w:numId w:val="5"/>
        </w:numPr>
        <w:tabs>
          <w:tab w:pos="862" w:val="left" w:leader="none"/>
        </w:tabs>
        <w:spacing w:line="240" w:lineRule="auto" w:before="76" w:after="0"/>
        <w:ind w:left="862" w:right="0" w:hanging="360"/>
        <w:jc w:val="left"/>
        <w:rPr>
          <w:sz w:val="22"/>
        </w:rPr>
      </w:pPr>
      <w:r>
        <w:rPr>
          <w:sz w:val="22"/>
        </w:rPr>
        <w:t>Política</w:t>
      </w:r>
      <w:r>
        <w:rPr>
          <w:spacing w:val="-16"/>
          <w:sz w:val="22"/>
        </w:rPr>
        <w:t> </w:t>
      </w:r>
      <w:r>
        <w:rPr>
          <w:sz w:val="22"/>
        </w:rPr>
        <w:t>Nacional</w:t>
      </w:r>
      <w:r>
        <w:rPr>
          <w:spacing w:val="-14"/>
          <w:sz w:val="22"/>
        </w:rPr>
        <w:t> </w:t>
      </w:r>
      <w:r>
        <w:rPr>
          <w:sz w:val="22"/>
        </w:rPr>
        <w:t>para</w:t>
      </w:r>
      <w:r>
        <w:rPr>
          <w:spacing w:val="-14"/>
          <w:sz w:val="22"/>
        </w:rPr>
        <w:t> </w:t>
      </w:r>
      <w:r>
        <w:rPr>
          <w:sz w:val="22"/>
        </w:rPr>
        <w:t>la</w:t>
      </w:r>
      <w:r>
        <w:rPr>
          <w:spacing w:val="-15"/>
          <w:sz w:val="22"/>
        </w:rPr>
        <w:t> </w:t>
      </w:r>
      <w:r>
        <w:rPr>
          <w:sz w:val="22"/>
        </w:rPr>
        <w:t>Transversalización</w:t>
      </w:r>
      <w:r>
        <w:rPr>
          <w:spacing w:val="-15"/>
          <w:sz w:val="22"/>
        </w:rPr>
        <w:t> </w:t>
      </w:r>
      <w:r>
        <w:rPr>
          <w:sz w:val="22"/>
        </w:rPr>
        <w:t>del</w:t>
      </w:r>
      <w:r>
        <w:rPr>
          <w:spacing w:val="-14"/>
          <w:sz w:val="22"/>
        </w:rPr>
        <w:t> </w:t>
      </w:r>
      <w:r>
        <w:rPr>
          <w:sz w:val="22"/>
        </w:rPr>
        <w:t>Enfoque</w:t>
      </w:r>
      <w:r>
        <w:rPr>
          <w:spacing w:val="-13"/>
          <w:sz w:val="22"/>
        </w:rPr>
        <w:t> </w:t>
      </w:r>
      <w:r>
        <w:rPr>
          <w:spacing w:val="-2"/>
          <w:sz w:val="22"/>
        </w:rPr>
        <w:t>Intercultural</w:t>
      </w:r>
    </w:p>
    <w:p>
      <w:pPr>
        <w:pStyle w:val="BodyText"/>
        <w:spacing w:before="90"/>
        <w:rPr>
          <w:sz w:val="22"/>
        </w:rPr>
      </w:pPr>
    </w:p>
    <w:p>
      <w:pPr>
        <w:pStyle w:val="Heading1"/>
        <w:numPr>
          <w:ilvl w:val="0"/>
          <w:numId w:val="3"/>
        </w:numPr>
        <w:tabs>
          <w:tab w:pos="569" w:val="left" w:leader="none"/>
        </w:tabs>
        <w:spacing w:line="240" w:lineRule="auto" w:before="0" w:after="0"/>
        <w:ind w:left="569" w:right="0" w:hanging="426"/>
        <w:jc w:val="both"/>
      </w:pPr>
      <w:bookmarkStart w:name="_bookmark4" w:id="5"/>
      <w:bookmarkEnd w:id="5"/>
      <w:r>
        <w:rPr/>
      </w:r>
      <w:r>
        <w:rPr>
          <w:color w:val="2E5395"/>
        </w:rPr>
        <w:t>Análisis</w:t>
      </w:r>
      <w:r>
        <w:rPr>
          <w:color w:val="2E5395"/>
          <w:spacing w:val="-21"/>
        </w:rPr>
        <w:t> </w:t>
      </w:r>
      <w:r>
        <w:rPr>
          <w:color w:val="2E5395"/>
        </w:rPr>
        <w:t>de</w:t>
      </w:r>
      <w:r>
        <w:rPr>
          <w:color w:val="2E5395"/>
          <w:spacing w:val="-22"/>
        </w:rPr>
        <w:t> </w:t>
      </w:r>
      <w:r>
        <w:rPr>
          <w:color w:val="2E5395"/>
        </w:rPr>
        <w:t>la</w:t>
      </w:r>
      <w:r>
        <w:rPr>
          <w:color w:val="2E5395"/>
          <w:spacing w:val="-19"/>
        </w:rPr>
        <w:t> </w:t>
      </w:r>
      <w:r>
        <w:rPr>
          <w:color w:val="2E5395"/>
          <w:spacing w:val="-2"/>
        </w:rPr>
        <w:t>política</w:t>
      </w:r>
    </w:p>
    <w:p>
      <w:pPr>
        <w:pStyle w:val="Heading2"/>
        <w:numPr>
          <w:ilvl w:val="1"/>
          <w:numId w:val="3"/>
        </w:numPr>
        <w:tabs>
          <w:tab w:pos="568" w:val="left" w:leader="none"/>
        </w:tabs>
        <w:spacing w:line="240" w:lineRule="auto" w:before="334" w:after="0"/>
        <w:ind w:left="568" w:right="0" w:hanging="425"/>
        <w:jc w:val="both"/>
      </w:pPr>
      <w:bookmarkStart w:name="_bookmark5" w:id="6"/>
      <w:bookmarkEnd w:id="6"/>
      <w:r>
        <w:rPr/>
      </w:r>
      <w:r>
        <w:rPr>
          <w:color w:val="2E5395"/>
        </w:rPr>
        <w:t>Metodología</w:t>
      </w:r>
      <w:r>
        <w:rPr>
          <w:color w:val="2E5395"/>
          <w:spacing w:val="2"/>
        </w:rPr>
        <w:t> </w:t>
      </w:r>
      <w:r>
        <w:rPr>
          <w:color w:val="2E5395"/>
        </w:rPr>
        <w:t>de</w:t>
      </w:r>
      <w:r>
        <w:rPr>
          <w:color w:val="2E5395"/>
          <w:spacing w:val="4"/>
        </w:rPr>
        <w:t> </w:t>
      </w:r>
      <w:r>
        <w:rPr>
          <w:color w:val="2E5395"/>
          <w:spacing w:val="-2"/>
        </w:rPr>
        <w:t>evaluación</w:t>
      </w:r>
    </w:p>
    <w:p>
      <w:pPr>
        <w:pStyle w:val="BodyText"/>
        <w:spacing w:before="26"/>
        <w:rPr>
          <w:sz w:val="26"/>
        </w:rPr>
      </w:pPr>
    </w:p>
    <w:p>
      <w:pPr>
        <w:pStyle w:val="BodyText"/>
        <w:spacing w:line="326" w:lineRule="auto"/>
        <w:ind w:left="143" w:right="708"/>
        <w:jc w:val="both"/>
      </w:pPr>
      <w:r>
        <w:rPr/>
        <w:t>Tomando como referencia la Guía Metodológica de Seguimiento y Evaluación de Políticas y Planes (2023) del Centro Nacional de Planeamiento Estratégico </w:t>
      </w:r>
      <w:r>
        <w:rPr>
          <w:spacing w:val="-2"/>
        </w:rPr>
        <w:t>(CEPLAN),</w:t>
      </w:r>
      <w:r>
        <w:rPr>
          <w:spacing w:val="-12"/>
        </w:rPr>
        <w:t> </w:t>
      </w:r>
      <w:r>
        <w:rPr>
          <w:spacing w:val="-2"/>
        </w:rPr>
        <w:t>el</w:t>
      </w:r>
      <w:r>
        <w:rPr>
          <w:spacing w:val="-12"/>
        </w:rPr>
        <w:t> </w:t>
      </w:r>
      <w:r>
        <w:rPr>
          <w:spacing w:val="-2"/>
        </w:rPr>
        <w:t>proceso</w:t>
      </w:r>
      <w:r>
        <w:rPr>
          <w:spacing w:val="-14"/>
        </w:rPr>
        <w:t> </w:t>
      </w:r>
      <w:r>
        <w:rPr>
          <w:spacing w:val="-2"/>
        </w:rPr>
        <w:t>de</w:t>
      </w:r>
      <w:r>
        <w:rPr>
          <w:spacing w:val="-12"/>
        </w:rPr>
        <w:t> </w:t>
      </w:r>
      <w:r>
        <w:rPr>
          <w:spacing w:val="-2"/>
        </w:rPr>
        <w:t>evaluación</w:t>
      </w:r>
      <w:r>
        <w:rPr>
          <w:spacing w:val="-15"/>
        </w:rPr>
        <w:t> </w:t>
      </w:r>
      <w:r>
        <w:rPr>
          <w:spacing w:val="-2"/>
        </w:rPr>
        <w:t>requiere:</w:t>
      </w:r>
      <w:r>
        <w:rPr>
          <w:spacing w:val="-14"/>
        </w:rPr>
        <w:t> </w:t>
      </w:r>
      <w:r>
        <w:rPr>
          <w:spacing w:val="-2"/>
        </w:rPr>
        <w:t>(a)</w:t>
      </w:r>
      <w:r>
        <w:rPr>
          <w:spacing w:val="-14"/>
        </w:rPr>
        <w:t> </w:t>
      </w:r>
      <w:r>
        <w:rPr>
          <w:spacing w:val="-2"/>
        </w:rPr>
        <w:t>la</w:t>
      </w:r>
      <w:r>
        <w:rPr>
          <w:spacing w:val="-13"/>
        </w:rPr>
        <w:t> </w:t>
      </w:r>
      <w:r>
        <w:rPr>
          <w:spacing w:val="-2"/>
        </w:rPr>
        <w:t>delimitación</w:t>
      </w:r>
      <w:r>
        <w:rPr>
          <w:spacing w:val="-15"/>
        </w:rPr>
        <w:t> </w:t>
      </w:r>
      <w:r>
        <w:rPr>
          <w:spacing w:val="-2"/>
        </w:rPr>
        <w:t>del</w:t>
      </w:r>
      <w:r>
        <w:rPr>
          <w:spacing w:val="-12"/>
        </w:rPr>
        <w:t> </w:t>
      </w:r>
      <w:r>
        <w:rPr>
          <w:spacing w:val="-2"/>
        </w:rPr>
        <w:t>alcance,</w:t>
      </w:r>
      <w:r>
        <w:rPr>
          <w:spacing w:val="-11"/>
        </w:rPr>
        <w:t> </w:t>
      </w:r>
      <w:r>
        <w:rPr>
          <w:spacing w:val="-2"/>
        </w:rPr>
        <w:t>y</w:t>
      </w:r>
      <w:r>
        <w:rPr>
          <w:spacing w:val="-15"/>
        </w:rPr>
        <w:t> </w:t>
      </w:r>
      <w:r>
        <w:rPr>
          <w:spacing w:val="-2"/>
        </w:rPr>
        <w:t>(b) </w:t>
      </w:r>
      <w:r>
        <w:rPr/>
        <w:t>la especificación de los criterios que se usaran para el análisis, en base a las interrogantes de evaluación.</w:t>
      </w:r>
    </w:p>
    <w:p>
      <w:pPr>
        <w:pStyle w:val="ListParagraph"/>
        <w:numPr>
          <w:ilvl w:val="0"/>
          <w:numId w:val="6"/>
        </w:numPr>
        <w:tabs>
          <w:tab w:pos="377" w:val="left" w:leader="none"/>
        </w:tabs>
        <w:spacing w:line="240" w:lineRule="auto" w:before="156" w:after="0"/>
        <w:ind w:left="377" w:right="0" w:hanging="234"/>
        <w:jc w:val="both"/>
        <w:rPr>
          <w:sz w:val="22"/>
        </w:rPr>
      </w:pPr>
      <w:r>
        <w:rPr>
          <w:sz w:val="22"/>
        </w:rPr>
        <w:t>Delimitación</w:t>
      </w:r>
      <w:r>
        <w:rPr>
          <w:spacing w:val="6"/>
          <w:sz w:val="22"/>
        </w:rPr>
        <w:t> </w:t>
      </w:r>
      <w:r>
        <w:rPr>
          <w:sz w:val="22"/>
        </w:rPr>
        <w:t>de</w:t>
      </w:r>
      <w:r>
        <w:rPr>
          <w:spacing w:val="8"/>
          <w:sz w:val="22"/>
        </w:rPr>
        <w:t> </w:t>
      </w:r>
      <w:r>
        <w:rPr>
          <w:spacing w:val="-2"/>
          <w:sz w:val="22"/>
        </w:rPr>
        <w:t>alcance</w:t>
      </w:r>
    </w:p>
    <w:p>
      <w:pPr>
        <w:pStyle w:val="BodyText"/>
        <w:spacing w:before="5"/>
        <w:rPr>
          <w:sz w:val="22"/>
        </w:rPr>
      </w:pPr>
    </w:p>
    <w:p>
      <w:pPr>
        <w:pStyle w:val="BodyText"/>
        <w:spacing w:line="324" w:lineRule="auto"/>
        <w:ind w:left="143" w:right="705"/>
        <w:jc w:val="both"/>
      </w:pPr>
      <w:r>
        <w:rPr/>
        <w:t>El CEPLAN recomienda priorizar aquellos servicios que, según su nivel de cumplimiento no están logrando los resultados esperados o que no se están entregando según lo planificado. Si bien CEPLAN establece tres niveles de cumplimiento (alto, medio, bajo), tomando como referencia la revisión de estándares</w:t>
      </w:r>
      <w:r>
        <w:rPr>
          <w:spacing w:val="-2"/>
        </w:rPr>
        <w:t> </w:t>
      </w:r>
      <w:r>
        <w:rPr/>
        <w:t>internacionales</w:t>
      </w:r>
      <w:hyperlink w:history="true" w:anchor="_bookmark6">
        <w:r>
          <w:rPr>
            <w:position w:val="9"/>
            <w:sz w:val="16"/>
          </w:rPr>
          <w:t>1</w:t>
        </w:r>
        <w:r>
          <w:rPr/>
          <w:t>,</w:t>
        </w:r>
      </w:hyperlink>
      <w:r>
        <w:rPr/>
        <w:t> se</w:t>
      </w:r>
      <w:r>
        <w:rPr>
          <w:spacing w:val="-3"/>
        </w:rPr>
        <w:t> </w:t>
      </w:r>
      <w:r>
        <w:rPr/>
        <w:t>desagregó</w:t>
      </w:r>
      <w:r>
        <w:rPr>
          <w:spacing w:val="-1"/>
        </w:rPr>
        <w:t> </w:t>
      </w:r>
      <w:r>
        <w:rPr/>
        <w:t>los niveles</w:t>
      </w:r>
      <w:r>
        <w:rPr>
          <w:spacing w:val="-2"/>
        </w:rPr>
        <w:t> </w:t>
      </w:r>
      <w:r>
        <w:rPr/>
        <w:t>alto y</w:t>
      </w:r>
      <w:r>
        <w:rPr>
          <w:spacing w:val="-3"/>
        </w:rPr>
        <w:t> </w:t>
      </w:r>
      <w:r>
        <w:rPr/>
        <w:t>bajo</w:t>
      </w:r>
      <w:r>
        <w:rPr>
          <w:spacing w:val="-3"/>
        </w:rPr>
        <w:t> </w:t>
      </w:r>
      <w:r>
        <w:rPr/>
        <w:t>para</w:t>
      </w:r>
      <w:r>
        <w:rPr>
          <w:spacing w:val="-1"/>
        </w:rPr>
        <w:t> </w:t>
      </w:r>
      <w:r>
        <w:rPr/>
        <w:t>visibilizar también</w:t>
      </w:r>
      <w:r>
        <w:rPr>
          <w:spacing w:val="44"/>
        </w:rPr>
        <w:t> </w:t>
      </w:r>
      <w:r>
        <w:rPr/>
        <w:t>aquellos</w:t>
      </w:r>
      <w:r>
        <w:rPr>
          <w:spacing w:val="43"/>
        </w:rPr>
        <w:t> </w:t>
      </w:r>
      <w:r>
        <w:rPr/>
        <w:t>indicadores</w:t>
      </w:r>
      <w:r>
        <w:rPr>
          <w:spacing w:val="46"/>
        </w:rPr>
        <w:t> </w:t>
      </w:r>
      <w:r>
        <w:rPr/>
        <w:t>cuyo</w:t>
      </w:r>
      <w:r>
        <w:rPr>
          <w:spacing w:val="46"/>
        </w:rPr>
        <w:t> </w:t>
      </w:r>
      <w:r>
        <w:rPr/>
        <w:t>valor</w:t>
      </w:r>
      <w:r>
        <w:rPr>
          <w:spacing w:val="44"/>
        </w:rPr>
        <w:t> </w:t>
      </w:r>
      <w:r>
        <w:rPr/>
        <w:t>obtenido</w:t>
      </w:r>
      <w:r>
        <w:rPr>
          <w:spacing w:val="45"/>
        </w:rPr>
        <w:t> </w:t>
      </w:r>
      <w:r>
        <w:rPr/>
        <w:t>ha</w:t>
      </w:r>
      <w:r>
        <w:rPr>
          <w:spacing w:val="42"/>
        </w:rPr>
        <w:t> </w:t>
      </w:r>
      <w:r>
        <w:rPr/>
        <w:t>sido</w:t>
      </w:r>
      <w:r>
        <w:rPr>
          <w:spacing w:val="44"/>
        </w:rPr>
        <w:t> </w:t>
      </w:r>
      <w:r>
        <w:rPr>
          <w:spacing w:val="-2"/>
        </w:rPr>
        <w:t>significativamente</w:t>
      </w:r>
    </w:p>
    <w:p>
      <w:pPr>
        <w:pStyle w:val="BodyText"/>
        <w:rPr>
          <w:sz w:val="20"/>
        </w:rPr>
      </w:pPr>
    </w:p>
    <w:p>
      <w:pPr>
        <w:pStyle w:val="BodyText"/>
        <w:rPr>
          <w:sz w:val="20"/>
        </w:rPr>
      </w:pPr>
    </w:p>
    <w:p>
      <w:pPr>
        <w:pStyle w:val="BodyText"/>
        <w:spacing w:before="170"/>
        <w:rPr>
          <w:sz w:val="20"/>
        </w:rPr>
      </w:pPr>
      <w:r>
        <w:rPr>
          <w:sz w:val="20"/>
        </w:rPr>
        <mc:AlternateContent>
          <mc:Choice Requires="wps">
            <w:drawing>
              <wp:anchor distT="0" distB="0" distL="0" distR="0" allowOverlap="1" layoutInCell="1" locked="0" behindDoc="1" simplePos="0" relativeHeight="487587840">
                <wp:simplePos x="0" y="0"/>
                <wp:positionH relativeFrom="page">
                  <wp:posOffset>1080820</wp:posOffset>
                </wp:positionH>
                <wp:positionV relativeFrom="paragraph">
                  <wp:posOffset>269616</wp:posOffset>
                </wp:positionV>
                <wp:extent cx="1829435" cy="9525"/>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21.229635pt;width:144.020pt;height:.71997pt;mso-position-horizontal-relative:page;mso-position-vertical-relative:paragraph;z-index:-15728640;mso-wrap-distance-left:0;mso-wrap-distance-right:0" id="docshape2" filled="true" fillcolor="#000000" stroked="false">
                <v:fill type="solid"/>
                <w10:wrap type="topAndBottom"/>
              </v:rect>
            </w:pict>
          </mc:Fallback>
        </mc:AlternateContent>
      </w:r>
    </w:p>
    <w:p>
      <w:pPr>
        <w:spacing w:line="285" w:lineRule="auto" w:before="117"/>
        <w:ind w:left="143" w:right="710" w:firstLine="0"/>
        <w:jc w:val="left"/>
        <w:rPr>
          <w:sz w:val="16"/>
        </w:rPr>
      </w:pPr>
      <w:bookmarkStart w:name="_bookmark6" w:id="7"/>
      <w:bookmarkEnd w:id="7"/>
      <w:r>
        <w:rPr/>
      </w:r>
      <w:r>
        <w:rPr>
          <w:w w:val="105"/>
          <w:position w:val="6"/>
          <w:sz w:val="10"/>
        </w:rPr>
        <w:t>1</w:t>
      </w:r>
      <w:r>
        <w:rPr>
          <w:spacing w:val="40"/>
          <w:w w:val="105"/>
          <w:position w:val="6"/>
          <w:sz w:val="10"/>
        </w:rPr>
        <w:t>  </w:t>
      </w:r>
      <w:r>
        <w:rPr>
          <w:w w:val="105"/>
          <w:sz w:val="16"/>
        </w:rPr>
        <w:t>Guía</w:t>
      </w:r>
      <w:r>
        <w:rPr>
          <w:spacing w:val="80"/>
          <w:w w:val="150"/>
          <w:sz w:val="16"/>
        </w:rPr>
        <w:t> </w:t>
      </w:r>
      <w:r>
        <w:rPr>
          <w:w w:val="105"/>
          <w:sz w:val="16"/>
        </w:rPr>
        <w:t>para</w:t>
      </w:r>
      <w:r>
        <w:rPr>
          <w:spacing w:val="80"/>
          <w:w w:val="150"/>
          <w:sz w:val="16"/>
        </w:rPr>
        <w:t> </w:t>
      </w:r>
      <w:r>
        <w:rPr>
          <w:w w:val="105"/>
          <w:sz w:val="16"/>
        </w:rPr>
        <w:t>el</w:t>
      </w:r>
      <w:r>
        <w:rPr>
          <w:spacing w:val="80"/>
          <w:w w:val="150"/>
          <w:sz w:val="16"/>
        </w:rPr>
        <w:t> </w:t>
      </w:r>
      <w:r>
        <w:rPr>
          <w:w w:val="105"/>
          <w:sz w:val="16"/>
        </w:rPr>
        <w:t>diseño</w:t>
      </w:r>
      <w:r>
        <w:rPr>
          <w:spacing w:val="80"/>
          <w:w w:val="150"/>
          <w:sz w:val="16"/>
        </w:rPr>
        <w:t> </w:t>
      </w:r>
      <w:r>
        <w:rPr>
          <w:w w:val="105"/>
          <w:sz w:val="16"/>
        </w:rPr>
        <w:t>de</w:t>
      </w:r>
      <w:r>
        <w:rPr>
          <w:spacing w:val="80"/>
          <w:w w:val="150"/>
          <w:sz w:val="16"/>
        </w:rPr>
        <w:t> </w:t>
      </w:r>
      <w:r>
        <w:rPr>
          <w:w w:val="105"/>
          <w:sz w:val="16"/>
        </w:rPr>
        <w:t>indicadores</w:t>
      </w:r>
      <w:r>
        <w:rPr>
          <w:spacing w:val="80"/>
          <w:w w:val="150"/>
          <w:sz w:val="16"/>
        </w:rPr>
        <w:t> </w:t>
      </w:r>
      <w:r>
        <w:rPr>
          <w:w w:val="105"/>
          <w:sz w:val="16"/>
        </w:rPr>
        <w:t>estratégicos</w:t>
      </w:r>
      <w:r>
        <w:rPr>
          <w:spacing w:val="80"/>
          <w:w w:val="150"/>
          <w:sz w:val="16"/>
        </w:rPr>
        <w:t> </w:t>
      </w:r>
      <w:r>
        <w:rPr>
          <w:w w:val="105"/>
          <w:sz w:val="16"/>
        </w:rPr>
        <w:t>(2016).</w:t>
      </w:r>
      <w:r>
        <w:rPr>
          <w:spacing w:val="80"/>
          <w:w w:val="150"/>
          <w:sz w:val="16"/>
        </w:rPr>
        <w:t> </w:t>
      </w:r>
      <w:r>
        <w:rPr>
          <w:w w:val="105"/>
          <w:sz w:val="16"/>
        </w:rPr>
        <w:t>Gobierno</w:t>
      </w:r>
      <w:r>
        <w:rPr>
          <w:spacing w:val="80"/>
          <w:w w:val="150"/>
          <w:sz w:val="16"/>
        </w:rPr>
        <w:t> </w:t>
      </w:r>
      <w:r>
        <w:rPr>
          <w:w w:val="105"/>
          <w:sz w:val="16"/>
        </w:rPr>
        <w:t>de</w:t>
      </w:r>
      <w:r>
        <w:rPr>
          <w:spacing w:val="80"/>
          <w:w w:val="150"/>
          <w:sz w:val="16"/>
        </w:rPr>
        <w:t> </w:t>
      </w:r>
      <w:r>
        <w:rPr>
          <w:w w:val="105"/>
          <w:sz w:val="16"/>
        </w:rPr>
        <w:t>México.</w:t>
      </w:r>
      <w:r>
        <w:rPr>
          <w:spacing w:val="80"/>
          <w:w w:val="150"/>
          <w:sz w:val="16"/>
        </w:rPr>
        <w:t> </w:t>
      </w:r>
      <w:r>
        <w:rPr>
          <w:w w:val="105"/>
          <w:sz w:val="16"/>
        </w:rPr>
        <w:t>Recuperado</w:t>
      </w:r>
      <w:r>
        <w:rPr>
          <w:spacing w:val="80"/>
          <w:w w:val="150"/>
          <w:sz w:val="16"/>
        </w:rPr>
        <w:t> </w:t>
      </w:r>
      <w:r>
        <w:rPr>
          <w:w w:val="105"/>
          <w:sz w:val="16"/>
        </w:rPr>
        <w:t>de </w:t>
      </w:r>
      <w:r>
        <w:rPr>
          <w:spacing w:val="-2"/>
          <w:w w:val="105"/>
          <w:sz w:val="16"/>
        </w:rPr>
        <w:t>https://</w:t>
      </w:r>
      <w:hyperlink r:id="rId7">
        <w:r>
          <w:rPr>
            <w:spacing w:val="-2"/>
            <w:w w:val="105"/>
            <w:sz w:val="16"/>
          </w:rPr>
          <w:t>www.gob.mx/shcp/documentos/guia-para-el-diseno-de-indicadores-estrategicos</w:t>
        </w:r>
      </w:hyperlink>
    </w:p>
    <w:p>
      <w:pPr>
        <w:spacing w:after="0" w:line="285" w:lineRule="auto"/>
        <w:jc w:val="left"/>
        <w:rPr>
          <w:sz w:val="16"/>
        </w:rPr>
        <w:sectPr>
          <w:pgSz w:w="11910" w:h="16840"/>
          <w:pgMar w:header="713" w:footer="1000" w:top="1420" w:bottom="1200" w:left="1559" w:right="992"/>
        </w:sectPr>
      </w:pPr>
    </w:p>
    <w:p>
      <w:pPr>
        <w:pStyle w:val="BodyText"/>
        <w:spacing w:line="324" w:lineRule="auto" w:before="126"/>
        <w:ind w:left="143" w:right="706"/>
        <w:jc w:val="both"/>
      </w:pPr>
      <w:r>
        <w:rPr/>
        <w:t>mayor o menor a la meta establecida, evidenciando una posible falla de planeación (Tabla 1).</w:t>
      </w:r>
    </w:p>
    <w:p>
      <w:pPr>
        <w:pStyle w:val="BodyText"/>
        <w:spacing w:before="130"/>
        <w:ind w:left="1899"/>
        <w:rPr>
          <w:rFonts w:ascii="Calibri" w:hAnsi="Calibri"/>
        </w:rPr>
      </w:pPr>
      <w:r>
        <w:rPr>
          <w:rFonts w:ascii="Calibri" w:hAnsi="Calibri"/>
          <w:color w:val="44536A"/>
        </w:rPr>
        <w:t>Tabla</w:t>
      </w:r>
      <w:r>
        <w:rPr>
          <w:rFonts w:ascii="Calibri" w:hAnsi="Calibri"/>
          <w:color w:val="44536A"/>
          <w:spacing w:val="-5"/>
        </w:rPr>
        <w:t> </w:t>
      </w:r>
      <w:r>
        <w:rPr>
          <w:rFonts w:ascii="Calibri" w:hAnsi="Calibri"/>
          <w:color w:val="44536A"/>
        </w:rPr>
        <w:t>1.</w:t>
      </w:r>
      <w:r>
        <w:rPr>
          <w:rFonts w:ascii="Calibri" w:hAnsi="Calibri"/>
          <w:color w:val="44536A"/>
          <w:spacing w:val="-4"/>
        </w:rPr>
        <w:t> </w:t>
      </w:r>
      <w:r>
        <w:rPr>
          <w:rFonts w:ascii="Calibri" w:hAnsi="Calibri"/>
          <w:color w:val="44536A"/>
        </w:rPr>
        <w:t>Desagregación</w:t>
      </w:r>
      <w:r>
        <w:rPr>
          <w:rFonts w:ascii="Calibri" w:hAnsi="Calibri"/>
          <w:color w:val="44536A"/>
          <w:spacing w:val="-4"/>
        </w:rPr>
        <w:t> </w:t>
      </w:r>
      <w:r>
        <w:rPr>
          <w:rFonts w:ascii="Calibri" w:hAnsi="Calibri"/>
          <w:color w:val="44536A"/>
        </w:rPr>
        <w:t>de</w:t>
      </w:r>
      <w:r>
        <w:rPr>
          <w:rFonts w:ascii="Calibri" w:hAnsi="Calibri"/>
          <w:color w:val="44536A"/>
          <w:spacing w:val="-2"/>
        </w:rPr>
        <w:t> </w:t>
      </w:r>
      <w:r>
        <w:rPr>
          <w:rFonts w:ascii="Calibri" w:hAnsi="Calibri"/>
          <w:color w:val="44536A"/>
        </w:rPr>
        <w:t>niveles</w:t>
      </w:r>
      <w:r>
        <w:rPr>
          <w:rFonts w:ascii="Calibri" w:hAnsi="Calibri"/>
          <w:color w:val="44536A"/>
          <w:spacing w:val="-5"/>
        </w:rPr>
        <w:t> </w:t>
      </w:r>
      <w:r>
        <w:rPr>
          <w:rFonts w:ascii="Calibri" w:hAnsi="Calibri"/>
          <w:color w:val="44536A"/>
        </w:rPr>
        <w:t>de</w:t>
      </w:r>
      <w:r>
        <w:rPr>
          <w:rFonts w:ascii="Calibri" w:hAnsi="Calibri"/>
          <w:color w:val="44536A"/>
          <w:spacing w:val="-5"/>
        </w:rPr>
        <w:t> </w:t>
      </w:r>
      <w:r>
        <w:rPr>
          <w:rFonts w:ascii="Calibri" w:hAnsi="Calibri"/>
          <w:color w:val="44536A"/>
          <w:spacing w:val="-2"/>
        </w:rPr>
        <w:t>cumplimiento</w:t>
      </w:r>
    </w:p>
    <w:p>
      <w:pPr>
        <w:pStyle w:val="BodyText"/>
        <w:spacing w:before="6"/>
        <w:rPr>
          <w:rFonts w:ascii="Calibri"/>
          <w:sz w:val="16"/>
        </w:rPr>
      </w:pPr>
    </w:p>
    <w:tbl>
      <w:tblPr>
        <w:tblW w:w="0" w:type="auto"/>
        <w:jc w:val="left"/>
        <w:tblInd w:w="3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536"/>
        <w:gridCol w:w="1232"/>
        <w:gridCol w:w="1241"/>
        <w:gridCol w:w="1537"/>
        <w:gridCol w:w="1232"/>
        <w:gridCol w:w="1242"/>
      </w:tblGrid>
      <w:tr>
        <w:trPr>
          <w:trHeight w:val="311" w:hRule="atLeast"/>
        </w:trPr>
        <w:tc>
          <w:tcPr>
            <w:tcW w:w="4009" w:type="dxa"/>
            <w:gridSpan w:val="3"/>
            <w:shd w:val="clear" w:color="auto" w:fill="4471C4"/>
          </w:tcPr>
          <w:p>
            <w:pPr>
              <w:pStyle w:val="TableParagraph"/>
              <w:spacing w:before="28"/>
              <w:ind w:left="1240"/>
              <w:rPr>
                <w:sz w:val="20"/>
              </w:rPr>
            </w:pPr>
            <w:r>
              <w:rPr>
                <w:color w:val="FFFFFF"/>
                <w:sz w:val="20"/>
              </w:rPr>
              <w:t>Criterios</w:t>
            </w:r>
            <w:r>
              <w:rPr>
                <w:color w:val="FFFFFF"/>
                <w:spacing w:val="1"/>
                <w:sz w:val="20"/>
              </w:rPr>
              <w:t> </w:t>
            </w:r>
            <w:r>
              <w:rPr>
                <w:color w:val="FFFFFF"/>
                <w:spacing w:val="-2"/>
                <w:sz w:val="20"/>
              </w:rPr>
              <w:t>CEPLAN</w:t>
            </w:r>
          </w:p>
        </w:tc>
        <w:tc>
          <w:tcPr>
            <w:tcW w:w="4011" w:type="dxa"/>
            <w:gridSpan w:val="3"/>
            <w:shd w:val="clear" w:color="auto" w:fill="4471C4"/>
          </w:tcPr>
          <w:p>
            <w:pPr>
              <w:pStyle w:val="TableParagraph"/>
              <w:spacing w:before="28"/>
              <w:ind w:left="8"/>
              <w:jc w:val="center"/>
              <w:rPr>
                <w:sz w:val="20"/>
              </w:rPr>
            </w:pPr>
            <w:r>
              <w:rPr>
                <w:color w:val="FFFFFF"/>
                <w:sz w:val="20"/>
              </w:rPr>
              <w:t>Criterios</w:t>
            </w:r>
            <w:r>
              <w:rPr>
                <w:color w:val="FFFFFF"/>
                <w:spacing w:val="1"/>
                <w:sz w:val="20"/>
              </w:rPr>
              <w:t> </w:t>
            </w:r>
            <w:r>
              <w:rPr>
                <w:color w:val="FFFFFF"/>
                <w:spacing w:val="-4"/>
                <w:sz w:val="20"/>
              </w:rPr>
              <w:t>MIMP</w:t>
            </w:r>
          </w:p>
        </w:tc>
      </w:tr>
      <w:tr>
        <w:trPr>
          <w:trHeight w:val="628" w:hRule="atLeast"/>
        </w:trPr>
        <w:tc>
          <w:tcPr>
            <w:tcW w:w="1536" w:type="dxa"/>
            <w:shd w:val="clear" w:color="auto" w:fill="4471C4"/>
          </w:tcPr>
          <w:p>
            <w:pPr>
              <w:pStyle w:val="TableParagraph"/>
              <w:spacing w:before="30"/>
              <w:ind w:left="13" w:right="3"/>
              <w:jc w:val="center"/>
              <w:rPr>
                <w:sz w:val="20"/>
              </w:rPr>
            </w:pPr>
            <w:r>
              <w:rPr>
                <w:color w:val="FFFFFF"/>
                <w:spacing w:val="-2"/>
                <w:sz w:val="20"/>
              </w:rPr>
              <w:t>Nivel</w:t>
            </w:r>
            <w:r>
              <w:rPr>
                <w:color w:val="FFFFFF"/>
                <w:spacing w:val="-8"/>
                <w:sz w:val="20"/>
              </w:rPr>
              <w:t> </w:t>
            </w:r>
            <w:r>
              <w:rPr>
                <w:color w:val="FFFFFF"/>
                <w:spacing w:val="-5"/>
                <w:sz w:val="20"/>
              </w:rPr>
              <w:t>de</w:t>
            </w:r>
          </w:p>
          <w:p>
            <w:pPr>
              <w:pStyle w:val="TableParagraph"/>
              <w:spacing w:before="82"/>
              <w:ind w:left="13" w:right="1"/>
              <w:jc w:val="center"/>
              <w:rPr>
                <w:sz w:val="20"/>
              </w:rPr>
            </w:pPr>
            <w:r>
              <w:rPr>
                <w:color w:val="FFFFFF"/>
                <w:spacing w:val="-2"/>
                <w:w w:val="105"/>
                <w:sz w:val="20"/>
              </w:rPr>
              <w:t>cumplimiento</w:t>
            </w:r>
          </w:p>
        </w:tc>
        <w:tc>
          <w:tcPr>
            <w:tcW w:w="1232" w:type="dxa"/>
            <w:shd w:val="clear" w:color="auto" w:fill="4471C4"/>
          </w:tcPr>
          <w:p>
            <w:pPr>
              <w:pStyle w:val="TableParagraph"/>
              <w:spacing w:before="30"/>
              <w:ind w:left="9"/>
              <w:jc w:val="center"/>
              <w:rPr>
                <w:sz w:val="20"/>
              </w:rPr>
            </w:pPr>
            <w:r>
              <w:rPr>
                <w:color w:val="FFFFFF"/>
                <w:spacing w:val="-2"/>
                <w:sz w:val="20"/>
              </w:rPr>
              <w:t>Rango</w:t>
            </w:r>
          </w:p>
        </w:tc>
        <w:tc>
          <w:tcPr>
            <w:tcW w:w="1241" w:type="dxa"/>
            <w:shd w:val="clear" w:color="auto" w:fill="4471C4"/>
          </w:tcPr>
          <w:p>
            <w:pPr>
              <w:pStyle w:val="TableParagraph"/>
              <w:spacing w:before="30"/>
              <w:ind w:left="8"/>
              <w:jc w:val="center"/>
              <w:rPr>
                <w:sz w:val="20"/>
              </w:rPr>
            </w:pPr>
            <w:r>
              <w:rPr>
                <w:color w:val="FFFFFF"/>
                <w:spacing w:val="-2"/>
                <w:sz w:val="20"/>
              </w:rPr>
              <w:t>Color</w:t>
            </w:r>
          </w:p>
        </w:tc>
        <w:tc>
          <w:tcPr>
            <w:tcW w:w="1537" w:type="dxa"/>
            <w:shd w:val="clear" w:color="auto" w:fill="4471C4"/>
          </w:tcPr>
          <w:p>
            <w:pPr>
              <w:pStyle w:val="TableParagraph"/>
              <w:spacing w:before="30"/>
              <w:ind w:left="12" w:right="4"/>
              <w:jc w:val="center"/>
              <w:rPr>
                <w:sz w:val="20"/>
              </w:rPr>
            </w:pPr>
            <w:r>
              <w:rPr>
                <w:color w:val="FFFFFF"/>
                <w:spacing w:val="-2"/>
                <w:sz w:val="20"/>
              </w:rPr>
              <w:t>Nivel</w:t>
            </w:r>
            <w:r>
              <w:rPr>
                <w:color w:val="FFFFFF"/>
                <w:spacing w:val="-8"/>
                <w:sz w:val="20"/>
              </w:rPr>
              <w:t> </w:t>
            </w:r>
            <w:r>
              <w:rPr>
                <w:color w:val="FFFFFF"/>
                <w:spacing w:val="-5"/>
                <w:sz w:val="20"/>
              </w:rPr>
              <w:t>de</w:t>
            </w:r>
          </w:p>
          <w:p>
            <w:pPr>
              <w:pStyle w:val="TableParagraph"/>
              <w:spacing w:before="82"/>
              <w:ind w:left="12" w:right="2"/>
              <w:jc w:val="center"/>
              <w:rPr>
                <w:sz w:val="20"/>
              </w:rPr>
            </w:pPr>
            <w:r>
              <w:rPr>
                <w:color w:val="FFFFFF"/>
                <w:spacing w:val="-2"/>
                <w:w w:val="105"/>
                <w:sz w:val="20"/>
              </w:rPr>
              <w:t>cumplimiento</w:t>
            </w:r>
          </w:p>
        </w:tc>
        <w:tc>
          <w:tcPr>
            <w:tcW w:w="1232" w:type="dxa"/>
            <w:shd w:val="clear" w:color="auto" w:fill="4471C4"/>
          </w:tcPr>
          <w:p>
            <w:pPr>
              <w:pStyle w:val="TableParagraph"/>
              <w:spacing w:before="30"/>
              <w:ind w:left="9" w:right="2"/>
              <w:jc w:val="center"/>
              <w:rPr>
                <w:sz w:val="20"/>
              </w:rPr>
            </w:pPr>
            <w:r>
              <w:rPr>
                <w:color w:val="FFFFFF"/>
                <w:spacing w:val="-2"/>
                <w:sz w:val="20"/>
              </w:rPr>
              <w:t>Rango</w:t>
            </w:r>
          </w:p>
        </w:tc>
        <w:tc>
          <w:tcPr>
            <w:tcW w:w="1242" w:type="dxa"/>
            <w:shd w:val="clear" w:color="auto" w:fill="4471C4"/>
          </w:tcPr>
          <w:p>
            <w:pPr>
              <w:pStyle w:val="TableParagraph"/>
              <w:spacing w:before="30"/>
              <w:ind w:left="4"/>
              <w:jc w:val="center"/>
              <w:rPr>
                <w:sz w:val="20"/>
              </w:rPr>
            </w:pPr>
            <w:r>
              <w:rPr>
                <w:color w:val="FFFFFF"/>
                <w:spacing w:val="-2"/>
                <w:sz w:val="20"/>
              </w:rPr>
              <w:t>Color</w:t>
            </w:r>
          </w:p>
        </w:tc>
      </w:tr>
      <w:tr>
        <w:trPr>
          <w:trHeight w:val="937" w:hRule="atLeast"/>
        </w:trPr>
        <w:tc>
          <w:tcPr>
            <w:tcW w:w="1536" w:type="dxa"/>
            <w:vMerge w:val="restart"/>
          </w:tcPr>
          <w:p>
            <w:pPr>
              <w:pStyle w:val="TableParagraph"/>
              <w:rPr>
                <w:rFonts w:ascii="Calibri"/>
                <w:sz w:val="20"/>
              </w:rPr>
            </w:pPr>
          </w:p>
          <w:p>
            <w:pPr>
              <w:pStyle w:val="TableParagraph"/>
              <w:spacing w:before="15"/>
              <w:rPr>
                <w:rFonts w:ascii="Calibri"/>
                <w:sz w:val="20"/>
              </w:rPr>
            </w:pPr>
          </w:p>
          <w:p>
            <w:pPr>
              <w:pStyle w:val="TableParagraph"/>
              <w:ind w:left="13"/>
              <w:jc w:val="center"/>
              <w:rPr>
                <w:sz w:val="20"/>
              </w:rPr>
            </w:pPr>
            <w:r>
              <w:rPr>
                <w:spacing w:val="-4"/>
                <w:sz w:val="20"/>
              </w:rPr>
              <w:t>Alto</w:t>
            </w:r>
          </w:p>
        </w:tc>
        <w:tc>
          <w:tcPr>
            <w:tcW w:w="1232" w:type="dxa"/>
            <w:vMerge w:val="restart"/>
          </w:tcPr>
          <w:p>
            <w:pPr>
              <w:pStyle w:val="TableParagraph"/>
              <w:rPr>
                <w:rFonts w:ascii="Calibri"/>
                <w:sz w:val="20"/>
              </w:rPr>
            </w:pPr>
          </w:p>
          <w:p>
            <w:pPr>
              <w:pStyle w:val="TableParagraph"/>
              <w:spacing w:before="15"/>
              <w:rPr>
                <w:rFonts w:ascii="Calibri"/>
                <w:sz w:val="20"/>
              </w:rPr>
            </w:pPr>
          </w:p>
          <w:p>
            <w:pPr>
              <w:pStyle w:val="TableParagraph"/>
              <w:ind w:left="369"/>
              <w:rPr>
                <w:sz w:val="20"/>
              </w:rPr>
            </w:pPr>
            <w:r>
              <w:rPr>
                <w:spacing w:val="-4"/>
                <w:sz w:val="20"/>
              </w:rPr>
              <w:t>≥95%</w:t>
            </w:r>
          </w:p>
        </w:tc>
        <w:tc>
          <w:tcPr>
            <w:tcW w:w="1241" w:type="dxa"/>
            <w:vMerge w:val="restart"/>
            <w:shd w:val="clear" w:color="auto" w:fill="00AF50"/>
          </w:tcPr>
          <w:p>
            <w:pPr>
              <w:pStyle w:val="TableParagraph"/>
              <w:rPr>
                <w:rFonts w:ascii="Calibri"/>
                <w:sz w:val="20"/>
              </w:rPr>
            </w:pPr>
          </w:p>
          <w:p>
            <w:pPr>
              <w:pStyle w:val="TableParagraph"/>
              <w:spacing w:before="15"/>
              <w:rPr>
                <w:rFonts w:ascii="Calibri"/>
                <w:sz w:val="20"/>
              </w:rPr>
            </w:pPr>
          </w:p>
          <w:p>
            <w:pPr>
              <w:pStyle w:val="TableParagraph"/>
              <w:ind w:left="352"/>
              <w:rPr>
                <w:sz w:val="20"/>
              </w:rPr>
            </w:pPr>
            <w:r>
              <w:rPr>
                <w:color w:val="FFFFFF"/>
                <w:spacing w:val="-2"/>
                <w:sz w:val="20"/>
              </w:rPr>
              <w:t>Verde</w:t>
            </w:r>
          </w:p>
        </w:tc>
        <w:tc>
          <w:tcPr>
            <w:tcW w:w="1537" w:type="dxa"/>
          </w:tcPr>
          <w:p>
            <w:pPr>
              <w:pStyle w:val="TableParagraph"/>
              <w:spacing w:line="326" w:lineRule="auto" w:before="28"/>
              <w:ind w:left="90" w:firstLine="312"/>
              <w:rPr>
                <w:sz w:val="20"/>
              </w:rPr>
            </w:pPr>
            <w:r>
              <w:rPr>
                <w:sz w:val="20"/>
              </w:rPr>
              <w:t>Alto con posible</w:t>
            </w:r>
            <w:r>
              <w:rPr>
                <w:spacing w:val="-10"/>
                <w:sz w:val="20"/>
              </w:rPr>
              <w:t> </w:t>
            </w:r>
            <w:r>
              <w:rPr>
                <w:sz w:val="20"/>
              </w:rPr>
              <w:t>fallo</w:t>
            </w:r>
            <w:r>
              <w:rPr>
                <w:spacing w:val="-10"/>
                <w:sz w:val="20"/>
              </w:rPr>
              <w:t> </w:t>
            </w:r>
            <w:r>
              <w:rPr>
                <w:sz w:val="20"/>
              </w:rPr>
              <w:t>de</w:t>
            </w:r>
          </w:p>
          <w:p>
            <w:pPr>
              <w:pStyle w:val="TableParagraph"/>
              <w:spacing w:before="1"/>
              <w:ind w:left="280"/>
              <w:rPr>
                <w:sz w:val="20"/>
              </w:rPr>
            </w:pPr>
            <w:r>
              <w:rPr>
                <w:spacing w:val="-2"/>
                <w:sz w:val="20"/>
              </w:rPr>
              <w:t>planeación</w:t>
            </w:r>
          </w:p>
        </w:tc>
        <w:tc>
          <w:tcPr>
            <w:tcW w:w="1232" w:type="dxa"/>
          </w:tcPr>
          <w:p>
            <w:pPr>
              <w:pStyle w:val="TableParagraph"/>
              <w:spacing w:before="96"/>
              <w:rPr>
                <w:rFonts w:ascii="Calibri"/>
                <w:sz w:val="20"/>
              </w:rPr>
            </w:pPr>
          </w:p>
          <w:p>
            <w:pPr>
              <w:pStyle w:val="TableParagraph"/>
              <w:ind w:left="9" w:right="3"/>
              <w:jc w:val="center"/>
              <w:rPr>
                <w:sz w:val="20"/>
              </w:rPr>
            </w:pPr>
            <w:r>
              <w:rPr>
                <w:spacing w:val="-2"/>
                <w:sz w:val="20"/>
              </w:rPr>
              <w:t>≥150%</w:t>
            </w:r>
          </w:p>
        </w:tc>
        <w:tc>
          <w:tcPr>
            <w:tcW w:w="1242" w:type="dxa"/>
            <w:shd w:val="clear" w:color="auto" w:fill="00AF50"/>
          </w:tcPr>
          <w:p>
            <w:pPr>
              <w:pStyle w:val="TableParagraph"/>
              <w:spacing w:line="328" w:lineRule="auto" w:before="184"/>
              <w:ind w:left="307" w:firstLine="43"/>
              <w:rPr>
                <w:sz w:val="20"/>
              </w:rPr>
            </w:pPr>
            <w:r>
              <w:rPr>
                <w:color w:val="FFFFFF"/>
                <w:spacing w:val="-2"/>
                <w:sz w:val="20"/>
              </w:rPr>
              <w:t>Verde oscuro</w:t>
            </w:r>
          </w:p>
        </w:tc>
      </w:tr>
      <w:tr>
        <w:trPr>
          <w:trHeight w:val="314" w:hRule="atLeast"/>
        </w:trPr>
        <w:tc>
          <w:tcPr>
            <w:tcW w:w="1536" w:type="dxa"/>
            <w:vMerge/>
            <w:tcBorders>
              <w:top w:val="nil"/>
            </w:tcBorders>
          </w:tcPr>
          <w:p>
            <w:pPr>
              <w:rPr>
                <w:sz w:val="2"/>
                <w:szCs w:val="2"/>
              </w:rPr>
            </w:pPr>
          </w:p>
        </w:tc>
        <w:tc>
          <w:tcPr>
            <w:tcW w:w="1232" w:type="dxa"/>
            <w:vMerge/>
            <w:tcBorders>
              <w:top w:val="nil"/>
            </w:tcBorders>
          </w:tcPr>
          <w:p>
            <w:pPr>
              <w:rPr>
                <w:sz w:val="2"/>
                <w:szCs w:val="2"/>
              </w:rPr>
            </w:pPr>
          </w:p>
        </w:tc>
        <w:tc>
          <w:tcPr>
            <w:tcW w:w="1241" w:type="dxa"/>
            <w:vMerge/>
            <w:tcBorders>
              <w:top w:val="nil"/>
            </w:tcBorders>
            <w:shd w:val="clear" w:color="auto" w:fill="00AF50"/>
          </w:tcPr>
          <w:p>
            <w:pPr>
              <w:rPr>
                <w:sz w:val="2"/>
                <w:szCs w:val="2"/>
              </w:rPr>
            </w:pPr>
          </w:p>
        </w:tc>
        <w:tc>
          <w:tcPr>
            <w:tcW w:w="1537" w:type="dxa"/>
          </w:tcPr>
          <w:p>
            <w:pPr>
              <w:pStyle w:val="TableParagraph"/>
              <w:spacing w:before="30"/>
              <w:ind w:left="12"/>
              <w:jc w:val="center"/>
              <w:rPr>
                <w:sz w:val="20"/>
              </w:rPr>
            </w:pPr>
            <w:r>
              <w:rPr>
                <w:spacing w:val="-4"/>
                <w:sz w:val="20"/>
              </w:rPr>
              <w:t>Alto</w:t>
            </w:r>
          </w:p>
        </w:tc>
        <w:tc>
          <w:tcPr>
            <w:tcW w:w="1232" w:type="dxa"/>
          </w:tcPr>
          <w:p>
            <w:pPr>
              <w:pStyle w:val="TableParagraph"/>
              <w:spacing w:before="30"/>
              <w:ind w:left="9" w:right="2"/>
              <w:jc w:val="center"/>
              <w:rPr>
                <w:sz w:val="20"/>
              </w:rPr>
            </w:pPr>
            <w:r>
              <w:rPr>
                <w:sz w:val="20"/>
              </w:rPr>
              <w:t>[95-</w:t>
            </w:r>
            <w:r>
              <w:rPr>
                <w:spacing w:val="-2"/>
                <w:sz w:val="20"/>
              </w:rPr>
              <w:t>150%&gt;</w:t>
            </w:r>
          </w:p>
        </w:tc>
        <w:tc>
          <w:tcPr>
            <w:tcW w:w="1242" w:type="dxa"/>
            <w:shd w:val="clear" w:color="auto" w:fill="E1EED9"/>
          </w:tcPr>
          <w:p>
            <w:pPr>
              <w:pStyle w:val="TableParagraph"/>
              <w:spacing w:before="30"/>
              <w:ind w:left="4" w:right="3"/>
              <w:jc w:val="center"/>
              <w:rPr>
                <w:sz w:val="20"/>
              </w:rPr>
            </w:pPr>
            <w:r>
              <w:rPr>
                <w:sz w:val="20"/>
              </w:rPr>
              <w:t>Verde</w:t>
            </w:r>
            <w:r>
              <w:rPr>
                <w:spacing w:val="-8"/>
                <w:sz w:val="20"/>
              </w:rPr>
              <w:t> </w:t>
            </w:r>
            <w:r>
              <w:rPr>
                <w:spacing w:val="-2"/>
                <w:sz w:val="20"/>
              </w:rPr>
              <w:t>claro</w:t>
            </w:r>
          </w:p>
        </w:tc>
      </w:tr>
      <w:tr>
        <w:trPr>
          <w:trHeight w:val="313" w:hRule="atLeast"/>
        </w:trPr>
        <w:tc>
          <w:tcPr>
            <w:tcW w:w="1536" w:type="dxa"/>
          </w:tcPr>
          <w:p>
            <w:pPr>
              <w:pStyle w:val="TableParagraph"/>
              <w:spacing w:before="28"/>
              <w:ind w:left="486"/>
              <w:rPr>
                <w:sz w:val="20"/>
              </w:rPr>
            </w:pPr>
            <w:r>
              <w:rPr>
                <w:spacing w:val="-4"/>
                <w:w w:val="105"/>
                <w:sz w:val="20"/>
              </w:rPr>
              <w:t>Medio</w:t>
            </w:r>
          </w:p>
        </w:tc>
        <w:tc>
          <w:tcPr>
            <w:tcW w:w="1232" w:type="dxa"/>
          </w:tcPr>
          <w:p>
            <w:pPr>
              <w:pStyle w:val="TableParagraph"/>
              <w:spacing w:before="28"/>
              <w:ind w:left="9" w:right="2"/>
              <w:jc w:val="center"/>
              <w:rPr>
                <w:sz w:val="20"/>
              </w:rPr>
            </w:pPr>
            <w:r>
              <w:rPr>
                <w:sz w:val="20"/>
              </w:rPr>
              <w:t>[75-</w:t>
            </w:r>
            <w:r>
              <w:rPr>
                <w:spacing w:val="-4"/>
                <w:sz w:val="20"/>
              </w:rPr>
              <w:t>95%&gt;</w:t>
            </w:r>
          </w:p>
        </w:tc>
        <w:tc>
          <w:tcPr>
            <w:tcW w:w="1241" w:type="dxa"/>
            <w:shd w:val="clear" w:color="auto" w:fill="FFD964"/>
          </w:tcPr>
          <w:p>
            <w:pPr>
              <w:pStyle w:val="TableParagraph"/>
              <w:spacing w:before="28"/>
              <w:ind w:left="8" w:right="4"/>
              <w:jc w:val="center"/>
              <w:rPr>
                <w:sz w:val="20"/>
              </w:rPr>
            </w:pPr>
            <w:r>
              <w:rPr>
                <w:spacing w:val="-2"/>
                <w:sz w:val="20"/>
              </w:rPr>
              <w:t>Amarillo</w:t>
            </w:r>
          </w:p>
        </w:tc>
        <w:tc>
          <w:tcPr>
            <w:tcW w:w="1537" w:type="dxa"/>
          </w:tcPr>
          <w:p>
            <w:pPr>
              <w:pStyle w:val="TableParagraph"/>
              <w:spacing w:before="28"/>
              <w:ind w:left="12" w:right="4"/>
              <w:jc w:val="center"/>
              <w:rPr>
                <w:sz w:val="20"/>
              </w:rPr>
            </w:pPr>
            <w:r>
              <w:rPr>
                <w:spacing w:val="-4"/>
                <w:w w:val="105"/>
                <w:sz w:val="20"/>
              </w:rPr>
              <w:t>Medio</w:t>
            </w:r>
          </w:p>
        </w:tc>
        <w:tc>
          <w:tcPr>
            <w:tcW w:w="1232" w:type="dxa"/>
          </w:tcPr>
          <w:p>
            <w:pPr>
              <w:pStyle w:val="TableParagraph"/>
              <w:spacing w:before="28"/>
              <w:ind w:left="9" w:right="5"/>
              <w:jc w:val="center"/>
              <w:rPr>
                <w:sz w:val="20"/>
              </w:rPr>
            </w:pPr>
            <w:r>
              <w:rPr>
                <w:sz w:val="20"/>
              </w:rPr>
              <w:t>[75-</w:t>
            </w:r>
            <w:r>
              <w:rPr>
                <w:spacing w:val="-4"/>
                <w:sz w:val="20"/>
              </w:rPr>
              <w:t>95%&gt;</w:t>
            </w:r>
          </w:p>
        </w:tc>
        <w:tc>
          <w:tcPr>
            <w:tcW w:w="1242" w:type="dxa"/>
            <w:shd w:val="clear" w:color="auto" w:fill="FFD964"/>
          </w:tcPr>
          <w:p>
            <w:pPr>
              <w:pStyle w:val="TableParagraph"/>
              <w:spacing w:before="28"/>
              <w:ind w:left="4" w:right="4"/>
              <w:jc w:val="center"/>
              <w:rPr>
                <w:sz w:val="20"/>
              </w:rPr>
            </w:pPr>
            <w:r>
              <w:rPr>
                <w:spacing w:val="-2"/>
                <w:sz w:val="20"/>
              </w:rPr>
              <w:t>Amarillo</w:t>
            </w:r>
          </w:p>
        </w:tc>
      </w:tr>
      <w:tr>
        <w:trPr>
          <w:trHeight w:val="312" w:hRule="atLeast"/>
        </w:trPr>
        <w:tc>
          <w:tcPr>
            <w:tcW w:w="1536" w:type="dxa"/>
            <w:vMerge w:val="restart"/>
          </w:tcPr>
          <w:p>
            <w:pPr>
              <w:pStyle w:val="TableParagraph"/>
              <w:rPr>
                <w:rFonts w:ascii="Calibri"/>
                <w:sz w:val="20"/>
              </w:rPr>
            </w:pPr>
          </w:p>
          <w:p>
            <w:pPr>
              <w:pStyle w:val="TableParagraph"/>
              <w:spacing w:before="15"/>
              <w:rPr>
                <w:rFonts w:ascii="Calibri"/>
                <w:sz w:val="20"/>
              </w:rPr>
            </w:pPr>
          </w:p>
          <w:p>
            <w:pPr>
              <w:pStyle w:val="TableParagraph"/>
              <w:ind w:left="13" w:right="1"/>
              <w:jc w:val="center"/>
              <w:rPr>
                <w:sz w:val="20"/>
              </w:rPr>
            </w:pPr>
            <w:r>
              <w:rPr>
                <w:spacing w:val="-4"/>
                <w:sz w:val="20"/>
              </w:rPr>
              <w:t>Bajo</w:t>
            </w:r>
          </w:p>
        </w:tc>
        <w:tc>
          <w:tcPr>
            <w:tcW w:w="1232" w:type="dxa"/>
            <w:vMerge w:val="restart"/>
          </w:tcPr>
          <w:p>
            <w:pPr>
              <w:pStyle w:val="TableParagraph"/>
              <w:rPr>
                <w:rFonts w:ascii="Calibri"/>
                <w:sz w:val="20"/>
              </w:rPr>
            </w:pPr>
          </w:p>
          <w:p>
            <w:pPr>
              <w:pStyle w:val="TableParagraph"/>
              <w:spacing w:before="15"/>
              <w:rPr>
                <w:rFonts w:ascii="Calibri"/>
                <w:sz w:val="20"/>
              </w:rPr>
            </w:pPr>
          </w:p>
          <w:p>
            <w:pPr>
              <w:pStyle w:val="TableParagraph"/>
              <w:ind w:left="242"/>
              <w:rPr>
                <w:sz w:val="20"/>
              </w:rPr>
            </w:pPr>
            <w:r>
              <w:rPr>
                <w:sz w:val="20"/>
              </w:rPr>
              <w:t>[0-</w:t>
            </w:r>
            <w:r>
              <w:rPr>
                <w:spacing w:val="-4"/>
                <w:sz w:val="20"/>
              </w:rPr>
              <w:t>75%&gt;</w:t>
            </w:r>
          </w:p>
        </w:tc>
        <w:tc>
          <w:tcPr>
            <w:tcW w:w="1241" w:type="dxa"/>
            <w:vMerge w:val="restart"/>
            <w:shd w:val="clear" w:color="auto" w:fill="FF0000"/>
          </w:tcPr>
          <w:p>
            <w:pPr>
              <w:pStyle w:val="TableParagraph"/>
              <w:rPr>
                <w:rFonts w:ascii="Calibri"/>
                <w:sz w:val="20"/>
              </w:rPr>
            </w:pPr>
          </w:p>
          <w:p>
            <w:pPr>
              <w:pStyle w:val="TableParagraph"/>
              <w:spacing w:before="15"/>
              <w:rPr>
                <w:rFonts w:ascii="Calibri"/>
                <w:sz w:val="20"/>
              </w:rPr>
            </w:pPr>
          </w:p>
          <w:p>
            <w:pPr>
              <w:pStyle w:val="TableParagraph"/>
              <w:ind w:left="4"/>
              <w:jc w:val="center"/>
              <w:rPr>
                <w:sz w:val="20"/>
              </w:rPr>
            </w:pPr>
            <w:r>
              <w:rPr>
                <w:color w:val="FFFFFF"/>
                <w:spacing w:val="-4"/>
                <w:sz w:val="20"/>
              </w:rPr>
              <w:t>Rojo</w:t>
            </w:r>
          </w:p>
        </w:tc>
        <w:tc>
          <w:tcPr>
            <w:tcW w:w="1537" w:type="dxa"/>
          </w:tcPr>
          <w:p>
            <w:pPr>
              <w:pStyle w:val="TableParagraph"/>
              <w:spacing w:before="29"/>
              <w:ind w:left="12" w:right="1"/>
              <w:jc w:val="center"/>
              <w:rPr>
                <w:sz w:val="20"/>
              </w:rPr>
            </w:pPr>
            <w:r>
              <w:rPr>
                <w:spacing w:val="-4"/>
                <w:sz w:val="20"/>
              </w:rPr>
              <w:t>Bajo</w:t>
            </w:r>
          </w:p>
        </w:tc>
        <w:tc>
          <w:tcPr>
            <w:tcW w:w="1232" w:type="dxa"/>
          </w:tcPr>
          <w:p>
            <w:pPr>
              <w:pStyle w:val="TableParagraph"/>
              <w:spacing w:before="29"/>
              <w:ind w:left="9" w:right="5"/>
              <w:jc w:val="center"/>
              <w:rPr>
                <w:sz w:val="20"/>
              </w:rPr>
            </w:pPr>
            <w:r>
              <w:rPr>
                <w:sz w:val="20"/>
              </w:rPr>
              <w:t>[15-</w:t>
            </w:r>
            <w:r>
              <w:rPr>
                <w:spacing w:val="-4"/>
                <w:sz w:val="20"/>
              </w:rPr>
              <w:t>75%&gt;</w:t>
            </w:r>
          </w:p>
        </w:tc>
        <w:tc>
          <w:tcPr>
            <w:tcW w:w="1242" w:type="dxa"/>
            <w:shd w:val="clear" w:color="auto" w:fill="FFB7B7"/>
          </w:tcPr>
          <w:p>
            <w:pPr>
              <w:pStyle w:val="TableParagraph"/>
              <w:spacing w:before="29"/>
              <w:ind w:left="4" w:right="4"/>
              <w:jc w:val="center"/>
              <w:rPr>
                <w:sz w:val="20"/>
              </w:rPr>
            </w:pPr>
            <w:r>
              <w:rPr>
                <w:spacing w:val="-2"/>
                <w:sz w:val="20"/>
              </w:rPr>
              <w:t>Rojo</w:t>
            </w:r>
            <w:r>
              <w:rPr>
                <w:spacing w:val="-12"/>
                <w:sz w:val="20"/>
              </w:rPr>
              <w:t> </w:t>
            </w:r>
            <w:r>
              <w:rPr>
                <w:spacing w:val="-2"/>
                <w:sz w:val="20"/>
              </w:rPr>
              <w:t>claro</w:t>
            </w:r>
          </w:p>
        </w:tc>
      </w:tr>
      <w:tr>
        <w:trPr>
          <w:trHeight w:val="940" w:hRule="atLeast"/>
        </w:trPr>
        <w:tc>
          <w:tcPr>
            <w:tcW w:w="1536" w:type="dxa"/>
            <w:vMerge/>
            <w:tcBorders>
              <w:top w:val="nil"/>
            </w:tcBorders>
          </w:tcPr>
          <w:p>
            <w:pPr>
              <w:rPr>
                <w:sz w:val="2"/>
                <w:szCs w:val="2"/>
              </w:rPr>
            </w:pPr>
          </w:p>
        </w:tc>
        <w:tc>
          <w:tcPr>
            <w:tcW w:w="1232" w:type="dxa"/>
            <w:vMerge/>
            <w:tcBorders>
              <w:top w:val="nil"/>
            </w:tcBorders>
          </w:tcPr>
          <w:p>
            <w:pPr>
              <w:rPr>
                <w:sz w:val="2"/>
                <w:szCs w:val="2"/>
              </w:rPr>
            </w:pPr>
          </w:p>
        </w:tc>
        <w:tc>
          <w:tcPr>
            <w:tcW w:w="1241" w:type="dxa"/>
            <w:vMerge/>
            <w:tcBorders>
              <w:top w:val="nil"/>
            </w:tcBorders>
            <w:shd w:val="clear" w:color="auto" w:fill="FF0000"/>
          </w:tcPr>
          <w:p>
            <w:pPr>
              <w:rPr>
                <w:sz w:val="2"/>
                <w:szCs w:val="2"/>
              </w:rPr>
            </w:pPr>
          </w:p>
        </w:tc>
        <w:tc>
          <w:tcPr>
            <w:tcW w:w="1537" w:type="dxa"/>
          </w:tcPr>
          <w:p>
            <w:pPr>
              <w:pStyle w:val="TableParagraph"/>
              <w:spacing w:line="326" w:lineRule="auto" w:before="30"/>
              <w:ind w:left="90" w:firstLine="290"/>
              <w:rPr>
                <w:sz w:val="20"/>
              </w:rPr>
            </w:pPr>
            <w:r>
              <w:rPr>
                <w:sz w:val="20"/>
              </w:rPr>
              <w:t>Bajo con posible</w:t>
            </w:r>
            <w:r>
              <w:rPr>
                <w:spacing w:val="-10"/>
                <w:sz w:val="20"/>
              </w:rPr>
              <w:t> </w:t>
            </w:r>
            <w:r>
              <w:rPr>
                <w:sz w:val="20"/>
              </w:rPr>
              <w:t>fallo</w:t>
            </w:r>
            <w:r>
              <w:rPr>
                <w:spacing w:val="-10"/>
                <w:sz w:val="20"/>
              </w:rPr>
              <w:t> </w:t>
            </w:r>
            <w:r>
              <w:rPr>
                <w:sz w:val="20"/>
              </w:rPr>
              <w:t>de</w:t>
            </w:r>
          </w:p>
          <w:p>
            <w:pPr>
              <w:pStyle w:val="TableParagraph"/>
              <w:spacing w:before="1"/>
              <w:ind w:left="280"/>
              <w:rPr>
                <w:sz w:val="20"/>
              </w:rPr>
            </w:pPr>
            <w:r>
              <w:rPr>
                <w:spacing w:val="-2"/>
                <w:sz w:val="20"/>
              </w:rPr>
              <w:t>planeación</w:t>
            </w:r>
          </w:p>
        </w:tc>
        <w:tc>
          <w:tcPr>
            <w:tcW w:w="1232" w:type="dxa"/>
          </w:tcPr>
          <w:p>
            <w:pPr>
              <w:pStyle w:val="TableParagraph"/>
              <w:spacing w:before="98"/>
              <w:rPr>
                <w:rFonts w:ascii="Calibri"/>
                <w:sz w:val="20"/>
              </w:rPr>
            </w:pPr>
          </w:p>
          <w:p>
            <w:pPr>
              <w:pStyle w:val="TableParagraph"/>
              <w:ind w:left="9" w:right="3"/>
              <w:jc w:val="center"/>
              <w:rPr>
                <w:sz w:val="20"/>
              </w:rPr>
            </w:pPr>
            <w:r>
              <w:rPr>
                <w:sz w:val="20"/>
              </w:rPr>
              <w:t>&lt;</w:t>
            </w:r>
            <w:r>
              <w:rPr>
                <w:spacing w:val="-8"/>
                <w:sz w:val="20"/>
              </w:rPr>
              <w:t> </w:t>
            </w:r>
            <w:r>
              <w:rPr>
                <w:spacing w:val="-5"/>
                <w:sz w:val="20"/>
              </w:rPr>
              <w:t>15%</w:t>
            </w:r>
          </w:p>
        </w:tc>
        <w:tc>
          <w:tcPr>
            <w:tcW w:w="1242" w:type="dxa"/>
            <w:shd w:val="clear" w:color="auto" w:fill="FF0000"/>
          </w:tcPr>
          <w:p>
            <w:pPr>
              <w:pStyle w:val="TableParagraph"/>
              <w:spacing w:before="98"/>
              <w:rPr>
                <w:rFonts w:ascii="Calibri"/>
                <w:sz w:val="20"/>
              </w:rPr>
            </w:pPr>
          </w:p>
          <w:p>
            <w:pPr>
              <w:pStyle w:val="TableParagraph"/>
              <w:ind w:left="4" w:right="4"/>
              <w:jc w:val="center"/>
              <w:rPr>
                <w:sz w:val="20"/>
              </w:rPr>
            </w:pPr>
            <w:r>
              <w:rPr>
                <w:color w:val="FFFFFF"/>
                <w:spacing w:val="-4"/>
                <w:sz w:val="20"/>
              </w:rPr>
              <w:t>Rojo</w:t>
            </w:r>
            <w:r>
              <w:rPr>
                <w:color w:val="FFFFFF"/>
                <w:spacing w:val="-6"/>
                <w:sz w:val="20"/>
              </w:rPr>
              <w:t> </w:t>
            </w:r>
            <w:r>
              <w:rPr>
                <w:color w:val="FFFFFF"/>
                <w:spacing w:val="-2"/>
                <w:sz w:val="20"/>
              </w:rPr>
              <w:t>oscuro</w:t>
            </w:r>
          </w:p>
        </w:tc>
      </w:tr>
    </w:tbl>
    <w:p>
      <w:pPr>
        <w:spacing w:before="4"/>
        <w:ind w:left="0" w:right="988" w:firstLine="0"/>
        <w:jc w:val="right"/>
        <w:rPr>
          <w:rFonts w:ascii="Calibri" w:hAnsi="Calibri"/>
          <w:sz w:val="18"/>
        </w:rPr>
      </w:pPr>
      <w:r>
        <w:rPr>
          <w:rFonts w:ascii="Calibri" w:hAnsi="Calibri"/>
          <w:sz w:val="18"/>
        </w:rPr>
        <w:t>Elaboración</w:t>
      </w:r>
      <w:r>
        <w:rPr>
          <w:rFonts w:ascii="Calibri" w:hAnsi="Calibri"/>
          <w:spacing w:val="-8"/>
          <w:sz w:val="18"/>
        </w:rPr>
        <w:t> </w:t>
      </w:r>
      <w:r>
        <w:rPr>
          <w:rFonts w:ascii="Calibri" w:hAnsi="Calibri"/>
          <w:spacing w:val="-2"/>
          <w:sz w:val="18"/>
        </w:rPr>
        <w:t>Propia</w:t>
      </w:r>
    </w:p>
    <w:p>
      <w:pPr>
        <w:pStyle w:val="BodyText"/>
        <w:spacing w:before="6"/>
        <w:rPr>
          <w:rFonts w:ascii="Calibri"/>
          <w:sz w:val="18"/>
        </w:rPr>
      </w:pPr>
    </w:p>
    <w:p>
      <w:pPr>
        <w:pStyle w:val="BodyText"/>
        <w:spacing w:line="326" w:lineRule="auto"/>
        <w:ind w:left="143" w:right="704"/>
        <w:jc w:val="both"/>
      </w:pPr>
      <w:r>
        <w:rPr/>
        <w:t>En</w:t>
      </w:r>
      <w:r>
        <w:rPr>
          <w:spacing w:val="-16"/>
        </w:rPr>
        <w:t> </w:t>
      </w:r>
      <w:r>
        <w:rPr/>
        <w:t>ese</w:t>
      </w:r>
      <w:r>
        <w:rPr>
          <w:spacing w:val="-15"/>
        </w:rPr>
        <w:t> </w:t>
      </w:r>
      <w:r>
        <w:rPr/>
        <w:t>sentido,</w:t>
      </w:r>
      <w:r>
        <w:rPr>
          <w:spacing w:val="-13"/>
        </w:rPr>
        <w:t> </w:t>
      </w:r>
      <w:r>
        <w:rPr/>
        <w:t>utilizando</w:t>
      </w:r>
      <w:r>
        <w:rPr>
          <w:spacing w:val="-13"/>
        </w:rPr>
        <w:t> </w:t>
      </w:r>
      <w:r>
        <w:rPr/>
        <w:t>los</w:t>
      </w:r>
      <w:r>
        <w:rPr>
          <w:spacing w:val="-13"/>
        </w:rPr>
        <w:t> </w:t>
      </w:r>
      <w:r>
        <w:rPr/>
        <w:t>niveles</w:t>
      </w:r>
      <w:r>
        <w:rPr>
          <w:spacing w:val="-13"/>
        </w:rPr>
        <w:t> </w:t>
      </w:r>
      <w:r>
        <w:rPr/>
        <w:t>de</w:t>
      </w:r>
      <w:r>
        <w:rPr>
          <w:spacing w:val="-17"/>
        </w:rPr>
        <w:t> </w:t>
      </w:r>
      <w:r>
        <w:rPr/>
        <w:t>cumplimiento</w:t>
      </w:r>
      <w:r>
        <w:rPr>
          <w:spacing w:val="-7"/>
        </w:rPr>
        <w:t> </w:t>
      </w:r>
      <w:r>
        <w:rPr/>
        <w:t>desagregados,</w:t>
      </w:r>
      <w:r>
        <w:rPr>
          <w:spacing w:val="-13"/>
        </w:rPr>
        <w:t> </w:t>
      </w:r>
      <w:r>
        <w:rPr/>
        <w:t>se</w:t>
      </w:r>
      <w:r>
        <w:rPr>
          <w:spacing w:val="-17"/>
        </w:rPr>
        <w:t> </w:t>
      </w:r>
      <w:r>
        <w:rPr/>
        <w:t>delimitó el alcance a aquellos servicios con indicadores que presentan algunas de las siguientes alertas:</w:t>
      </w:r>
    </w:p>
    <w:p>
      <w:pPr>
        <w:pStyle w:val="ListParagraph"/>
        <w:numPr>
          <w:ilvl w:val="0"/>
          <w:numId w:val="7"/>
        </w:numPr>
        <w:tabs>
          <w:tab w:pos="862" w:val="left" w:leader="none"/>
        </w:tabs>
        <w:spacing w:line="324" w:lineRule="auto" w:before="163" w:after="0"/>
        <w:ind w:left="862" w:right="710" w:hanging="360"/>
        <w:jc w:val="both"/>
        <w:rPr>
          <w:sz w:val="24"/>
        </w:rPr>
      </w:pPr>
      <w:r>
        <w:rPr>
          <w:sz w:val="24"/>
        </w:rPr>
        <w:t>Bajo desempeño: Indicadores con avance mayor o igual al 15% y menor al 75% de su meta.</w:t>
      </w:r>
    </w:p>
    <w:p>
      <w:pPr>
        <w:pStyle w:val="ListParagraph"/>
        <w:numPr>
          <w:ilvl w:val="0"/>
          <w:numId w:val="7"/>
        </w:numPr>
        <w:tabs>
          <w:tab w:pos="862" w:val="left" w:leader="none"/>
        </w:tabs>
        <w:spacing w:line="324" w:lineRule="auto" w:before="6" w:after="0"/>
        <w:ind w:left="862" w:right="709" w:hanging="360"/>
        <w:jc w:val="both"/>
        <w:rPr>
          <w:sz w:val="24"/>
        </w:rPr>
      </w:pPr>
      <w:r>
        <w:rPr>
          <w:sz w:val="24"/>
        </w:rPr>
        <w:t>Posible falla de planeación: Indicadores que no alcanzan el 15% de su meta o que superan su meta en más del 150%.</w:t>
      </w:r>
    </w:p>
    <w:p>
      <w:pPr>
        <w:pStyle w:val="BodyText"/>
        <w:spacing w:line="326" w:lineRule="auto" w:before="5"/>
        <w:ind w:left="143" w:right="715"/>
        <w:jc w:val="both"/>
      </w:pPr>
      <w:r>
        <w:rPr/>
        <w:t>Asimismo, se priorizaron los servicios con dificultad en la medición de sus indicadores como aquellos que no cuenten con registros administrativos o no</w:t>
      </w:r>
      <w:r>
        <w:rPr>
          <w:spacing w:val="40"/>
        </w:rPr>
        <w:t> </w:t>
      </w:r>
      <w:r>
        <w:rPr/>
        <w:t>se hayan implementado.</w:t>
      </w:r>
    </w:p>
    <w:p>
      <w:pPr>
        <w:pStyle w:val="ListParagraph"/>
        <w:numPr>
          <w:ilvl w:val="0"/>
          <w:numId w:val="6"/>
        </w:numPr>
        <w:tabs>
          <w:tab w:pos="412" w:val="left" w:leader="none"/>
        </w:tabs>
        <w:spacing w:line="240" w:lineRule="auto" w:before="160" w:after="0"/>
        <w:ind w:left="412" w:right="0" w:hanging="269"/>
        <w:jc w:val="both"/>
        <w:rPr>
          <w:sz w:val="24"/>
        </w:rPr>
      </w:pPr>
      <w:r>
        <w:rPr>
          <w:sz w:val="24"/>
        </w:rPr>
        <w:t>Criterios</w:t>
      </w:r>
      <w:r>
        <w:rPr>
          <w:spacing w:val="2"/>
          <w:sz w:val="24"/>
        </w:rPr>
        <w:t> </w:t>
      </w:r>
      <w:r>
        <w:rPr>
          <w:sz w:val="24"/>
        </w:rPr>
        <w:t>y</w:t>
      </w:r>
      <w:r>
        <w:rPr>
          <w:spacing w:val="2"/>
          <w:sz w:val="24"/>
        </w:rPr>
        <w:t> </w:t>
      </w:r>
      <w:r>
        <w:rPr>
          <w:sz w:val="24"/>
        </w:rPr>
        <w:t>preguntas</w:t>
      </w:r>
      <w:r>
        <w:rPr>
          <w:spacing w:val="2"/>
          <w:sz w:val="24"/>
        </w:rPr>
        <w:t> </w:t>
      </w:r>
      <w:r>
        <w:rPr>
          <w:sz w:val="24"/>
        </w:rPr>
        <w:t>de</w:t>
      </w:r>
      <w:r>
        <w:rPr>
          <w:spacing w:val="2"/>
          <w:sz w:val="24"/>
        </w:rPr>
        <w:t> </w:t>
      </w:r>
      <w:r>
        <w:rPr>
          <w:spacing w:val="-2"/>
          <w:sz w:val="24"/>
        </w:rPr>
        <w:t>evaluación</w:t>
      </w:r>
    </w:p>
    <w:p>
      <w:pPr>
        <w:pStyle w:val="BodyText"/>
        <w:spacing w:line="326" w:lineRule="auto" w:before="262"/>
        <w:ind w:left="143" w:right="704"/>
        <w:jc w:val="both"/>
      </w:pPr>
      <w:r>
        <w:rPr/>
        <w:t>Posterior</w:t>
      </w:r>
      <w:r>
        <w:rPr>
          <w:spacing w:val="-6"/>
        </w:rPr>
        <w:t> </w:t>
      </w:r>
      <w:r>
        <w:rPr/>
        <w:t>a</w:t>
      </w:r>
      <w:r>
        <w:rPr>
          <w:spacing w:val="-6"/>
        </w:rPr>
        <w:t> </w:t>
      </w:r>
      <w:r>
        <w:rPr/>
        <w:t>la</w:t>
      </w:r>
      <w:r>
        <w:rPr>
          <w:spacing w:val="-9"/>
        </w:rPr>
        <w:t> </w:t>
      </w:r>
      <w:r>
        <w:rPr/>
        <w:t>priorización</w:t>
      </w:r>
      <w:r>
        <w:rPr>
          <w:spacing w:val="-6"/>
        </w:rPr>
        <w:t> </w:t>
      </w:r>
      <w:r>
        <w:rPr/>
        <w:t>de</w:t>
      </w:r>
      <w:r>
        <w:rPr>
          <w:spacing w:val="-9"/>
        </w:rPr>
        <w:t> </w:t>
      </w:r>
      <w:r>
        <w:rPr/>
        <w:t>servicios</w:t>
      </w:r>
      <w:r>
        <w:rPr>
          <w:spacing w:val="-9"/>
        </w:rPr>
        <w:t> </w:t>
      </w:r>
      <w:r>
        <w:rPr/>
        <w:t>que</w:t>
      </w:r>
      <w:r>
        <w:rPr>
          <w:spacing w:val="-6"/>
        </w:rPr>
        <w:t> </w:t>
      </w:r>
      <w:r>
        <w:rPr/>
        <w:t>presentan</w:t>
      </w:r>
      <w:r>
        <w:rPr>
          <w:spacing w:val="-6"/>
        </w:rPr>
        <w:t> </w:t>
      </w:r>
      <w:r>
        <w:rPr/>
        <w:t>alertas,</w:t>
      </w:r>
      <w:r>
        <w:rPr>
          <w:spacing w:val="-7"/>
        </w:rPr>
        <w:t> </w:t>
      </w:r>
      <w:r>
        <w:rPr/>
        <w:t>se</w:t>
      </w:r>
      <w:r>
        <w:rPr>
          <w:spacing w:val="-6"/>
        </w:rPr>
        <w:t> </w:t>
      </w:r>
      <w:r>
        <w:rPr/>
        <w:t>seleccionó</w:t>
      </w:r>
      <w:r>
        <w:rPr>
          <w:spacing w:val="-5"/>
        </w:rPr>
        <w:t> </w:t>
      </w:r>
      <w:r>
        <w:rPr/>
        <w:t>2</w:t>
      </w:r>
      <w:r>
        <w:rPr>
          <w:spacing w:val="-10"/>
        </w:rPr>
        <w:t> </w:t>
      </w:r>
      <w:r>
        <w:rPr/>
        <w:t>de 5</w:t>
      </w:r>
      <w:r>
        <w:rPr>
          <w:spacing w:val="-2"/>
        </w:rPr>
        <w:t> </w:t>
      </w:r>
      <w:r>
        <w:rPr/>
        <w:t>criterios</w:t>
      </w:r>
      <w:r>
        <w:rPr>
          <w:spacing w:val="-1"/>
        </w:rPr>
        <w:t> </w:t>
      </w:r>
      <w:r>
        <w:rPr/>
        <w:t>de</w:t>
      </w:r>
      <w:r>
        <w:rPr>
          <w:spacing w:val="-2"/>
        </w:rPr>
        <w:t> </w:t>
      </w:r>
      <w:r>
        <w:rPr/>
        <w:t>evaluación</w:t>
      </w:r>
      <w:r>
        <w:rPr>
          <w:spacing w:val="-2"/>
        </w:rPr>
        <w:t> </w:t>
      </w:r>
      <w:r>
        <w:rPr/>
        <w:t>especificados</w:t>
      </w:r>
      <w:r>
        <w:rPr>
          <w:spacing w:val="-1"/>
        </w:rPr>
        <w:t> </w:t>
      </w:r>
      <w:r>
        <w:rPr/>
        <w:t>en</w:t>
      </w:r>
      <w:r>
        <w:rPr>
          <w:spacing w:val="-2"/>
        </w:rPr>
        <w:t> </w:t>
      </w:r>
      <w:r>
        <w:rPr/>
        <w:t>la</w:t>
      </w:r>
      <w:r>
        <w:rPr>
          <w:spacing w:val="-4"/>
        </w:rPr>
        <w:t> </w:t>
      </w:r>
      <w:r>
        <w:rPr/>
        <w:t>guía</w:t>
      </w:r>
      <w:r>
        <w:rPr>
          <w:spacing w:val="-2"/>
        </w:rPr>
        <w:t> </w:t>
      </w:r>
      <w:r>
        <w:rPr/>
        <w:t>de</w:t>
      </w:r>
      <w:r>
        <w:rPr>
          <w:spacing w:val="-2"/>
        </w:rPr>
        <w:t> </w:t>
      </w:r>
      <w:r>
        <w:rPr/>
        <w:t>CEPLAN (2023):</w:t>
      </w:r>
      <w:r>
        <w:rPr>
          <w:spacing w:val="-1"/>
        </w:rPr>
        <w:t> </w:t>
      </w:r>
      <w:r>
        <w:rPr>
          <w:u w:val="single"/>
        </w:rPr>
        <w:t>eficacia</w:t>
      </w:r>
      <w:r>
        <w:rPr>
          <w:spacing w:val="-6"/>
          <w:u w:val="single"/>
        </w:rPr>
        <w:t> </w:t>
      </w:r>
      <w:r>
        <w:rPr>
          <w:u w:val="single"/>
        </w:rPr>
        <w:t>y</w:t>
      </w:r>
      <w:r>
        <w:rPr/>
        <w:t> </w:t>
      </w:r>
      <w:r>
        <w:rPr>
          <w:u w:val="single"/>
        </w:rPr>
        <w:t>calidad</w:t>
      </w:r>
      <w:r>
        <w:rPr/>
        <w:t>, los que fueron utilizados para elaborar las interrogantes de evaluación debido a que los indicadores de servicios reportados contienen información sobre su cobertura y calidad. Los criterios de coherencia, impacto y pertinencia se</w:t>
      </w:r>
      <w:r>
        <w:rPr>
          <w:spacing w:val="-1"/>
        </w:rPr>
        <w:t> </w:t>
      </w:r>
      <w:r>
        <w:rPr/>
        <w:t>evaluarán</w:t>
      </w:r>
      <w:r>
        <w:rPr>
          <w:spacing w:val="-3"/>
        </w:rPr>
        <w:t> </w:t>
      </w:r>
      <w:r>
        <w:rPr/>
        <w:t>a</w:t>
      </w:r>
      <w:r>
        <w:rPr>
          <w:spacing w:val="-1"/>
        </w:rPr>
        <w:t> </w:t>
      </w:r>
      <w:r>
        <w:rPr/>
        <w:t>futuro en</w:t>
      </w:r>
      <w:r>
        <w:rPr>
          <w:spacing w:val="-1"/>
        </w:rPr>
        <w:t> </w:t>
      </w:r>
      <w:r>
        <w:rPr/>
        <w:t>tanto</w:t>
      </w:r>
      <w:r>
        <w:rPr>
          <w:spacing w:val="-1"/>
        </w:rPr>
        <w:t> </w:t>
      </w:r>
      <w:r>
        <w:rPr/>
        <w:t>el</w:t>
      </w:r>
      <w:r>
        <w:rPr>
          <w:spacing w:val="-3"/>
        </w:rPr>
        <w:t> </w:t>
      </w:r>
      <w:r>
        <w:rPr/>
        <w:t>tiempo</w:t>
      </w:r>
      <w:r>
        <w:rPr>
          <w:spacing w:val="-3"/>
        </w:rPr>
        <w:t> </w:t>
      </w:r>
      <w:r>
        <w:rPr/>
        <w:t>de</w:t>
      </w:r>
      <w:r>
        <w:rPr>
          <w:spacing w:val="-3"/>
        </w:rPr>
        <w:t> </w:t>
      </w:r>
      <w:r>
        <w:rPr/>
        <w:t>implementación aumente</w:t>
      </w:r>
      <w:r>
        <w:rPr>
          <w:spacing w:val="-1"/>
        </w:rPr>
        <w:t> </w:t>
      </w:r>
      <w:r>
        <w:rPr/>
        <w:t>y</w:t>
      </w:r>
      <w:r>
        <w:rPr>
          <w:spacing w:val="-5"/>
        </w:rPr>
        <w:t> </w:t>
      </w:r>
      <w:r>
        <w:rPr/>
        <w:t>se</w:t>
      </w:r>
      <w:r>
        <w:rPr>
          <w:spacing w:val="-1"/>
        </w:rPr>
        <w:t> </w:t>
      </w:r>
      <w:r>
        <w:rPr/>
        <w:t>tenga más</w:t>
      </w:r>
      <w:r>
        <w:rPr>
          <w:spacing w:val="-7"/>
        </w:rPr>
        <w:t> </w:t>
      </w:r>
      <w:r>
        <w:rPr/>
        <w:t>información</w:t>
      </w:r>
      <w:r>
        <w:rPr>
          <w:spacing w:val="-8"/>
        </w:rPr>
        <w:t> </w:t>
      </w:r>
      <w:r>
        <w:rPr/>
        <w:t>sobre</w:t>
      </w:r>
      <w:r>
        <w:rPr>
          <w:spacing w:val="-7"/>
        </w:rPr>
        <w:t> </w:t>
      </w:r>
      <w:r>
        <w:rPr/>
        <w:t>el</w:t>
      </w:r>
      <w:r>
        <w:rPr>
          <w:spacing w:val="-7"/>
        </w:rPr>
        <w:t> </w:t>
      </w:r>
      <w:r>
        <w:rPr/>
        <w:t>desempeño</w:t>
      </w:r>
      <w:r>
        <w:rPr>
          <w:spacing w:val="-7"/>
        </w:rPr>
        <w:t> </w:t>
      </w:r>
      <w:r>
        <w:rPr/>
        <w:t>de</w:t>
      </w:r>
      <w:r>
        <w:rPr>
          <w:spacing w:val="-7"/>
        </w:rPr>
        <w:t> </w:t>
      </w:r>
      <w:r>
        <w:rPr/>
        <w:t>los</w:t>
      </w:r>
      <w:r>
        <w:rPr>
          <w:spacing w:val="-7"/>
        </w:rPr>
        <w:t> </w:t>
      </w:r>
      <w:r>
        <w:rPr/>
        <w:t>servicios</w:t>
      </w:r>
      <w:r>
        <w:rPr>
          <w:spacing w:val="-7"/>
        </w:rPr>
        <w:t> </w:t>
      </w:r>
      <w:r>
        <w:rPr/>
        <w:t>y</w:t>
      </w:r>
      <w:r>
        <w:rPr>
          <w:spacing w:val="-8"/>
        </w:rPr>
        <w:t> </w:t>
      </w:r>
      <w:r>
        <w:rPr/>
        <w:t>su</w:t>
      </w:r>
      <w:r>
        <w:rPr>
          <w:spacing w:val="-8"/>
        </w:rPr>
        <w:t> </w:t>
      </w:r>
      <w:r>
        <w:rPr/>
        <w:t>articulación</w:t>
      </w:r>
      <w:r>
        <w:rPr>
          <w:spacing w:val="-8"/>
        </w:rPr>
        <w:t> </w:t>
      </w:r>
      <w:r>
        <w:rPr/>
        <w:t>con</w:t>
      </w:r>
      <w:r>
        <w:rPr>
          <w:spacing w:val="-8"/>
        </w:rPr>
        <w:t> </w:t>
      </w:r>
      <w:r>
        <w:rPr/>
        <w:t>otras intervenciones públicas.</w:t>
      </w:r>
    </w:p>
    <w:p>
      <w:pPr>
        <w:pStyle w:val="BodyText"/>
        <w:spacing w:after="0" w:line="326" w:lineRule="auto"/>
        <w:jc w:val="both"/>
        <w:sectPr>
          <w:pgSz w:w="11910" w:h="16840"/>
          <w:pgMar w:header="713" w:footer="1000" w:top="1420" w:bottom="1200" w:left="1559" w:right="992"/>
        </w:sectPr>
      </w:pPr>
    </w:p>
    <w:p>
      <w:pPr>
        <w:pStyle w:val="BodyText"/>
        <w:spacing w:line="326" w:lineRule="auto" w:before="126"/>
        <w:ind w:left="143" w:right="707"/>
        <w:jc w:val="both"/>
      </w:pPr>
      <w:r>
        <w:rPr/>
        <w:t>Luego</w:t>
      </w:r>
      <w:r>
        <w:rPr>
          <w:spacing w:val="-8"/>
        </w:rPr>
        <w:t> </w:t>
      </w:r>
      <w:r>
        <w:rPr/>
        <w:t>de</w:t>
      </w:r>
      <w:r>
        <w:rPr>
          <w:spacing w:val="-8"/>
        </w:rPr>
        <w:t> </w:t>
      </w:r>
      <w:r>
        <w:rPr/>
        <w:t>seleccionar</w:t>
      </w:r>
      <w:r>
        <w:rPr>
          <w:spacing w:val="-8"/>
        </w:rPr>
        <w:t> </w:t>
      </w:r>
      <w:r>
        <w:rPr/>
        <w:t>los</w:t>
      </w:r>
      <w:r>
        <w:rPr>
          <w:spacing w:val="-8"/>
        </w:rPr>
        <w:t> </w:t>
      </w:r>
      <w:r>
        <w:rPr/>
        <w:t>criterios</w:t>
      </w:r>
      <w:r>
        <w:rPr>
          <w:spacing w:val="-10"/>
        </w:rPr>
        <w:t> </w:t>
      </w:r>
      <w:r>
        <w:rPr/>
        <w:t>para</w:t>
      </w:r>
      <w:r>
        <w:rPr>
          <w:spacing w:val="-8"/>
        </w:rPr>
        <w:t> </w:t>
      </w:r>
      <w:r>
        <w:rPr/>
        <w:t>la</w:t>
      </w:r>
      <w:r>
        <w:rPr>
          <w:spacing w:val="-8"/>
        </w:rPr>
        <w:t> </w:t>
      </w:r>
      <w:r>
        <w:rPr/>
        <w:t>presente</w:t>
      </w:r>
      <w:r>
        <w:rPr>
          <w:spacing w:val="-8"/>
        </w:rPr>
        <w:t> </w:t>
      </w:r>
      <w:r>
        <w:rPr/>
        <w:t>evaluación,</w:t>
      </w:r>
      <w:r>
        <w:rPr>
          <w:spacing w:val="-10"/>
        </w:rPr>
        <w:t> </w:t>
      </w:r>
      <w:r>
        <w:rPr/>
        <w:t>se</w:t>
      </w:r>
      <w:r>
        <w:rPr>
          <w:spacing w:val="-8"/>
        </w:rPr>
        <w:t> </w:t>
      </w:r>
      <w:r>
        <w:rPr/>
        <w:t>formularon</w:t>
      </w:r>
      <w:r>
        <w:rPr>
          <w:spacing w:val="-8"/>
        </w:rPr>
        <w:t> </w:t>
      </w:r>
      <w:r>
        <w:rPr/>
        <w:t>las preguntas para el recojo de información, tomando como referencia las establecidas en el anexo 7 de la guía de CEPLAN (2023). En ese sentido, las preguntas que se usarán para evaluar la eficacia y calidad de cada servicio priorizado son las siguientes:</w:t>
      </w:r>
    </w:p>
    <w:p>
      <w:pPr>
        <w:pStyle w:val="BodyText"/>
        <w:spacing w:before="158"/>
        <w:ind w:left="143"/>
      </w:pPr>
      <w:r>
        <w:rPr>
          <w:spacing w:val="-2"/>
        </w:rPr>
        <w:t>Eficacia</w:t>
      </w:r>
    </w:p>
    <w:p>
      <w:pPr>
        <w:pStyle w:val="BodyText"/>
        <w:spacing w:line="326" w:lineRule="auto" w:before="262"/>
        <w:ind w:left="143" w:right="706"/>
        <w:jc w:val="both"/>
      </w:pPr>
      <w:r>
        <w:rPr/>
        <w:t>Correspondiente a la evaluación sistemática para determinar en qué medida se alcanzaron</w:t>
      </w:r>
      <w:r>
        <w:rPr>
          <w:spacing w:val="-11"/>
        </w:rPr>
        <w:t> </w:t>
      </w:r>
      <w:r>
        <w:rPr/>
        <w:t>los</w:t>
      </w:r>
      <w:r>
        <w:rPr>
          <w:spacing w:val="-10"/>
        </w:rPr>
        <w:t> </w:t>
      </w:r>
      <w:r>
        <w:rPr/>
        <w:t>objetivos</w:t>
      </w:r>
      <w:r>
        <w:rPr>
          <w:spacing w:val="-8"/>
        </w:rPr>
        <w:t> </w:t>
      </w:r>
      <w:r>
        <w:rPr/>
        <w:t>establecidos</w:t>
      </w:r>
      <w:r>
        <w:rPr>
          <w:spacing w:val="-10"/>
        </w:rPr>
        <w:t> </w:t>
      </w:r>
      <w:r>
        <w:rPr/>
        <w:t>por</w:t>
      </w:r>
      <w:r>
        <w:rPr>
          <w:spacing w:val="-9"/>
        </w:rPr>
        <w:t> </w:t>
      </w:r>
      <w:r>
        <w:rPr/>
        <w:t>la</w:t>
      </w:r>
      <w:r>
        <w:rPr>
          <w:spacing w:val="-13"/>
        </w:rPr>
        <w:t> </w:t>
      </w:r>
      <w:r>
        <w:rPr/>
        <w:t>PNIG.</w:t>
      </w:r>
      <w:r>
        <w:rPr>
          <w:spacing w:val="-8"/>
        </w:rPr>
        <w:t> </w:t>
      </w:r>
      <w:r>
        <w:rPr/>
        <w:t>Para</w:t>
      </w:r>
      <w:r>
        <w:rPr>
          <w:spacing w:val="-9"/>
        </w:rPr>
        <w:t> </w:t>
      </w:r>
      <w:r>
        <w:rPr/>
        <w:t>evaluar</w:t>
      </w:r>
      <w:r>
        <w:rPr>
          <w:spacing w:val="-11"/>
        </w:rPr>
        <w:t> </w:t>
      </w:r>
      <w:r>
        <w:rPr/>
        <w:t>la</w:t>
      </w:r>
      <w:r>
        <w:rPr>
          <w:spacing w:val="-9"/>
        </w:rPr>
        <w:t> </w:t>
      </w:r>
      <w:r>
        <w:rPr/>
        <w:t>eficacia</w:t>
      </w:r>
      <w:r>
        <w:rPr>
          <w:spacing w:val="-11"/>
        </w:rPr>
        <w:t> </w:t>
      </w:r>
      <w:r>
        <w:rPr/>
        <w:t>de</w:t>
      </w:r>
      <w:r>
        <w:rPr>
          <w:spacing w:val="-9"/>
        </w:rPr>
        <w:t> </w:t>
      </w:r>
      <w:r>
        <w:rPr/>
        <w:t>un servicio, se realizará un análisis cuantitativo y cualitativo según el siguiente </w:t>
      </w:r>
      <w:r>
        <w:rPr>
          <w:spacing w:val="-2"/>
        </w:rPr>
        <w:t>detalle:</w:t>
      </w:r>
    </w:p>
    <w:p>
      <w:pPr>
        <w:pStyle w:val="ListParagraph"/>
        <w:numPr>
          <w:ilvl w:val="1"/>
          <w:numId w:val="6"/>
        </w:numPr>
        <w:tabs>
          <w:tab w:pos="862" w:val="left" w:leader="none"/>
        </w:tabs>
        <w:spacing w:line="324" w:lineRule="auto" w:before="165" w:after="0"/>
        <w:ind w:left="862" w:right="703" w:hanging="360"/>
        <w:jc w:val="both"/>
        <w:rPr>
          <w:sz w:val="24"/>
        </w:rPr>
      </w:pPr>
      <w:r>
        <w:rPr>
          <w:rFonts w:ascii="Arial" w:hAnsi="Arial"/>
          <w:i/>
          <w:sz w:val="24"/>
        </w:rPr>
        <w:t>Análisis cuantitativo: </w:t>
      </w:r>
      <w:r>
        <w:rPr>
          <w:sz w:val="24"/>
        </w:rPr>
        <w:t>Medida en que los servicios de la PNIG han contribuido al logro de los objetivos establecidos</w:t>
      </w:r>
    </w:p>
    <w:p>
      <w:pPr>
        <w:pStyle w:val="ListParagraph"/>
        <w:numPr>
          <w:ilvl w:val="2"/>
          <w:numId w:val="6"/>
        </w:numPr>
        <w:tabs>
          <w:tab w:pos="1581" w:val="left" w:leader="none"/>
        </w:tabs>
        <w:spacing w:line="240" w:lineRule="auto" w:before="5" w:after="0"/>
        <w:ind w:left="1581" w:right="0" w:hanging="359"/>
        <w:jc w:val="both"/>
        <w:rPr>
          <w:sz w:val="24"/>
        </w:rPr>
      </w:pPr>
      <w:r>
        <w:rPr>
          <w:sz w:val="24"/>
        </w:rPr>
        <w:t>Nivel de cumplimiento</w:t>
      </w:r>
      <w:r>
        <w:rPr>
          <w:spacing w:val="-3"/>
          <w:sz w:val="24"/>
        </w:rPr>
        <w:t> </w:t>
      </w:r>
      <w:r>
        <w:rPr>
          <w:sz w:val="24"/>
        </w:rPr>
        <w:t>de los</w:t>
      </w:r>
      <w:r>
        <w:rPr>
          <w:spacing w:val="1"/>
          <w:sz w:val="24"/>
        </w:rPr>
        <w:t> </w:t>
      </w:r>
      <w:r>
        <w:rPr>
          <w:sz w:val="24"/>
        </w:rPr>
        <w:t>indicadores</w:t>
      </w:r>
      <w:r>
        <w:rPr>
          <w:spacing w:val="-2"/>
          <w:sz w:val="24"/>
        </w:rPr>
        <w:t> </w:t>
      </w:r>
      <w:r>
        <w:rPr>
          <w:sz w:val="24"/>
        </w:rPr>
        <w:t>de cobertura</w:t>
      </w:r>
      <w:r>
        <w:rPr>
          <w:spacing w:val="-1"/>
          <w:sz w:val="24"/>
        </w:rPr>
        <w:t> </w:t>
      </w:r>
      <w:r>
        <w:rPr>
          <w:sz w:val="24"/>
        </w:rPr>
        <w:t>de</w:t>
      </w:r>
      <w:r>
        <w:rPr>
          <w:spacing w:val="-3"/>
          <w:sz w:val="24"/>
        </w:rPr>
        <w:t> </w:t>
      </w:r>
      <w:r>
        <w:rPr>
          <w:sz w:val="24"/>
        </w:rPr>
        <w:t>la </w:t>
      </w:r>
      <w:r>
        <w:rPr>
          <w:spacing w:val="-2"/>
          <w:sz w:val="24"/>
        </w:rPr>
        <w:t>PNIG.</w:t>
      </w:r>
    </w:p>
    <w:p>
      <w:pPr>
        <w:pStyle w:val="ListParagraph"/>
        <w:numPr>
          <w:ilvl w:val="1"/>
          <w:numId w:val="6"/>
        </w:numPr>
        <w:tabs>
          <w:tab w:pos="862" w:val="left" w:leader="none"/>
        </w:tabs>
        <w:spacing w:line="326" w:lineRule="auto" w:before="77" w:after="0"/>
        <w:ind w:left="862" w:right="707" w:hanging="360"/>
        <w:jc w:val="left"/>
        <w:rPr>
          <w:rFonts w:ascii="Arial" w:hAnsi="Arial"/>
          <w:i/>
          <w:sz w:val="24"/>
        </w:rPr>
      </w:pPr>
      <w:r>
        <w:rPr>
          <w:rFonts w:ascii="Arial" w:hAnsi="Arial"/>
          <w:i/>
          <w:sz w:val="24"/>
        </w:rPr>
        <w:t>Análisis mixto (cuantitativo y cualitativo): </w:t>
      </w:r>
      <w:r>
        <w:rPr>
          <w:sz w:val="24"/>
        </w:rPr>
        <w:t>Factores y contextos internos y externos que influyeron en el desempeño de los servicios de la PNIG </w:t>
      </w:r>
      <w:r>
        <w:rPr>
          <w:rFonts w:ascii="Arial" w:hAnsi="Arial"/>
          <w:i/>
          <w:spacing w:val="-2"/>
          <w:sz w:val="24"/>
        </w:rPr>
        <w:t>Internos:</w:t>
      </w:r>
    </w:p>
    <w:p>
      <w:pPr>
        <w:pStyle w:val="ListParagraph"/>
        <w:numPr>
          <w:ilvl w:val="2"/>
          <w:numId w:val="6"/>
        </w:numPr>
        <w:tabs>
          <w:tab w:pos="1581" w:val="left" w:leader="none"/>
        </w:tabs>
        <w:spacing w:line="240" w:lineRule="auto" w:before="1" w:after="0"/>
        <w:ind w:left="1581" w:right="0" w:hanging="359"/>
        <w:jc w:val="both"/>
        <w:rPr>
          <w:sz w:val="24"/>
        </w:rPr>
      </w:pPr>
      <w:r>
        <w:rPr>
          <w:sz w:val="24"/>
        </w:rPr>
        <w:t>Análisis</w:t>
      </w:r>
      <w:r>
        <w:rPr>
          <w:spacing w:val="8"/>
          <w:sz w:val="24"/>
        </w:rPr>
        <w:t> </w:t>
      </w:r>
      <w:r>
        <w:rPr>
          <w:sz w:val="24"/>
        </w:rPr>
        <w:t>del</w:t>
      </w:r>
      <w:r>
        <w:rPr>
          <w:spacing w:val="8"/>
          <w:sz w:val="24"/>
        </w:rPr>
        <w:t> </w:t>
      </w:r>
      <w:r>
        <w:rPr>
          <w:sz w:val="24"/>
        </w:rPr>
        <w:t>comportamiento</w:t>
      </w:r>
      <w:r>
        <w:rPr>
          <w:spacing w:val="8"/>
          <w:sz w:val="24"/>
        </w:rPr>
        <w:t> </w:t>
      </w:r>
      <w:r>
        <w:rPr>
          <w:sz w:val="24"/>
        </w:rPr>
        <w:t>de</w:t>
      </w:r>
      <w:r>
        <w:rPr>
          <w:spacing w:val="9"/>
          <w:sz w:val="24"/>
        </w:rPr>
        <w:t> </w:t>
      </w:r>
      <w:r>
        <w:rPr>
          <w:sz w:val="24"/>
        </w:rPr>
        <w:t>los</w:t>
      </w:r>
      <w:r>
        <w:rPr>
          <w:spacing w:val="11"/>
          <w:sz w:val="24"/>
        </w:rPr>
        <w:t> </w:t>
      </w:r>
      <w:r>
        <w:rPr>
          <w:sz w:val="24"/>
        </w:rPr>
        <w:t>componentes</w:t>
      </w:r>
      <w:r>
        <w:rPr>
          <w:spacing w:val="8"/>
          <w:sz w:val="24"/>
        </w:rPr>
        <w:t> </w:t>
      </w:r>
      <w:r>
        <w:rPr>
          <w:sz w:val="24"/>
        </w:rPr>
        <w:t>del</w:t>
      </w:r>
      <w:r>
        <w:rPr>
          <w:spacing w:val="8"/>
          <w:sz w:val="24"/>
        </w:rPr>
        <w:t> </w:t>
      </w:r>
      <w:r>
        <w:rPr>
          <w:spacing w:val="-2"/>
          <w:sz w:val="24"/>
        </w:rPr>
        <w:t>indicador.</w:t>
      </w:r>
    </w:p>
    <w:p>
      <w:pPr>
        <w:pStyle w:val="ListParagraph"/>
        <w:numPr>
          <w:ilvl w:val="2"/>
          <w:numId w:val="6"/>
        </w:numPr>
        <w:tabs>
          <w:tab w:pos="1582" w:val="left" w:leader="none"/>
        </w:tabs>
        <w:spacing w:line="302" w:lineRule="auto" w:before="80" w:after="0"/>
        <w:ind w:left="1582" w:right="712" w:hanging="360"/>
        <w:jc w:val="both"/>
        <w:rPr>
          <w:sz w:val="24"/>
        </w:rPr>
      </w:pPr>
      <w:r>
        <w:rPr>
          <w:sz w:val="24"/>
        </w:rPr>
        <w:t>Factores favorables que permitieron alcanzar y/o superar la meta programada en el 2023.</w:t>
      </w:r>
    </w:p>
    <w:p>
      <w:pPr>
        <w:pStyle w:val="ListParagraph"/>
        <w:numPr>
          <w:ilvl w:val="2"/>
          <w:numId w:val="6"/>
        </w:numPr>
        <w:tabs>
          <w:tab w:pos="1582" w:val="left" w:leader="none"/>
        </w:tabs>
        <w:spacing w:line="314" w:lineRule="auto" w:before="34" w:after="0"/>
        <w:ind w:left="1582" w:right="710" w:hanging="360"/>
        <w:jc w:val="both"/>
        <w:rPr>
          <w:sz w:val="24"/>
        </w:rPr>
      </w:pPr>
      <w:r>
        <w:rPr>
          <w:sz w:val="24"/>
        </w:rPr>
        <w:t>Buenas prácticas implementadas en el 2023 que permitieron alcanzar y/o superar la meta, y deberían seguir aplicándose durante el periodo de vigencia de la PNIG.</w:t>
      </w:r>
    </w:p>
    <w:p>
      <w:pPr>
        <w:pStyle w:val="ListParagraph"/>
        <w:numPr>
          <w:ilvl w:val="2"/>
          <w:numId w:val="6"/>
        </w:numPr>
        <w:tabs>
          <w:tab w:pos="1582" w:val="left" w:leader="none"/>
        </w:tabs>
        <w:spacing w:line="304" w:lineRule="auto" w:before="23" w:after="0"/>
        <w:ind w:left="1582" w:right="711" w:hanging="360"/>
        <w:jc w:val="both"/>
        <w:rPr>
          <w:sz w:val="24"/>
        </w:rPr>
      </w:pPr>
      <w:r>
        <w:rPr>
          <w:sz w:val="24"/>
        </w:rPr>
        <w:t>Factores que dificultaron el cumplimiento de la meta programada en el 2023.</w:t>
      </w:r>
    </w:p>
    <w:p>
      <w:pPr>
        <w:pStyle w:val="ListParagraph"/>
        <w:numPr>
          <w:ilvl w:val="2"/>
          <w:numId w:val="6"/>
        </w:numPr>
        <w:tabs>
          <w:tab w:pos="1582" w:val="left" w:leader="none"/>
        </w:tabs>
        <w:spacing w:line="304" w:lineRule="auto" w:before="29" w:after="0"/>
        <w:ind w:left="1582" w:right="712" w:hanging="360"/>
        <w:jc w:val="both"/>
        <w:rPr>
          <w:sz w:val="24"/>
        </w:rPr>
      </w:pPr>
      <w:r>
        <w:rPr>
          <w:sz w:val="24"/>
        </w:rPr>
        <w:t>Medidas que deben ser adoptadas en el 2024 con la finalidad de mejorar la intervención y optimizar la efectividad de la PNIG.</w:t>
      </w:r>
    </w:p>
    <w:p>
      <w:pPr>
        <w:pStyle w:val="ListParagraph"/>
        <w:numPr>
          <w:ilvl w:val="2"/>
          <w:numId w:val="6"/>
        </w:numPr>
        <w:tabs>
          <w:tab w:pos="1581" w:val="left" w:leader="none"/>
        </w:tabs>
        <w:spacing w:line="240" w:lineRule="auto" w:before="29" w:after="0"/>
        <w:ind w:left="1581" w:right="0" w:hanging="359"/>
        <w:jc w:val="both"/>
        <w:rPr>
          <w:sz w:val="24"/>
        </w:rPr>
      </w:pPr>
      <w:r>
        <w:rPr>
          <w:sz w:val="24"/>
        </w:rPr>
        <w:t>Buenas</w:t>
      </w:r>
      <w:r>
        <w:rPr>
          <w:spacing w:val="-16"/>
          <w:sz w:val="24"/>
        </w:rPr>
        <w:t> </w:t>
      </w:r>
      <w:r>
        <w:rPr>
          <w:sz w:val="24"/>
        </w:rPr>
        <w:t>prácticas</w:t>
      </w:r>
      <w:r>
        <w:rPr>
          <w:spacing w:val="-16"/>
          <w:sz w:val="24"/>
        </w:rPr>
        <w:t> </w:t>
      </w:r>
      <w:r>
        <w:rPr>
          <w:spacing w:val="-2"/>
          <w:sz w:val="24"/>
        </w:rPr>
        <w:t>implementadas.</w:t>
      </w:r>
    </w:p>
    <w:p>
      <w:pPr>
        <w:pStyle w:val="ListParagraph"/>
        <w:numPr>
          <w:ilvl w:val="2"/>
          <w:numId w:val="6"/>
        </w:numPr>
        <w:tabs>
          <w:tab w:pos="1581" w:val="left" w:leader="none"/>
        </w:tabs>
        <w:spacing w:line="240" w:lineRule="auto" w:before="79" w:after="0"/>
        <w:ind w:left="1581" w:right="0" w:hanging="359"/>
        <w:jc w:val="both"/>
        <w:rPr>
          <w:sz w:val="24"/>
        </w:rPr>
      </w:pPr>
      <w:r>
        <w:rPr>
          <w:sz w:val="24"/>
        </w:rPr>
        <w:t>Medidas</w:t>
      </w:r>
      <w:r>
        <w:rPr>
          <w:spacing w:val="5"/>
          <w:sz w:val="24"/>
        </w:rPr>
        <w:t> </w:t>
      </w:r>
      <w:r>
        <w:rPr>
          <w:sz w:val="24"/>
        </w:rPr>
        <w:t>que</w:t>
      </w:r>
      <w:r>
        <w:rPr>
          <w:spacing w:val="1"/>
          <w:sz w:val="24"/>
        </w:rPr>
        <w:t> </w:t>
      </w:r>
      <w:r>
        <w:rPr>
          <w:sz w:val="24"/>
        </w:rPr>
        <w:t>deben</w:t>
      </w:r>
      <w:r>
        <w:rPr>
          <w:spacing w:val="2"/>
          <w:sz w:val="24"/>
        </w:rPr>
        <w:t> </w:t>
      </w:r>
      <w:r>
        <w:rPr>
          <w:sz w:val="24"/>
        </w:rPr>
        <w:t>ser</w:t>
      </w:r>
      <w:r>
        <w:rPr>
          <w:spacing w:val="4"/>
          <w:sz w:val="24"/>
        </w:rPr>
        <w:t> </w:t>
      </w:r>
      <w:r>
        <w:rPr>
          <w:spacing w:val="-2"/>
          <w:sz w:val="24"/>
        </w:rPr>
        <w:t>adoptadas.</w:t>
      </w:r>
    </w:p>
    <w:p>
      <w:pPr>
        <w:spacing w:before="80"/>
        <w:ind w:left="862" w:right="0" w:firstLine="0"/>
        <w:jc w:val="left"/>
        <w:rPr>
          <w:rFonts w:ascii="Arial"/>
          <w:i/>
          <w:sz w:val="24"/>
        </w:rPr>
      </w:pPr>
      <w:r>
        <w:rPr>
          <w:rFonts w:ascii="Arial"/>
          <w:i/>
          <w:spacing w:val="-2"/>
          <w:sz w:val="24"/>
        </w:rPr>
        <w:t>Externos:</w:t>
      </w:r>
    </w:p>
    <w:p>
      <w:pPr>
        <w:pStyle w:val="ListParagraph"/>
        <w:numPr>
          <w:ilvl w:val="2"/>
          <w:numId w:val="6"/>
        </w:numPr>
        <w:tabs>
          <w:tab w:pos="1581" w:val="left" w:leader="none"/>
        </w:tabs>
        <w:spacing w:line="240" w:lineRule="auto" w:before="99" w:after="0"/>
        <w:ind w:left="1581" w:right="0" w:hanging="359"/>
        <w:jc w:val="left"/>
        <w:rPr>
          <w:sz w:val="24"/>
        </w:rPr>
      </w:pPr>
      <w:r>
        <w:rPr>
          <w:sz w:val="24"/>
        </w:rPr>
        <w:t>Dificultades</w:t>
      </w:r>
      <w:r>
        <w:rPr>
          <w:spacing w:val="8"/>
          <w:sz w:val="24"/>
        </w:rPr>
        <w:t> </w:t>
      </w:r>
      <w:r>
        <w:rPr>
          <w:sz w:val="24"/>
        </w:rPr>
        <w:t>de</w:t>
      </w:r>
      <w:r>
        <w:rPr>
          <w:spacing w:val="4"/>
          <w:sz w:val="24"/>
        </w:rPr>
        <w:t> </w:t>
      </w:r>
      <w:r>
        <w:rPr>
          <w:sz w:val="24"/>
        </w:rPr>
        <w:t>coordinación</w:t>
      </w:r>
      <w:r>
        <w:rPr>
          <w:spacing w:val="5"/>
          <w:sz w:val="24"/>
        </w:rPr>
        <w:t> </w:t>
      </w:r>
      <w:r>
        <w:rPr>
          <w:sz w:val="24"/>
        </w:rPr>
        <w:t>con</w:t>
      </w:r>
      <w:r>
        <w:rPr>
          <w:spacing w:val="4"/>
          <w:sz w:val="24"/>
        </w:rPr>
        <w:t> </w:t>
      </w:r>
      <w:r>
        <w:rPr>
          <w:sz w:val="24"/>
        </w:rPr>
        <w:t>otras</w:t>
      </w:r>
      <w:r>
        <w:rPr>
          <w:spacing w:val="8"/>
          <w:sz w:val="24"/>
        </w:rPr>
        <w:t> </w:t>
      </w:r>
      <w:r>
        <w:rPr>
          <w:spacing w:val="-2"/>
          <w:sz w:val="24"/>
        </w:rPr>
        <w:t>entidades.</w:t>
      </w:r>
    </w:p>
    <w:p>
      <w:pPr>
        <w:pStyle w:val="ListParagraph"/>
        <w:numPr>
          <w:ilvl w:val="2"/>
          <w:numId w:val="6"/>
        </w:numPr>
        <w:tabs>
          <w:tab w:pos="1582" w:val="left" w:leader="none"/>
        </w:tabs>
        <w:spacing w:line="302" w:lineRule="auto" w:before="80" w:after="0"/>
        <w:ind w:left="1582" w:right="712" w:hanging="360"/>
        <w:jc w:val="left"/>
        <w:rPr>
          <w:sz w:val="24"/>
        </w:rPr>
      </w:pPr>
      <w:r>
        <w:rPr>
          <w:sz w:val="24"/>
        </w:rPr>
        <w:t>Efecto no previsto sobre la población objetivo por la provisión del </w:t>
      </w:r>
      <w:r>
        <w:rPr>
          <w:spacing w:val="-2"/>
          <w:sz w:val="24"/>
        </w:rPr>
        <w:t>servicio.</w:t>
      </w:r>
    </w:p>
    <w:p>
      <w:pPr>
        <w:pStyle w:val="ListParagraph"/>
        <w:numPr>
          <w:ilvl w:val="2"/>
          <w:numId w:val="6"/>
        </w:numPr>
        <w:tabs>
          <w:tab w:pos="1582" w:val="left" w:leader="none"/>
        </w:tabs>
        <w:spacing w:line="304" w:lineRule="auto" w:before="34" w:after="0"/>
        <w:ind w:left="1582" w:right="703" w:hanging="360"/>
        <w:jc w:val="left"/>
        <w:rPr>
          <w:sz w:val="24"/>
        </w:rPr>
      </w:pPr>
      <w:r>
        <w:rPr>
          <w:sz w:val="24"/>
        </w:rPr>
        <w:t>Contexto económico que pudo haber influido de forma positiva o negativa</w:t>
      </w:r>
      <w:r>
        <w:rPr>
          <w:spacing w:val="-10"/>
          <w:sz w:val="24"/>
        </w:rPr>
        <w:t> </w:t>
      </w:r>
      <w:r>
        <w:rPr>
          <w:sz w:val="24"/>
        </w:rPr>
        <w:t>en</w:t>
      </w:r>
      <w:r>
        <w:rPr>
          <w:spacing w:val="-12"/>
          <w:sz w:val="24"/>
        </w:rPr>
        <w:t> </w:t>
      </w:r>
      <w:r>
        <w:rPr>
          <w:sz w:val="24"/>
        </w:rPr>
        <w:t>los</w:t>
      </w:r>
      <w:r>
        <w:rPr>
          <w:spacing w:val="-10"/>
          <w:sz w:val="24"/>
        </w:rPr>
        <w:t> </w:t>
      </w:r>
      <w:r>
        <w:rPr>
          <w:sz w:val="24"/>
        </w:rPr>
        <w:t>resultados</w:t>
      </w:r>
      <w:r>
        <w:rPr>
          <w:spacing w:val="-12"/>
          <w:sz w:val="24"/>
        </w:rPr>
        <w:t> </w:t>
      </w:r>
      <w:r>
        <w:rPr>
          <w:sz w:val="24"/>
        </w:rPr>
        <w:t>de</w:t>
      </w:r>
      <w:r>
        <w:rPr>
          <w:spacing w:val="-10"/>
          <w:sz w:val="24"/>
        </w:rPr>
        <w:t> </w:t>
      </w:r>
      <w:r>
        <w:rPr>
          <w:sz w:val="24"/>
          <w:u w:val="single"/>
        </w:rPr>
        <w:t>indicadores</w:t>
      </w:r>
      <w:r>
        <w:rPr>
          <w:spacing w:val="-10"/>
          <w:sz w:val="24"/>
          <w:u w:val="single"/>
        </w:rPr>
        <w:t> </w:t>
      </w:r>
      <w:r>
        <w:rPr>
          <w:sz w:val="24"/>
          <w:u w:val="single"/>
        </w:rPr>
        <w:t>de</w:t>
      </w:r>
      <w:r>
        <w:rPr>
          <w:spacing w:val="-12"/>
          <w:sz w:val="24"/>
          <w:u w:val="single"/>
        </w:rPr>
        <w:t> </w:t>
      </w:r>
      <w:r>
        <w:rPr>
          <w:sz w:val="24"/>
          <w:u w:val="single"/>
        </w:rPr>
        <w:t>cobertura</w:t>
      </w:r>
      <w:r>
        <w:rPr>
          <w:spacing w:val="-10"/>
          <w:sz w:val="24"/>
        </w:rPr>
        <w:t> </w:t>
      </w:r>
      <w:r>
        <w:rPr>
          <w:sz w:val="24"/>
        </w:rPr>
        <w:t>de</w:t>
      </w:r>
      <w:r>
        <w:rPr>
          <w:spacing w:val="-12"/>
          <w:sz w:val="24"/>
        </w:rPr>
        <w:t> </w:t>
      </w:r>
      <w:r>
        <w:rPr>
          <w:sz w:val="24"/>
        </w:rPr>
        <w:t>la</w:t>
      </w:r>
      <w:r>
        <w:rPr>
          <w:spacing w:val="-10"/>
          <w:sz w:val="24"/>
        </w:rPr>
        <w:t> </w:t>
      </w:r>
      <w:r>
        <w:rPr>
          <w:sz w:val="24"/>
        </w:rPr>
        <w:t>PNIG.</w:t>
      </w:r>
    </w:p>
    <w:p>
      <w:pPr>
        <w:pStyle w:val="ListParagraph"/>
        <w:spacing w:after="0" w:line="304" w:lineRule="auto"/>
        <w:jc w:val="left"/>
        <w:rPr>
          <w:sz w:val="24"/>
        </w:rPr>
        <w:sectPr>
          <w:pgSz w:w="11910" w:h="16840"/>
          <w:pgMar w:header="713" w:footer="1000" w:top="1420" w:bottom="1200" w:left="1559" w:right="992"/>
        </w:sectPr>
      </w:pPr>
    </w:p>
    <w:p>
      <w:pPr>
        <w:pStyle w:val="BodyText"/>
      </w:pPr>
    </w:p>
    <w:p>
      <w:pPr>
        <w:pStyle w:val="BodyText"/>
      </w:pPr>
    </w:p>
    <w:p>
      <w:pPr>
        <w:pStyle w:val="BodyText"/>
      </w:pPr>
    </w:p>
    <w:p>
      <w:pPr>
        <w:pStyle w:val="BodyText"/>
      </w:pPr>
    </w:p>
    <w:p>
      <w:pPr>
        <w:pStyle w:val="BodyText"/>
      </w:pPr>
    </w:p>
    <w:p>
      <w:pPr>
        <w:pStyle w:val="BodyText"/>
      </w:pPr>
    </w:p>
    <w:p>
      <w:pPr>
        <w:pStyle w:val="BodyText"/>
        <w:spacing w:before="70"/>
      </w:pPr>
    </w:p>
    <w:p>
      <w:pPr>
        <w:pStyle w:val="BodyText"/>
        <w:spacing w:before="1"/>
        <w:ind w:left="143"/>
      </w:pPr>
      <w:r>
        <w:rPr>
          <w:spacing w:val="-2"/>
        </w:rPr>
        <w:t>Calidad</w:t>
      </w:r>
    </w:p>
    <w:p>
      <w:pPr>
        <w:pStyle w:val="ListParagraph"/>
        <w:numPr>
          <w:ilvl w:val="0"/>
          <w:numId w:val="8"/>
        </w:numPr>
        <w:tabs>
          <w:tab w:pos="503" w:val="left" w:leader="none"/>
        </w:tabs>
        <w:spacing w:line="314" w:lineRule="auto" w:before="126" w:after="0"/>
        <w:ind w:left="503" w:right="703" w:hanging="360"/>
        <w:jc w:val="both"/>
        <w:rPr>
          <w:sz w:val="24"/>
        </w:rPr>
      </w:pPr>
      <w:r>
        <w:rPr/>
        <w:br w:type="column"/>
      </w:r>
      <w:r>
        <w:rPr>
          <w:sz w:val="24"/>
        </w:rPr>
        <w:t>Contexto político que pudo haber influido de forma positiva o negativa en los resultados de los </w:t>
      </w:r>
      <w:r>
        <w:rPr>
          <w:sz w:val="24"/>
          <w:u w:val="single"/>
        </w:rPr>
        <w:t>indicadores de cobertura</w:t>
      </w:r>
      <w:r>
        <w:rPr>
          <w:sz w:val="24"/>
        </w:rPr>
        <w:t> de la </w:t>
      </w:r>
      <w:r>
        <w:rPr>
          <w:spacing w:val="-2"/>
          <w:sz w:val="24"/>
        </w:rPr>
        <w:t>PNIG.</w:t>
      </w:r>
    </w:p>
    <w:p>
      <w:pPr>
        <w:pStyle w:val="ListParagraph"/>
        <w:numPr>
          <w:ilvl w:val="0"/>
          <w:numId w:val="8"/>
        </w:numPr>
        <w:tabs>
          <w:tab w:pos="503" w:val="left" w:leader="none"/>
        </w:tabs>
        <w:spacing w:line="304" w:lineRule="auto" w:before="19" w:after="0"/>
        <w:ind w:left="503" w:right="703" w:hanging="360"/>
        <w:jc w:val="both"/>
        <w:rPr>
          <w:sz w:val="24"/>
        </w:rPr>
      </w:pPr>
      <w:r>
        <w:rPr>
          <w:sz w:val="24"/>
        </w:rPr>
        <w:t>Contexto social que pudo haber influido de forma positiva o negativa</w:t>
      </w:r>
      <w:r>
        <w:rPr>
          <w:spacing w:val="-10"/>
          <w:sz w:val="24"/>
        </w:rPr>
        <w:t> </w:t>
      </w:r>
      <w:r>
        <w:rPr>
          <w:sz w:val="24"/>
        </w:rPr>
        <w:t>en</w:t>
      </w:r>
      <w:r>
        <w:rPr>
          <w:spacing w:val="-12"/>
          <w:sz w:val="24"/>
        </w:rPr>
        <w:t> </w:t>
      </w:r>
      <w:r>
        <w:rPr>
          <w:sz w:val="24"/>
        </w:rPr>
        <w:t>los</w:t>
      </w:r>
      <w:r>
        <w:rPr>
          <w:spacing w:val="-10"/>
          <w:sz w:val="24"/>
        </w:rPr>
        <w:t> </w:t>
      </w:r>
      <w:r>
        <w:rPr>
          <w:sz w:val="24"/>
        </w:rPr>
        <w:t>resultados</w:t>
      </w:r>
      <w:r>
        <w:rPr>
          <w:spacing w:val="-12"/>
          <w:sz w:val="24"/>
        </w:rPr>
        <w:t> </w:t>
      </w:r>
      <w:r>
        <w:rPr>
          <w:sz w:val="24"/>
        </w:rPr>
        <w:t>de</w:t>
      </w:r>
      <w:r>
        <w:rPr>
          <w:spacing w:val="-10"/>
          <w:sz w:val="24"/>
        </w:rPr>
        <w:t> </w:t>
      </w:r>
      <w:r>
        <w:rPr>
          <w:sz w:val="24"/>
          <w:u w:val="single"/>
        </w:rPr>
        <w:t>indicadores</w:t>
      </w:r>
      <w:r>
        <w:rPr>
          <w:spacing w:val="-10"/>
          <w:sz w:val="24"/>
          <w:u w:val="single"/>
        </w:rPr>
        <w:t> </w:t>
      </w:r>
      <w:r>
        <w:rPr>
          <w:sz w:val="24"/>
          <w:u w:val="single"/>
        </w:rPr>
        <w:t>de</w:t>
      </w:r>
      <w:r>
        <w:rPr>
          <w:spacing w:val="-12"/>
          <w:sz w:val="24"/>
          <w:u w:val="single"/>
        </w:rPr>
        <w:t> </w:t>
      </w:r>
      <w:r>
        <w:rPr>
          <w:sz w:val="24"/>
          <w:u w:val="single"/>
        </w:rPr>
        <w:t>cobertura</w:t>
      </w:r>
      <w:r>
        <w:rPr>
          <w:spacing w:val="-10"/>
          <w:sz w:val="24"/>
        </w:rPr>
        <w:t> </w:t>
      </w:r>
      <w:r>
        <w:rPr>
          <w:sz w:val="24"/>
        </w:rPr>
        <w:t>de</w:t>
      </w:r>
      <w:r>
        <w:rPr>
          <w:spacing w:val="-12"/>
          <w:sz w:val="24"/>
        </w:rPr>
        <w:t> </w:t>
      </w:r>
      <w:r>
        <w:rPr>
          <w:sz w:val="24"/>
        </w:rPr>
        <w:t>la</w:t>
      </w:r>
      <w:r>
        <w:rPr>
          <w:spacing w:val="-10"/>
          <w:sz w:val="24"/>
        </w:rPr>
        <w:t> </w:t>
      </w:r>
      <w:r>
        <w:rPr>
          <w:sz w:val="24"/>
        </w:rPr>
        <w:t>PNIG.</w:t>
      </w:r>
    </w:p>
    <w:p>
      <w:pPr>
        <w:pStyle w:val="ListParagraph"/>
        <w:spacing w:after="0" w:line="304" w:lineRule="auto"/>
        <w:jc w:val="both"/>
        <w:rPr>
          <w:sz w:val="24"/>
        </w:rPr>
        <w:sectPr>
          <w:pgSz w:w="11910" w:h="16840"/>
          <w:pgMar w:header="713" w:footer="1000" w:top="1420" w:bottom="1200" w:left="1559" w:right="992"/>
          <w:cols w:num="2" w:equalWidth="0">
            <w:col w:w="983" w:space="97"/>
            <w:col w:w="8279"/>
          </w:cols>
        </w:sectPr>
      </w:pPr>
    </w:p>
    <w:p>
      <w:pPr>
        <w:pStyle w:val="BodyText"/>
        <w:spacing w:line="324" w:lineRule="auto" w:before="261"/>
        <w:ind w:left="143"/>
      </w:pPr>
      <w:r>
        <w:rPr/>
        <w:t>Correspondiente</w:t>
      </w:r>
      <w:r>
        <w:rPr>
          <w:spacing w:val="37"/>
        </w:rPr>
        <w:t> </w:t>
      </w:r>
      <w:r>
        <w:rPr/>
        <w:t>a</w:t>
      </w:r>
      <w:r>
        <w:rPr>
          <w:spacing w:val="35"/>
        </w:rPr>
        <w:t> </w:t>
      </w:r>
      <w:r>
        <w:rPr/>
        <w:t>la</w:t>
      </w:r>
      <w:r>
        <w:rPr>
          <w:spacing w:val="37"/>
        </w:rPr>
        <w:t> </w:t>
      </w:r>
      <w:r>
        <w:rPr/>
        <w:t>evaluación</w:t>
      </w:r>
      <w:r>
        <w:rPr>
          <w:spacing w:val="37"/>
        </w:rPr>
        <w:t> </w:t>
      </w:r>
      <w:r>
        <w:rPr/>
        <w:t>valorativa</w:t>
      </w:r>
      <w:r>
        <w:rPr>
          <w:spacing w:val="35"/>
        </w:rPr>
        <w:t> </w:t>
      </w:r>
      <w:r>
        <w:rPr/>
        <w:t>de</w:t>
      </w:r>
      <w:r>
        <w:rPr>
          <w:spacing w:val="37"/>
        </w:rPr>
        <w:t> </w:t>
      </w:r>
      <w:r>
        <w:rPr/>
        <w:t>los</w:t>
      </w:r>
      <w:r>
        <w:rPr>
          <w:spacing w:val="37"/>
        </w:rPr>
        <w:t> </w:t>
      </w:r>
      <w:r>
        <w:rPr/>
        <w:t>estándares</w:t>
      </w:r>
      <w:r>
        <w:rPr>
          <w:spacing w:val="37"/>
        </w:rPr>
        <w:t> </w:t>
      </w:r>
      <w:r>
        <w:rPr/>
        <w:t>de</w:t>
      </w:r>
      <w:r>
        <w:rPr>
          <w:spacing w:val="35"/>
        </w:rPr>
        <w:t> </w:t>
      </w:r>
      <w:r>
        <w:rPr/>
        <w:t>ejecución</w:t>
      </w:r>
      <w:r>
        <w:rPr>
          <w:spacing w:val="35"/>
        </w:rPr>
        <w:t> </w:t>
      </w:r>
      <w:r>
        <w:rPr/>
        <w:t>y resultados de la PNIG.</w:t>
      </w:r>
    </w:p>
    <w:p>
      <w:pPr>
        <w:pStyle w:val="ListParagraph"/>
        <w:numPr>
          <w:ilvl w:val="1"/>
          <w:numId w:val="8"/>
        </w:numPr>
        <w:tabs>
          <w:tab w:pos="862" w:val="left" w:leader="none"/>
        </w:tabs>
        <w:spacing w:line="324" w:lineRule="auto" w:before="167" w:after="0"/>
        <w:ind w:left="862" w:right="705" w:hanging="360"/>
        <w:jc w:val="left"/>
        <w:rPr>
          <w:sz w:val="24"/>
        </w:rPr>
      </w:pPr>
      <w:r>
        <w:rPr>
          <w:rFonts w:ascii="Arial" w:hAnsi="Arial"/>
          <w:i/>
          <w:sz w:val="24"/>
        </w:rPr>
        <w:t>Análisis cuantitativo: </w:t>
      </w:r>
      <w:r>
        <w:rPr>
          <w:sz w:val="24"/>
        </w:rPr>
        <w:t>Medida en que la provisión de servicios de la PNIG ha cumplido con los estándares de calidad preestablecidos</w:t>
      </w:r>
    </w:p>
    <w:p>
      <w:pPr>
        <w:pStyle w:val="ListParagraph"/>
        <w:numPr>
          <w:ilvl w:val="2"/>
          <w:numId w:val="8"/>
        </w:numPr>
        <w:tabs>
          <w:tab w:pos="1581" w:val="left" w:leader="none"/>
        </w:tabs>
        <w:spacing w:line="240" w:lineRule="auto" w:before="6" w:after="0"/>
        <w:ind w:left="1581" w:right="0" w:hanging="359"/>
        <w:jc w:val="left"/>
        <w:rPr>
          <w:sz w:val="24"/>
        </w:rPr>
      </w:pPr>
      <w:r>
        <w:rPr>
          <w:sz w:val="24"/>
        </w:rPr>
        <w:t>Nivel</w:t>
      </w:r>
      <w:r>
        <w:rPr>
          <w:spacing w:val="3"/>
          <w:sz w:val="24"/>
        </w:rPr>
        <w:t> </w:t>
      </w:r>
      <w:r>
        <w:rPr>
          <w:sz w:val="24"/>
        </w:rPr>
        <w:t>de</w:t>
      </w:r>
      <w:r>
        <w:rPr>
          <w:spacing w:val="-1"/>
          <w:sz w:val="24"/>
        </w:rPr>
        <w:t> </w:t>
      </w:r>
      <w:r>
        <w:rPr>
          <w:sz w:val="24"/>
        </w:rPr>
        <w:t>cumplimiento</w:t>
      </w:r>
      <w:r>
        <w:rPr>
          <w:spacing w:val="1"/>
          <w:sz w:val="24"/>
        </w:rPr>
        <w:t> </w:t>
      </w:r>
      <w:r>
        <w:rPr>
          <w:sz w:val="24"/>
        </w:rPr>
        <w:t>de</w:t>
      </w:r>
      <w:r>
        <w:rPr>
          <w:spacing w:val="2"/>
          <w:sz w:val="24"/>
        </w:rPr>
        <w:t> </w:t>
      </w:r>
      <w:r>
        <w:rPr>
          <w:sz w:val="24"/>
        </w:rPr>
        <w:t>los</w:t>
      </w:r>
      <w:r>
        <w:rPr>
          <w:spacing w:val="7"/>
          <w:sz w:val="24"/>
        </w:rPr>
        <w:t> </w:t>
      </w:r>
      <w:r>
        <w:rPr>
          <w:sz w:val="24"/>
          <w:u w:val="single"/>
        </w:rPr>
        <w:t>indicadores</w:t>
      </w:r>
      <w:r>
        <w:rPr>
          <w:spacing w:val="1"/>
          <w:sz w:val="24"/>
          <w:u w:val="single"/>
        </w:rPr>
        <w:t> </w:t>
      </w:r>
      <w:r>
        <w:rPr>
          <w:sz w:val="24"/>
          <w:u w:val="single"/>
        </w:rPr>
        <w:t>de calidad</w:t>
      </w:r>
      <w:r>
        <w:rPr>
          <w:spacing w:val="4"/>
          <w:sz w:val="24"/>
        </w:rPr>
        <w:t> </w:t>
      </w:r>
      <w:r>
        <w:rPr>
          <w:sz w:val="24"/>
        </w:rPr>
        <w:t>de</w:t>
      </w:r>
      <w:r>
        <w:rPr>
          <w:spacing w:val="2"/>
          <w:sz w:val="24"/>
        </w:rPr>
        <w:t> </w:t>
      </w:r>
      <w:r>
        <w:rPr>
          <w:sz w:val="24"/>
        </w:rPr>
        <w:t>la </w:t>
      </w:r>
      <w:r>
        <w:rPr>
          <w:spacing w:val="-2"/>
          <w:sz w:val="24"/>
        </w:rPr>
        <w:t>PNIG.</w:t>
      </w:r>
    </w:p>
    <w:p>
      <w:pPr>
        <w:pStyle w:val="ListParagraph"/>
        <w:numPr>
          <w:ilvl w:val="1"/>
          <w:numId w:val="8"/>
        </w:numPr>
        <w:tabs>
          <w:tab w:pos="862" w:val="left" w:leader="none"/>
        </w:tabs>
        <w:spacing w:line="324" w:lineRule="auto" w:before="79" w:after="0"/>
        <w:ind w:left="862" w:right="707" w:hanging="360"/>
        <w:jc w:val="left"/>
        <w:rPr>
          <w:sz w:val="24"/>
        </w:rPr>
      </w:pPr>
      <w:r>
        <w:rPr>
          <w:rFonts w:ascii="Arial" w:hAnsi="Arial"/>
          <w:i/>
          <w:sz w:val="24"/>
        </w:rPr>
        <w:t>Análisis mixto (cualitativo y cuantitativo): </w:t>
      </w:r>
      <w:r>
        <w:rPr>
          <w:sz w:val="24"/>
        </w:rPr>
        <w:t>Factores y contextos internos y externos que influyeron en la calidad de servicios de la PNIG</w:t>
      </w:r>
    </w:p>
    <w:p>
      <w:pPr>
        <w:spacing w:before="5"/>
        <w:ind w:left="862" w:right="0" w:firstLine="0"/>
        <w:jc w:val="left"/>
        <w:rPr>
          <w:rFonts w:ascii="Arial"/>
          <w:i/>
          <w:sz w:val="24"/>
        </w:rPr>
      </w:pPr>
      <w:r>
        <w:rPr>
          <w:rFonts w:ascii="Arial"/>
          <w:i/>
          <w:spacing w:val="-2"/>
          <w:sz w:val="24"/>
        </w:rPr>
        <w:t>Internos:</w:t>
      </w:r>
    </w:p>
    <w:p>
      <w:pPr>
        <w:pStyle w:val="ListParagraph"/>
        <w:numPr>
          <w:ilvl w:val="2"/>
          <w:numId w:val="8"/>
        </w:numPr>
        <w:tabs>
          <w:tab w:pos="1581" w:val="left" w:leader="none"/>
        </w:tabs>
        <w:spacing w:line="240" w:lineRule="auto" w:before="99" w:after="0"/>
        <w:ind w:left="1581" w:right="0" w:hanging="359"/>
        <w:jc w:val="both"/>
        <w:rPr>
          <w:sz w:val="24"/>
        </w:rPr>
      </w:pPr>
      <w:r>
        <w:rPr>
          <w:sz w:val="24"/>
        </w:rPr>
        <w:t>Análisis</w:t>
      </w:r>
      <w:r>
        <w:rPr>
          <w:spacing w:val="8"/>
          <w:sz w:val="24"/>
        </w:rPr>
        <w:t> </w:t>
      </w:r>
      <w:r>
        <w:rPr>
          <w:sz w:val="24"/>
        </w:rPr>
        <w:t>del</w:t>
      </w:r>
      <w:r>
        <w:rPr>
          <w:spacing w:val="8"/>
          <w:sz w:val="24"/>
        </w:rPr>
        <w:t> </w:t>
      </w:r>
      <w:r>
        <w:rPr>
          <w:sz w:val="24"/>
        </w:rPr>
        <w:t>comportamiento</w:t>
      </w:r>
      <w:r>
        <w:rPr>
          <w:spacing w:val="8"/>
          <w:sz w:val="24"/>
        </w:rPr>
        <w:t> </w:t>
      </w:r>
      <w:r>
        <w:rPr>
          <w:sz w:val="24"/>
        </w:rPr>
        <w:t>de</w:t>
      </w:r>
      <w:r>
        <w:rPr>
          <w:spacing w:val="9"/>
          <w:sz w:val="24"/>
        </w:rPr>
        <w:t> </w:t>
      </w:r>
      <w:r>
        <w:rPr>
          <w:sz w:val="24"/>
        </w:rPr>
        <w:t>los</w:t>
      </w:r>
      <w:r>
        <w:rPr>
          <w:spacing w:val="11"/>
          <w:sz w:val="24"/>
        </w:rPr>
        <w:t> </w:t>
      </w:r>
      <w:r>
        <w:rPr>
          <w:sz w:val="24"/>
        </w:rPr>
        <w:t>componentes</w:t>
      </w:r>
      <w:r>
        <w:rPr>
          <w:spacing w:val="8"/>
          <w:sz w:val="24"/>
        </w:rPr>
        <w:t> </w:t>
      </w:r>
      <w:r>
        <w:rPr>
          <w:sz w:val="24"/>
        </w:rPr>
        <w:t>del</w:t>
      </w:r>
      <w:r>
        <w:rPr>
          <w:spacing w:val="8"/>
          <w:sz w:val="24"/>
        </w:rPr>
        <w:t> </w:t>
      </w:r>
      <w:r>
        <w:rPr>
          <w:spacing w:val="-2"/>
          <w:sz w:val="24"/>
        </w:rPr>
        <w:t>indicador.</w:t>
      </w:r>
    </w:p>
    <w:p>
      <w:pPr>
        <w:pStyle w:val="ListParagraph"/>
        <w:numPr>
          <w:ilvl w:val="2"/>
          <w:numId w:val="8"/>
        </w:numPr>
        <w:tabs>
          <w:tab w:pos="1582" w:val="left" w:leader="none"/>
        </w:tabs>
        <w:spacing w:line="304" w:lineRule="auto" w:before="79" w:after="0"/>
        <w:ind w:left="1582" w:right="712" w:hanging="360"/>
        <w:jc w:val="both"/>
        <w:rPr>
          <w:sz w:val="24"/>
        </w:rPr>
      </w:pPr>
      <w:r>
        <w:rPr>
          <w:sz w:val="24"/>
        </w:rPr>
        <w:t>Factores favorables que permitieron alcanzar y/o superar la meta programada en el 2023.</w:t>
      </w:r>
    </w:p>
    <w:p>
      <w:pPr>
        <w:pStyle w:val="ListParagraph"/>
        <w:numPr>
          <w:ilvl w:val="2"/>
          <w:numId w:val="8"/>
        </w:numPr>
        <w:tabs>
          <w:tab w:pos="1582" w:val="left" w:leader="none"/>
        </w:tabs>
        <w:spacing w:line="314" w:lineRule="auto" w:before="29" w:after="0"/>
        <w:ind w:left="1582" w:right="710" w:hanging="360"/>
        <w:jc w:val="both"/>
        <w:rPr>
          <w:sz w:val="24"/>
        </w:rPr>
      </w:pPr>
      <w:r>
        <w:rPr>
          <w:sz w:val="24"/>
        </w:rPr>
        <w:t>Buenas prácticas implementadas en el 2023 que permitieron alcanzar y/o superar la meta, y deberían seguir aplicándose durante el periodo de vigencia de la PNIG.</w:t>
      </w:r>
    </w:p>
    <w:p>
      <w:pPr>
        <w:pStyle w:val="ListParagraph"/>
        <w:numPr>
          <w:ilvl w:val="2"/>
          <w:numId w:val="8"/>
        </w:numPr>
        <w:tabs>
          <w:tab w:pos="1582" w:val="left" w:leader="none"/>
        </w:tabs>
        <w:spacing w:line="304" w:lineRule="auto" w:before="23" w:after="0"/>
        <w:ind w:left="1582" w:right="711" w:hanging="360"/>
        <w:jc w:val="both"/>
        <w:rPr>
          <w:sz w:val="24"/>
        </w:rPr>
      </w:pPr>
      <w:r>
        <w:rPr>
          <w:sz w:val="24"/>
        </w:rPr>
        <w:t>Factores que dificultaron el cumplimiento de la meta programada en el 2023.</w:t>
      </w:r>
    </w:p>
    <w:p>
      <w:pPr>
        <w:pStyle w:val="ListParagraph"/>
        <w:numPr>
          <w:ilvl w:val="2"/>
          <w:numId w:val="8"/>
        </w:numPr>
        <w:tabs>
          <w:tab w:pos="1582" w:val="left" w:leader="none"/>
        </w:tabs>
        <w:spacing w:line="304" w:lineRule="auto" w:before="29" w:after="0"/>
        <w:ind w:left="1582" w:right="712" w:hanging="360"/>
        <w:jc w:val="both"/>
        <w:rPr>
          <w:sz w:val="24"/>
        </w:rPr>
      </w:pPr>
      <w:r>
        <w:rPr>
          <w:sz w:val="24"/>
        </w:rPr>
        <w:t>Medidas que deben ser adoptadas en el 2024 con la finalidad de mejorar la intervención y optimizar la efectividad de la PNIG.</w:t>
      </w:r>
    </w:p>
    <w:p>
      <w:pPr>
        <w:spacing w:before="29"/>
        <w:ind w:left="862" w:right="0" w:firstLine="0"/>
        <w:jc w:val="left"/>
        <w:rPr>
          <w:rFonts w:ascii="Arial"/>
          <w:i/>
          <w:sz w:val="24"/>
        </w:rPr>
      </w:pPr>
      <w:r>
        <w:rPr>
          <w:rFonts w:ascii="Arial"/>
          <w:i/>
          <w:spacing w:val="-2"/>
          <w:sz w:val="24"/>
        </w:rPr>
        <w:t>Externos:</w:t>
      </w:r>
    </w:p>
    <w:p>
      <w:pPr>
        <w:pStyle w:val="ListParagraph"/>
        <w:numPr>
          <w:ilvl w:val="2"/>
          <w:numId w:val="8"/>
        </w:numPr>
        <w:tabs>
          <w:tab w:pos="1581" w:val="left" w:leader="none"/>
        </w:tabs>
        <w:spacing w:line="240" w:lineRule="auto" w:before="101" w:after="0"/>
        <w:ind w:left="1581" w:right="0" w:hanging="359"/>
        <w:jc w:val="left"/>
        <w:rPr>
          <w:sz w:val="24"/>
        </w:rPr>
      </w:pPr>
      <w:r>
        <w:rPr>
          <w:sz w:val="24"/>
        </w:rPr>
        <w:t>Dificultades</w:t>
      </w:r>
      <w:r>
        <w:rPr>
          <w:spacing w:val="8"/>
          <w:sz w:val="24"/>
        </w:rPr>
        <w:t> </w:t>
      </w:r>
      <w:r>
        <w:rPr>
          <w:sz w:val="24"/>
        </w:rPr>
        <w:t>de</w:t>
      </w:r>
      <w:r>
        <w:rPr>
          <w:spacing w:val="4"/>
          <w:sz w:val="24"/>
        </w:rPr>
        <w:t> </w:t>
      </w:r>
      <w:r>
        <w:rPr>
          <w:sz w:val="24"/>
        </w:rPr>
        <w:t>coordinación</w:t>
      </w:r>
      <w:r>
        <w:rPr>
          <w:spacing w:val="5"/>
          <w:sz w:val="24"/>
        </w:rPr>
        <w:t> </w:t>
      </w:r>
      <w:r>
        <w:rPr>
          <w:sz w:val="24"/>
        </w:rPr>
        <w:t>con</w:t>
      </w:r>
      <w:r>
        <w:rPr>
          <w:spacing w:val="4"/>
          <w:sz w:val="24"/>
        </w:rPr>
        <w:t> </w:t>
      </w:r>
      <w:r>
        <w:rPr>
          <w:sz w:val="24"/>
        </w:rPr>
        <w:t>otras</w:t>
      </w:r>
      <w:r>
        <w:rPr>
          <w:spacing w:val="8"/>
          <w:sz w:val="24"/>
        </w:rPr>
        <w:t> </w:t>
      </w:r>
      <w:r>
        <w:rPr>
          <w:spacing w:val="-2"/>
          <w:sz w:val="24"/>
        </w:rPr>
        <w:t>entidades.</w:t>
      </w:r>
    </w:p>
    <w:p>
      <w:pPr>
        <w:pStyle w:val="ListParagraph"/>
        <w:numPr>
          <w:ilvl w:val="2"/>
          <w:numId w:val="8"/>
        </w:numPr>
        <w:tabs>
          <w:tab w:pos="1582" w:val="left" w:leader="none"/>
        </w:tabs>
        <w:spacing w:line="302" w:lineRule="auto" w:before="79" w:after="0"/>
        <w:ind w:left="1582" w:right="710" w:hanging="360"/>
        <w:jc w:val="left"/>
        <w:rPr>
          <w:sz w:val="24"/>
        </w:rPr>
      </w:pPr>
      <w:r>
        <w:rPr>
          <w:sz w:val="24"/>
        </w:rPr>
        <w:t>Efecto no previsto sobre la población objetivo por la provisión del </w:t>
      </w:r>
      <w:r>
        <w:rPr>
          <w:spacing w:val="-2"/>
          <w:sz w:val="24"/>
        </w:rPr>
        <w:t>servicio.</w:t>
      </w:r>
    </w:p>
    <w:p>
      <w:pPr>
        <w:pStyle w:val="ListParagraph"/>
        <w:numPr>
          <w:ilvl w:val="2"/>
          <w:numId w:val="8"/>
        </w:numPr>
        <w:tabs>
          <w:tab w:pos="1582" w:val="left" w:leader="none"/>
        </w:tabs>
        <w:spacing w:line="302" w:lineRule="auto" w:before="35" w:after="0"/>
        <w:ind w:left="1582" w:right="703" w:hanging="360"/>
        <w:jc w:val="left"/>
        <w:rPr>
          <w:sz w:val="24"/>
        </w:rPr>
      </w:pPr>
      <w:r>
        <w:rPr>
          <w:sz w:val="24"/>
        </w:rPr>
        <w:t>Contexto económico que pudo haber influido de forma positiva o negativa</w:t>
      </w:r>
      <w:r>
        <w:rPr>
          <w:spacing w:val="-19"/>
          <w:sz w:val="24"/>
        </w:rPr>
        <w:t> </w:t>
      </w:r>
      <w:r>
        <w:rPr>
          <w:sz w:val="24"/>
        </w:rPr>
        <w:t>en</w:t>
      </w:r>
      <w:r>
        <w:rPr>
          <w:spacing w:val="-21"/>
          <w:sz w:val="24"/>
        </w:rPr>
        <w:t> </w:t>
      </w:r>
      <w:r>
        <w:rPr>
          <w:sz w:val="24"/>
        </w:rPr>
        <w:t>los</w:t>
      </w:r>
      <w:r>
        <w:rPr>
          <w:spacing w:val="-18"/>
          <w:sz w:val="24"/>
        </w:rPr>
        <w:t> </w:t>
      </w:r>
      <w:r>
        <w:rPr>
          <w:sz w:val="24"/>
        </w:rPr>
        <w:t>resultados</w:t>
      </w:r>
      <w:r>
        <w:rPr>
          <w:spacing w:val="-21"/>
          <w:sz w:val="24"/>
        </w:rPr>
        <w:t> </w:t>
      </w:r>
      <w:r>
        <w:rPr>
          <w:sz w:val="24"/>
        </w:rPr>
        <w:t>de</w:t>
      </w:r>
      <w:r>
        <w:rPr>
          <w:spacing w:val="-21"/>
          <w:sz w:val="24"/>
        </w:rPr>
        <w:t> </w:t>
      </w:r>
      <w:r>
        <w:rPr>
          <w:sz w:val="24"/>
        </w:rPr>
        <w:t>los</w:t>
      </w:r>
      <w:r>
        <w:rPr>
          <w:spacing w:val="-17"/>
          <w:sz w:val="24"/>
        </w:rPr>
        <w:t> </w:t>
      </w:r>
      <w:r>
        <w:rPr>
          <w:sz w:val="24"/>
          <w:u w:val="single"/>
        </w:rPr>
        <w:t>indicadores</w:t>
      </w:r>
      <w:r>
        <w:rPr>
          <w:spacing w:val="-21"/>
          <w:sz w:val="24"/>
          <w:u w:val="single"/>
        </w:rPr>
        <w:t> </w:t>
      </w:r>
      <w:r>
        <w:rPr>
          <w:sz w:val="24"/>
          <w:u w:val="single"/>
        </w:rPr>
        <w:t>de</w:t>
      </w:r>
      <w:r>
        <w:rPr>
          <w:spacing w:val="-19"/>
          <w:sz w:val="24"/>
          <w:u w:val="single"/>
        </w:rPr>
        <w:t> </w:t>
      </w:r>
      <w:r>
        <w:rPr>
          <w:sz w:val="24"/>
          <w:u w:val="single"/>
        </w:rPr>
        <w:t>calidad</w:t>
      </w:r>
      <w:r>
        <w:rPr>
          <w:spacing w:val="-18"/>
          <w:sz w:val="24"/>
        </w:rPr>
        <w:t> </w:t>
      </w:r>
      <w:r>
        <w:rPr>
          <w:sz w:val="24"/>
        </w:rPr>
        <w:t>de</w:t>
      </w:r>
      <w:r>
        <w:rPr>
          <w:spacing w:val="-21"/>
          <w:sz w:val="24"/>
        </w:rPr>
        <w:t> </w:t>
      </w:r>
      <w:r>
        <w:rPr>
          <w:sz w:val="24"/>
        </w:rPr>
        <w:t>la</w:t>
      </w:r>
      <w:r>
        <w:rPr>
          <w:spacing w:val="-22"/>
          <w:sz w:val="24"/>
        </w:rPr>
        <w:t> </w:t>
      </w:r>
      <w:r>
        <w:rPr>
          <w:sz w:val="24"/>
        </w:rPr>
        <w:t>PNIG.</w:t>
      </w:r>
    </w:p>
    <w:p>
      <w:pPr>
        <w:pStyle w:val="ListParagraph"/>
        <w:numPr>
          <w:ilvl w:val="2"/>
          <w:numId w:val="8"/>
        </w:numPr>
        <w:tabs>
          <w:tab w:pos="1582" w:val="left" w:leader="none"/>
        </w:tabs>
        <w:spacing w:line="304" w:lineRule="auto" w:before="35" w:after="0"/>
        <w:ind w:left="1582" w:right="703" w:hanging="360"/>
        <w:jc w:val="left"/>
        <w:rPr>
          <w:sz w:val="24"/>
        </w:rPr>
      </w:pPr>
      <w:r>
        <w:rPr>
          <w:sz w:val="24"/>
        </w:rPr>
        <w:t>Contexto</w:t>
      </w:r>
      <w:r>
        <w:rPr>
          <w:spacing w:val="40"/>
          <w:sz w:val="24"/>
        </w:rPr>
        <w:t> </w:t>
      </w:r>
      <w:r>
        <w:rPr>
          <w:sz w:val="24"/>
        </w:rPr>
        <w:t>político</w:t>
      </w:r>
      <w:r>
        <w:rPr>
          <w:spacing w:val="40"/>
          <w:sz w:val="24"/>
        </w:rPr>
        <w:t> </w:t>
      </w:r>
      <w:r>
        <w:rPr>
          <w:sz w:val="24"/>
        </w:rPr>
        <w:t>que</w:t>
      </w:r>
      <w:r>
        <w:rPr>
          <w:spacing w:val="40"/>
          <w:sz w:val="24"/>
        </w:rPr>
        <w:t> </w:t>
      </w:r>
      <w:r>
        <w:rPr>
          <w:sz w:val="24"/>
        </w:rPr>
        <w:t>pudo</w:t>
      </w:r>
      <w:r>
        <w:rPr>
          <w:spacing w:val="40"/>
          <w:sz w:val="24"/>
        </w:rPr>
        <w:t> </w:t>
      </w:r>
      <w:r>
        <w:rPr>
          <w:sz w:val="24"/>
        </w:rPr>
        <w:t>haber</w:t>
      </w:r>
      <w:r>
        <w:rPr>
          <w:spacing w:val="40"/>
          <w:sz w:val="24"/>
        </w:rPr>
        <w:t> </w:t>
      </w:r>
      <w:r>
        <w:rPr>
          <w:sz w:val="24"/>
        </w:rPr>
        <w:t>influido</w:t>
      </w:r>
      <w:r>
        <w:rPr>
          <w:spacing w:val="40"/>
          <w:sz w:val="24"/>
        </w:rPr>
        <w:t> </w:t>
      </w:r>
      <w:r>
        <w:rPr>
          <w:sz w:val="24"/>
        </w:rPr>
        <w:t>de</w:t>
      </w:r>
      <w:r>
        <w:rPr>
          <w:spacing w:val="40"/>
          <w:sz w:val="24"/>
        </w:rPr>
        <w:t> </w:t>
      </w:r>
      <w:r>
        <w:rPr>
          <w:sz w:val="24"/>
        </w:rPr>
        <w:t>forma</w:t>
      </w:r>
      <w:r>
        <w:rPr>
          <w:spacing w:val="40"/>
          <w:sz w:val="24"/>
        </w:rPr>
        <w:t> </w:t>
      </w:r>
      <w:r>
        <w:rPr>
          <w:sz w:val="24"/>
        </w:rPr>
        <w:t>positiva</w:t>
      </w:r>
      <w:r>
        <w:rPr>
          <w:spacing w:val="40"/>
          <w:sz w:val="24"/>
        </w:rPr>
        <w:t> </w:t>
      </w:r>
      <w:r>
        <w:rPr>
          <w:sz w:val="24"/>
        </w:rPr>
        <w:t>o negativa</w:t>
      </w:r>
      <w:r>
        <w:rPr>
          <w:spacing w:val="-19"/>
          <w:sz w:val="24"/>
        </w:rPr>
        <w:t> </w:t>
      </w:r>
      <w:r>
        <w:rPr>
          <w:sz w:val="24"/>
        </w:rPr>
        <w:t>en</w:t>
      </w:r>
      <w:r>
        <w:rPr>
          <w:spacing w:val="-21"/>
          <w:sz w:val="24"/>
        </w:rPr>
        <w:t> </w:t>
      </w:r>
      <w:r>
        <w:rPr>
          <w:sz w:val="24"/>
        </w:rPr>
        <w:t>los</w:t>
      </w:r>
      <w:r>
        <w:rPr>
          <w:spacing w:val="-18"/>
          <w:sz w:val="24"/>
        </w:rPr>
        <w:t> </w:t>
      </w:r>
      <w:r>
        <w:rPr>
          <w:sz w:val="24"/>
        </w:rPr>
        <w:t>resultados</w:t>
      </w:r>
      <w:r>
        <w:rPr>
          <w:spacing w:val="-21"/>
          <w:sz w:val="24"/>
        </w:rPr>
        <w:t> </w:t>
      </w:r>
      <w:r>
        <w:rPr>
          <w:sz w:val="24"/>
        </w:rPr>
        <w:t>de</w:t>
      </w:r>
      <w:r>
        <w:rPr>
          <w:spacing w:val="-21"/>
          <w:sz w:val="24"/>
        </w:rPr>
        <w:t> </w:t>
      </w:r>
      <w:r>
        <w:rPr>
          <w:sz w:val="24"/>
        </w:rPr>
        <w:t>los</w:t>
      </w:r>
      <w:r>
        <w:rPr>
          <w:spacing w:val="-17"/>
          <w:sz w:val="24"/>
        </w:rPr>
        <w:t> </w:t>
      </w:r>
      <w:r>
        <w:rPr>
          <w:sz w:val="24"/>
          <w:u w:val="single"/>
        </w:rPr>
        <w:t>indicadores</w:t>
      </w:r>
      <w:r>
        <w:rPr>
          <w:spacing w:val="-21"/>
          <w:sz w:val="24"/>
          <w:u w:val="single"/>
        </w:rPr>
        <w:t> </w:t>
      </w:r>
      <w:r>
        <w:rPr>
          <w:sz w:val="24"/>
          <w:u w:val="single"/>
        </w:rPr>
        <w:t>de</w:t>
      </w:r>
      <w:r>
        <w:rPr>
          <w:spacing w:val="-19"/>
          <w:sz w:val="24"/>
          <w:u w:val="single"/>
        </w:rPr>
        <w:t> </w:t>
      </w:r>
      <w:r>
        <w:rPr>
          <w:sz w:val="24"/>
          <w:u w:val="single"/>
        </w:rPr>
        <w:t>calidad</w:t>
      </w:r>
      <w:r>
        <w:rPr>
          <w:spacing w:val="-18"/>
          <w:sz w:val="24"/>
        </w:rPr>
        <w:t> </w:t>
      </w:r>
      <w:r>
        <w:rPr>
          <w:sz w:val="24"/>
        </w:rPr>
        <w:t>de</w:t>
      </w:r>
      <w:r>
        <w:rPr>
          <w:spacing w:val="-21"/>
          <w:sz w:val="24"/>
        </w:rPr>
        <w:t> </w:t>
      </w:r>
      <w:r>
        <w:rPr>
          <w:sz w:val="24"/>
        </w:rPr>
        <w:t>la</w:t>
      </w:r>
      <w:r>
        <w:rPr>
          <w:spacing w:val="-22"/>
          <w:sz w:val="24"/>
        </w:rPr>
        <w:t> </w:t>
      </w:r>
      <w:r>
        <w:rPr>
          <w:sz w:val="24"/>
        </w:rPr>
        <w:t>PNIG.</w:t>
      </w:r>
    </w:p>
    <w:p>
      <w:pPr>
        <w:pStyle w:val="ListParagraph"/>
        <w:numPr>
          <w:ilvl w:val="2"/>
          <w:numId w:val="8"/>
        </w:numPr>
        <w:tabs>
          <w:tab w:pos="1582" w:val="left" w:leader="none"/>
        </w:tabs>
        <w:spacing w:line="304" w:lineRule="auto" w:before="29" w:after="0"/>
        <w:ind w:left="1582" w:right="703" w:hanging="360"/>
        <w:jc w:val="left"/>
        <w:rPr>
          <w:sz w:val="24"/>
        </w:rPr>
      </w:pPr>
      <w:r>
        <w:rPr>
          <w:sz w:val="24"/>
        </w:rPr>
        <w:t>Contexto</w:t>
      </w:r>
      <w:r>
        <w:rPr>
          <w:spacing w:val="80"/>
          <w:sz w:val="24"/>
        </w:rPr>
        <w:t> </w:t>
      </w:r>
      <w:r>
        <w:rPr>
          <w:sz w:val="24"/>
        </w:rPr>
        <w:t>social</w:t>
      </w:r>
      <w:r>
        <w:rPr>
          <w:spacing w:val="80"/>
          <w:sz w:val="24"/>
        </w:rPr>
        <w:t> </w:t>
      </w:r>
      <w:r>
        <w:rPr>
          <w:sz w:val="24"/>
        </w:rPr>
        <w:t>que</w:t>
      </w:r>
      <w:r>
        <w:rPr>
          <w:spacing w:val="77"/>
          <w:sz w:val="24"/>
        </w:rPr>
        <w:t> </w:t>
      </w:r>
      <w:r>
        <w:rPr>
          <w:sz w:val="24"/>
        </w:rPr>
        <w:t>pudo</w:t>
      </w:r>
      <w:r>
        <w:rPr>
          <w:spacing w:val="80"/>
          <w:sz w:val="24"/>
        </w:rPr>
        <w:t> </w:t>
      </w:r>
      <w:r>
        <w:rPr>
          <w:sz w:val="24"/>
        </w:rPr>
        <w:t>haber</w:t>
      </w:r>
      <w:r>
        <w:rPr>
          <w:spacing w:val="80"/>
          <w:sz w:val="24"/>
        </w:rPr>
        <w:t> </w:t>
      </w:r>
      <w:r>
        <w:rPr>
          <w:sz w:val="24"/>
        </w:rPr>
        <w:t>influido</w:t>
      </w:r>
      <w:r>
        <w:rPr>
          <w:spacing w:val="78"/>
          <w:sz w:val="24"/>
        </w:rPr>
        <w:t> </w:t>
      </w:r>
      <w:r>
        <w:rPr>
          <w:sz w:val="24"/>
        </w:rPr>
        <w:t>de</w:t>
      </w:r>
      <w:r>
        <w:rPr>
          <w:spacing w:val="80"/>
          <w:sz w:val="24"/>
        </w:rPr>
        <w:t> </w:t>
      </w:r>
      <w:r>
        <w:rPr>
          <w:sz w:val="24"/>
        </w:rPr>
        <w:t>forma</w:t>
      </w:r>
      <w:r>
        <w:rPr>
          <w:spacing w:val="79"/>
          <w:sz w:val="24"/>
        </w:rPr>
        <w:t> </w:t>
      </w:r>
      <w:r>
        <w:rPr>
          <w:sz w:val="24"/>
        </w:rPr>
        <w:t>positiva</w:t>
      </w:r>
      <w:r>
        <w:rPr>
          <w:spacing w:val="80"/>
          <w:sz w:val="24"/>
        </w:rPr>
        <w:t> </w:t>
      </w:r>
      <w:r>
        <w:rPr>
          <w:sz w:val="24"/>
        </w:rPr>
        <w:t>o negativa</w:t>
      </w:r>
      <w:r>
        <w:rPr>
          <w:spacing w:val="-19"/>
          <w:sz w:val="24"/>
        </w:rPr>
        <w:t> </w:t>
      </w:r>
      <w:r>
        <w:rPr>
          <w:sz w:val="24"/>
        </w:rPr>
        <w:t>en</w:t>
      </w:r>
      <w:r>
        <w:rPr>
          <w:spacing w:val="-21"/>
          <w:sz w:val="24"/>
        </w:rPr>
        <w:t> </w:t>
      </w:r>
      <w:r>
        <w:rPr>
          <w:sz w:val="24"/>
        </w:rPr>
        <w:t>los</w:t>
      </w:r>
      <w:r>
        <w:rPr>
          <w:spacing w:val="-18"/>
          <w:sz w:val="24"/>
        </w:rPr>
        <w:t> </w:t>
      </w:r>
      <w:r>
        <w:rPr>
          <w:sz w:val="24"/>
        </w:rPr>
        <w:t>resultados</w:t>
      </w:r>
      <w:r>
        <w:rPr>
          <w:spacing w:val="-21"/>
          <w:sz w:val="24"/>
        </w:rPr>
        <w:t> </w:t>
      </w:r>
      <w:r>
        <w:rPr>
          <w:sz w:val="24"/>
        </w:rPr>
        <w:t>de</w:t>
      </w:r>
      <w:r>
        <w:rPr>
          <w:spacing w:val="-21"/>
          <w:sz w:val="24"/>
        </w:rPr>
        <w:t> </w:t>
      </w:r>
      <w:r>
        <w:rPr>
          <w:sz w:val="24"/>
        </w:rPr>
        <w:t>los</w:t>
      </w:r>
      <w:r>
        <w:rPr>
          <w:spacing w:val="-17"/>
          <w:sz w:val="24"/>
        </w:rPr>
        <w:t> </w:t>
      </w:r>
      <w:r>
        <w:rPr>
          <w:sz w:val="24"/>
          <w:u w:val="single"/>
        </w:rPr>
        <w:t>indicadores</w:t>
      </w:r>
      <w:r>
        <w:rPr>
          <w:spacing w:val="-21"/>
          <w:sz w:val="24"/>
          <w:u w:val="single"/>
        </w:rPr>
        <w:t> </w:t>
      </w:r>
      <w:r>
        <w:rPr>
          <w:sz w:val="24"/>
          <w:u w:val="single"/>
        </w:rPr>
        <w:t>de</w:t>
      </w:r>
      <w:r>
        <w:rPr>
          <w:spacing w:val="-19"/>
          <w:sz w:val="24"/>
          <w:u w:val="single"/>
        </w:rPr>
        <w:t> </w:t>
      </w:r>
      <w:r>
        <w:rPr>
          <w:sz w:val="24"/>
          <w:u w:val="single"/>
        </w:rPr>
        <w:t>calidad</w:t>
      </w:r>
      <w:r>
        <w:rPr>
          <w:spacing w:val="-18"/>
          <w:sz w:val="24"/>
        </w:rPr>
        <w:t> </w:t>
      </w:r>
      <w:r>
        <w:rPr>
          <w:sz w:val="24"/>
        </w:rPr>
        <w:t>de</w:t>
      </w:r>
      <w:r>
        <w:rPr>
          <w:spacing w:val="-21"/>
          <w:sz w:val="24"/>
        </w:rPr>
        <w:t> </w:t>
      </w:r>
      <w:r>
        <w:rPr>
          <w:sz w:val="24"/>
        </w:rPr>
        <w:t>la</w:t>
      </w:r>
      <w:r>
        <w:rPr>
          <w:spacing w:val="-22"/>
          <w:sz w:val="24"/>
        </w:rPr>
        <w:t> </w:t>
      </w:r>
      <w:r>
        <w:rPr>
          <w:sz w:val="24"/>
        </w:rPr>
        <w:t>PNIG.</w:t>
      </w:r>
    </w:p>
    <w:p>
      <w:pPr>
        <w:pStyle w:val="ListParagraph"/>
        <w:spacing w:after="0" w:line="304" w:lineRule="auto"/>
        <w:jc w:val="left"/>
        <w:rPr>
          <w:sz w:val="24"/>
        </w:rPr>
        <w:sectPr>
          <w:type w:val="continuous"/>
          <w:pgSz w:w="11910" w:h="16840"/>
          <w:pgMar w:header="713" w:footer="1000" w:top="1420" w:bottom="1200" w:left="1559" w:right="992"/>
        </w:sectPr>
      </w:pPr>
    </w:p>
    <w:p>
      <w:pPr>
        <w:pStyle w:val="BodyText"/>
        <w:spacing w:before="123"/>
        <w:ind w:left="143"/>
      </w:pPr>
      <w:r>
        <w:rPr>
          <w:spacing w:val="-2"/>
        </w:rPr>
        <w:t>Coherencia</w:t>
      </w:r>
    </w:p>
    <w:p>
      <w:pPr>
        <w:pStyle w:val="BodyText"/>
        <w:spacing w:line="324" w:lineRule="auto" w:before="262"/>
        <w:ind w:left="143" w:right="713"/>
        <w:jc w:val="both"/>
      </w:pPr>
      <w:r>
        <w:rPr/>
        <w:t>Correspondiente a la evaluación del alineamiento del nivel de cumplimiento de metas de los objetivos prioritarios y sus servicios asociados.</w:t>
      </w:r>
    </w:p>
    <w:p>
      <w:pPr>
        <w:pStyle w:val="BodyText"/>
        <w:spacing w:line="326" w:lineRule="auto" w:before="167"/>
        <w:ind w:left="143" w:right="711"/>
        <w:jc w:val="both"/>
      </w:pPr>
      <w:r>
        <w:rPr>
          <w:rFonts w:ascii="Arial" w:hAnsi="Arial"/>
          <w:i/>
        </w:rPr>
        <w:t>Análisis cuantitativo: </w:t>
      </w:r>
      <w:r>
        <w:rPr/>
        <w:t>Medida en que el cumplimiento de las metas de los indicadores de los servicios se alinea con el cumplimiento de metas de los objetivos prioritarios.</w:t>
      </w:r>
    </w:p>
    <w:p>
      <w:pPr>
        <w:pStyle w:val="BodyText"/>
        <w:spacing w:before="100"/>
      </w:pPr>
    </w:p>
    <w:p>
      <w:pPr>
        <w:pStyle w:val="ListParagraph"/>
        <w:numPr>
          <w:ilvl w:val="0"/>
          <w:numId w:val="9"/>
        </w:numPr>
        <w:tabs>
          <w:tab w:pos="995" w:val="left" w:leader="none"/>
        </w:tabs>
        <w:spacing w:line="304" w:lineRule="auto" w:before="0" w:after="0"/>
        <w:ind w:left="995" w:right="706" w:hanging="569"/>
        <w:jc w:val="left"/>
        <w:rPr>
          <w:sz w:val="24"/>
        </w:rPr>
      </w:pPr>
      <w:r>
        <w:rPr>
          <w:sz w:val="24"/>
        </w:rPr>
        <w:t>Análisis</w:t>
      </w:r>
      <w:r>
        <w:rPr>
          <w:spacing w:val="-3"/>
          <w:sz w:val="24"/>
        </w:rPr>
        <w:t> </w:t>
      </w:r>
      <w:r>
        <w:rPr>
          <w:sz w:val="24"/>
        </w:rPr>
        <w:t>comparativo</w:t>
      </w:r>
      <w:r>
        <w:rPr>
          <w:spacing w:val="-1"/>
          <w:sz w:val="24"/>
        </w:rPr>
        <w:t> </w:t>
      </w:r>
      <w:r>
        <w:rPr>
          <w:sz w:val="24"/>
        </w:rPr>
        <w:t>entre</w:t>
      </w:r>
      <w:r>
        <w:rPr>
          <w:spacing w:val="-4"/>
          <w:sz w:val="24"/>
        </w:rPr>
        <w:t> </w:t>
      </w:r>
      <w:r>
        <w:rPr>
          <w:sz w:val="24"/>
        </w:rPr>
        <w:t>la</w:t>
      </w:r>
      <w:r>
        <w:rPr>
          <w:spacing w:val="-4"/>
          <w:sz w:val="24"/>
        </w:rPr>
        <w:t> </w:t>
      </w:r>
      <w:r>
        <w:rPr>
          <w:sz w:val="24"/>
        </w:rPr>
        <w:t>tendencia</w:t>
      </w:r>
      <w:r>
        <w:rPr>
          <w:spacing w:val="-4"/>
          <w:sz w:val="24"/>
        </w:rPr>
        <w:t> </w:t>
      </w:r>
      <w:r>
        <w:rPr>
          <w:sz w:val="24"/>
        </w:rPr>
        <w:t>del</w:t>
      </w:r>
      <w:r>
        <w:rPr>
          <w:spacing w:val="-3"/>
          <w:sz w:val="24"/>
        </w:rPr>
        <w:t> </w:t>
      </w:r>
      <w:r>
        <w:rPr>
          <w:sz w:val="24"/>
        </w:rPr>
        <w:t>nivel</w:t>
      </w:r>
      <w:r>
        <w:rPr>
          <w:spacing w:val="-3"/>
          <w:sz w:val="24"/>
        </w:rPr>
        <w:t> </w:t>
      </w:r>
      <w:r>
        <w:rPr>
          <w:sz w:val="24"/>
        </w:rPr>
        <w:t>de</w:t>
      </w:r>
      <w:r>
        <w:rPr>
          <w:spacing w:val="-4"/>
          <w:sz w:val="24"/>
        </w:rPr>
        <w:t> </w:t>
      </w:r>
      <w:r>
        <w:rPr>
          <w:sz w:val="24"/>
        </w:rPr>
        <w:t>cumplimiento</w:t>
      </w:r>
      <w:r>
        <w:rPr>
          <w:spacing w:val="-4"/>
          <w:sz w:val="24"/>
        </w:rPr>
        <w:t> </w:t>
      </w:r>
      <w:r>
        <w:rPr>
          <w:sz w:val="24"/>
        </w:rPr>
        <w:t>de</w:t>
      </w:r>
      <w:r>
        <w:rPr>
          <w:spacing w:val="-4"/>
          <w:sz w:val="24"/>
        </w:rPr>
        <w:t> </w:t>
      </w:r>
      <w:r>
        <w:rPr>
          <w:sz w:val="24"/>
        </w:rPr>
        <w:t>los </w:t>
      </w:r>
      <w:r>
        <w:rPr>
          <w:w w:val="105"/>
          <w:sz w:val="24"/>
          <w:u w:val="single"/>
        </w:rPr>
        <w:t>indicadores</w:t>
      </w:r>
      <w:r>
        <w:rPr>
          <w:spacing w:val="-10"/>
          <w:w w:val="105"/>
          <w:sz w:val="24"/>
          <w:u w:val="single"/>
        </w:rPr>
        <w:t> </w:t>
      </w:r>
      <w:r>
        <w:rPr>
          <w:w w:val="105"/>
          <w:sz w:val="24"/>
          <w:u w:val="single"/>
        </w:rPr>
        <w:t>de</w:t>
      </w:r>
      <w:r>
        <w:rPr>
          <w:spacing w:val="-9"/>
          <w:w w:val="105"/>
          <w:sz w:val="24"/>
          <w:u w:val="single"/>
        </w:rPr>
        <w:t> </w:t>
      </w:r>
      <w:r>
        <w:rPr>
          <w:w w:val="105"/>
          <w:sz w:val="24"/>
          <w:u w:val="single"/>
        </w:rPr>
        <w:t>servicio</w:t>
      </w:r>
      <w:r>
        <w:rPr>
          <w:spacing w:val="-5"/>
          <w:w w:val="105"/>
          <w:sz w:val="24"/>
          <w:u w:val="single"/>
        </w:rPr>
        <w:t> </w:t>
      </w:r>
      <w:r>
        <w:rPr>
          <w:w w:val="105"/>
          <w:sz w:val="24"/>
          <w:u w:val="single"/>
        </w:rPr>
        <w:t>y</w:t>
      </w:r>
      <w:r>
        <w:rPr>
          <w:spacing w:val="-9"/>
          <w:w w:val="105"/>
          <w:sz w:val="24"/>
          <w:u w:val="single"/>
        </w:rPr>
        <w:t> </w:t>
      </w:r>
      <w:r>
        <w:rPr>
          <w:w w:val="105"/>
          <w:sz w:val="24"/>
          <w:u w:val="single"/>
        </w:rPr>
        <w:t>de</w:t>
      </w:r>
      <w:r>
        <w:rPr>
          <w:spacing w:val="-11"/>
          <w:w w:val="105"/>
          <w:sz w:val="24"/>
          <w:u w:val="single"/>
        </w:rPr>
        <w:t> </w:t>
      </w:r>
      <w:r>
        <w:rPr>
          <w:w w:val="105"/>
          <w:sz w:val="24"/>
          <w:u w:val="single"/>
        </w:rPr>
        <w:t>objetivos</w:t>
      </w:r>
      <w:r>
        <w:rPr>
          <w:spacing w:val="-10"/>
          <w:w w:val="105"/>
          <w:sz w:val="24"/>
          <w:u w:val="single"/>
        </w:rPr>
        <w:t> </w:t>
      </w:r>
      <w:r>
        <w:rPr>
          <w:w w:val="105"/>
          <w:sz w:val="24"/>
          <w:u w:val="single"/>
        </w:rPr>
        <w:t>prioritarios.</w:t>
      </w:r>
    </w:p>
    <w:p>
      <w:pPr>
        <w:pStyle w:val="BodyText"/>
        <w:spacing w:before="130"/>
      </w:pPr>
    </w:p>
    <w:p>
      <w:pPr>
        <w:pStyle w:val="BodyText"/>
        <w:spacing w:line="326" w:lineRule="auto" w:before="1"/>
        <w:ind w:left="143" w:right="708"/>
        <w:jc w:val="both"/>
      </w:pPr>
      <w:r>
        <w:rPr/>
        <w:t>Para recopilar la información que permita dar respuesta a interrogantes de evaluación</w:t>
      </w:r>
      <w:r>
        <w:rPr>
          <w:spacing w:val="-10"/>
        </w:rPr>
        <w:t> </w:t>
      </w:r>
      <w:r>
        <w:rPr/>
        <w:t>planteadas,</w:t>
      </w:r>
      <w:r>
        <w:rPr>
          <w:spacing w:val="-8"/>
        </w:rPr>
        <w:t> </w:t>
      </w:r>
      <w:r>
        <w:rPr/>
        <w:t>se</w:t>
      </w:r>
      <w:r>
        <w:rPr>
          <w:spacing w:val="-7"/>
        </w:rPr>
        <w:t> </w:t>
      </w:r>
      <w:r>
        <w:rPr/>
        <w:t>solicitó</w:t>
      </w:r>
      <w:r>
        <w:rPr>
          <w:spacing w:val="-9"/>
        </w:rPr>
        <w:t> </w:t>
      </w:r>
      <w:r>
        <w:rPr/>
        <w:t>a</w:t>
      </w:r>
      <w:r>
        <w:rPr>
          <w:spacing w:val="-7"/>
        </w:rPr>
        <w:t> </w:t>
      </w:r>
      <w:r>
        <w:rPr/>
        <w:t>los</w:t>
      </w:r>
      <w:r>
        <w:rPr>
          <w:spacing w:val="-6"/>
        </w:rPr>
        <w:t> </w:t>
      </w:r>
      <w:r>
        <w:rPr/>
        <w:t>responsables</w:t>
      </w:r>
      <w:r>
        <w:rPr>
          <w:spacing w:val="-9"/>
        </w:rPr>
        <w:t> </w:t>
      </w:r>
      <w:r>
        <w:rPr/>
        <w:t>de</w:t>
      </w:r>
      <w:r>
        <w:rPr>
          <w:spacing w:val="-7"/>
        </w:rPr>
        <w:t> </w:t>
      </w:r>
      <w:r>
        <w:rPr/>
        <w:t>los</w:t>
      </w:r>
      <w:r>
        <w:rPr>
          <w:spacing w:val="-9"/>
        </w:rPr>
        <w:t> </w:t>
      </w:r>
      <w:r>
        <w:rPr/>
        <w:t>servicios</w:t>
      </w:r>
      <w:r>
        <w:rPr>
          <w:spacing w:val="-6"/>
        </w:rPr>
        <w:t> </w:t>
      </w:r>
      <w:r>
        <w:rPr/>
        <w:t>registrar</w:t>
      </w:r>
      <w:r>
        <w:rPr>
          <w:spacing w:val="-7"/>
        </w:rPr>
        <w:t> </w:t>
      </w:r>
      <w:r>
        <w:rPr/>
        <w:t>el avance de sus indicadores en el formulario web de la Oficina de Monitoreo y Evaluación. En los casos en que la información registrada no fue suficiente, se recogió información complementaria, en coordinación con la dirección conductora de la política, a través de entrevistas abiertas, revisión documental, así como solicitud de información mediante correos, entre otros. Por lo tanto,</w:t>
      </w:r>
      <w:r>
        <w:rPr>
          <w:spacing w:val="80"/>
        </w:rPr>
        <w:t> </w:t>
      </w:r>
      <w:r>
        <w:rPr/>
        <w:t>se realizará un análisis de tipo mixto que utilizará información cualitativa y </w:t>
      </w:r>
      <w:r>
        <w:rPr>
          <w:spacing w:val="-2"/>
        </w:rPr>
        <w:t>cuantitativa.</w:t>
      </w:r>
    </w:p>
    <w:p>
      <w:pPr>
        <w:pStyle w:val="Heading2"/>
        <w:numPr>
          <w:ilvl w:val="1"/>
          <w:numId w:val="3"/>
        </w:numPr>
        <w:tabs>
          <w:tab w:pos="568" w:val="left" w:leader="none"/>
        </w:tabs>
        <w:spacing w:line="240" w:lineRule="auto" w:before="44" w:after="0"/>
        <w:ind w:left="568" w:right="0" w:hanging="425"/>
        <w:jc w:val="both"/>
      </w:pPr>
      <w:bookmarkStart w:name="_bookmark7" w:id="8"/>
      <w:bookmarkEnd w:id="8"/>
      <w:r>
        <w:rPr/>
      </w:r>
      <w:r>
        <w:rPr>
          <w:color w:val="2E5395"/>
        </w:rPr>
        <w:t>Análisis</w:t>
      </w:r>
      <w:r>
        <w:rPr>
          <w:color w:val="2E5395"/>
          <w:spacing w:val="-9"/>
        </w:rPr>
        <w:t> </w:t>
      </w:r>
      <w:r>
        <w:rPr>
          <w:color w:val="2E5395"/>
        </w:rPr>
        <w:t>de</w:t>
      </w:r>
      <w:r>
        <w:rPr>
          <w:color w:val="2E5395"/>
          <w:spacing w:val="-9"/>
        </w:rPr>
        <w:t> </w:t>
      </w:r>
      <w:r>
        <w:rPr>
          <w:color w:val="2E5395"/>
        </w:rPr>
        <w:t>los</w:t>
      </w:r>
      <w:r>
        <w:rPr>
          <w:color w:val="2E5395"/>
          <w:spacing w:val="-11"/>
        </w:rPr>
        <w:t> </w:t>
      </w:r>
      <w:r>
        <w:rPr>
          <w:color w:val="2E5395"/>
        </w:rPr>
        <w:t>resultados</w:t>
      </w:r>
      <w:r>
        <w:rPr>
          <w:color w:val="2E5395"/>
          <w:spacing w:val="-9"/>
        </w:rPr>
        <w:t> </w:t>
      </w:r>
      <w:r>
        <w:rPr>
          <w:color w:val="2E5395"/>
        </w:rPr>
        <w:t>de</w:t>
      </w:r>
      <w:r>
        <w:rPr>
          <w:color w:val="2E5395"/>
          <w:spacing w:val="-9"/>
        </w:rPr>
        <w:t> </w:t>
      </w:r>
      <w:r>
        <w:rPr>
          <w:color w:val="2E5395"/>
        </w:rPr>
        <w:t>la</w:t>
      </w:r>
      <w:r>
        <w:rPr>
          <w:color w:val="2E5395"/>
          <w:spacing w:val="-9"/>
        </w:rPr>
        <w:t> </w:t>
      </w:r>
      <w:r>
        <w:rPr>
          <w:color w:val="2E5395"/>
        </w:rPr>
        <w:t>política</w:t>
      </w:r>
      <w:r>
        <w:rPr>
          <w:color w:val="2E5395"/>
          <w:spacing w:val="-9"/>
        </w:rPr>
        <w:t> </w:t>
      </w:r>
      <w:r>
        <w:rPr>
          <w:color w:val="2E5395"/>
          <w:spacing w:val="-2"/>
        </w:rPr>
        <w:t>nacional</w:t>
      </w:r>
    </w:p>
    <w:p>
      <w:pPr>
        <w:pStyle w:val="BodyText"/>
        <w:spacing w:before="24"/>
        <w:rPr>
          <w:sz w:val="26"/>
        </w:rPr>
      </w:pPr>
    </w:p>
    <w:p>
      <w:pPr>
        <w:pStyle w:val="BodyText"/>
        <w:spacing w:line="326" w:lineRule="auto"/>
        <w:ind w:left="143" w:right="705"/>
        <w:jc w:val="both"/>
      </w:pPr>
      <w:r>
        <w:rPr/>
        <w:t>La PNIG busca alcanzar 6 objetivos prioritarios (OP) y 20 lineamientos, de los cuales 19 se implementan a través de 52 servicios (SS). De estos últimos, solo 20</w:t>
      </w:r>
      <w:r>
        <w:rPr>
          <w:spacing w:val="-9"/>
        </w:rPr>
        <w:t> </w:t>
      </w:r>
      <w:r>
        <w:rPr/>
        <w:t>SS</w:t>
      </w:r>
      <w:r>
        <w:rPr>
          <w:spacing w:val="-10"/>
        </w:rPr>
        <w:t> </w:t>
      </w:r>
      <w:r>
        <w:rPr/>
        <w:t>cuentan</w:t>
      </w:r>
      <w:r>
        <w:rPr>
          <w:spacing w:val="-9"/>
        </w:rPr>
        <w:t> </w:t>
      </w:r>
      <w:r>
        <w:rPr/>
        <w:t>con</w:t>
      </w:r>
      <w:r>
        <w:rPr>
          <w:spacing w:val="-7"/>
        </w:rPr>
        <w:t> </w:t>
      </w:r>
      <w:r>
        <w:rPr/>
        <w:t>protocolos</w:t>
      </w:r>
      <w:r>
        <w:rPr>
          <w:spacing w:val="-9"/>
        </w:rPr>
        <w:t> </w:t>
      </w:r>
      <w:r>
        <w:rPr/>
        <w:t>que</w:t>
      </w:r>
      <w:r>
        <w:rPr>
          <w:spacing w:val="-11"/>
        </w:rPr>
        <w:t> </w:t>
      </w:r>
      <w:r>
        <w:rPr/>
        <w:t>definen</w:t>
      </w:r>
      <w:r>
        <w:rPr>
          <w:spacing w:val="-11"/>
        </w:rPr>
        <w:t> </w:t>
      </w:r>
      <w:r>
        <w:rPr/>
        <w:t>indicadores</w:t>
      </w:r>
      <w:r>
        <w:rPr>
          <w:spacing w:val="-10"/>
        </w:rPr>
        <w:t> </w:t>
      </w:r>
      <w:r>
        <w:rPr/>
        <w:t>para</w:t>
      </w:r>
      <w:r>
        <w:rPr>
          <w:spacing w:val="-7"/>
        </w:rPr>
        <w:t> </w:t>
      </w:r>
      <w:r>
        <w:rPr/>
        <w:t>su</w:t>
      </w:r>
      <w:r>
        <w:rPr>
          <w:spacing w:val="-11"/>
        </w:rPr>
        <w:t> </w:t>
      </w:r>
      <w:r>
        <w:rPr/>
        <w:t>seguimiento.</w:t>
      </w:r>
      <w:r>
        <w:rPr>
          <w:spacing w:val="-7"/>
        </w:rPr>
        <w:t> </w:t>
      </w:r>
      <w:r>
        <w:rPr/>
        <w:t>Los 32 servicios restantes, al no tener protocolos, carecen de indicadores para su </w:t>
      </w:r>
      <w:r>
        <w:rPr>
          <w:spacing w:val="-2"/>
        </w:rPr>
        <w:t>medición.</w:t>
      </w:r>
    </w:p>
    <w:p>
      <w:pPr>
        <w:pStyle w:val="BodyText"/>
        <w:spacing w:line="326" w:lineRule="auto" w:before="163"/>
        <w:ind w:left="143" w:right="702"/>
        <w:jc w:val="both"/>
      </w:pPr>
      <w:r>
        <w:rPr/>
        <w:t>Los avances de los OP se miden mediante 13 indicadores, mientras los 20 servicios con protocolo que se miden a través de 38 indicadores. Cabe precisar que los 32 servicios restantes carecen de indicadores para su medición debido a que los protocolos que definen las características del servicio se encuentran en proceso de elaboración.</w:t>
      </w:r>
    </w:p>
    <w:p>
      <w:pPr>
        <w:pStyle w:val="BodyText"/>
        <w:spacing w:after="0" w:line="326" w:lineRule="auto"/>
        <w:jc w:val="both"/>
        <w:sectPr>
          <w:pgSz w:w="11910" w:h="16840"/>
          <w:pgMar w:header="713" w:footer="1000" w:top="1420" w:bottom="1200" w:left="1559" w:right="992"/>
        </w:sectPr>
      </w:pPr>
    </w:p>
    <w:p>
      <w:pPr>
        <w:pStyle w:val="BodyText"/>
        <w:spacing w:line="319" w:lineRule="auto" w:before="126"/>
        <w:ind w:left="143" w:right="709"/>
        <w:jc w:val="both"/>
      </w:pPr>
      <w:r>
        <w:rPr/>
        <w:t>En</w:t>
      </w:r>
      <w:r>
        <w:rPr>
          <w:spacing w:val="-8"/>
        </w:rPr>
        <w:t> </w:t>
      </w:r>
      <w:r>
        <w:rPr/>
        <w:t>ese</w:t>
      </w:r>
      <w:r>
        <w:rPr>
          <w:spacing w:val="-8"/>
        </w:rPr>
        <w:t> </w:t>
      </w:r>
      <w:r>
        <w:rPr/>
        <w:t>sentido,</w:t>
      </w:r>
      <w:r>
        <w:rPr>
          <w:spacing w:val="-10"/>
        </w:rPr>
        <w:t> </w:t>
      </w:r>
      <w:r>
        <w:rPr/>
        <w:t>para</w:t>
      </w:r>
      <w:r>
        <w:rPr>
          <w:spacing w:val="-8"/>
        </w:rPr>
        <w:t> </w:t>
      </w:r>
      <w:r>
        <w:rPr/>
        <w:t>el</w:t>
      </w:r>
      <w:r>
        <w:rPr>
          <w:spacing w:val="-13"/>
        </w:rPr>
        <w:t> </w:t>
      </w:r>
      <w:r>
        <w:rPr/>
        <w:t>seguimiento</w:t>
      </w:r>
      <w:r>
        <w:rPr>
          <w:spacing w:val="-11"/>
        </w:rPr>
        <w:t> </w:t>
      </w:r>
      <w:r>
        <w:rPr/>
        <w:t>del</w:t>
      </w:r>
      <w:r>
        <w:rPr>
          <w:spacing w:val="-7"/>
        </w:rPr>
        <w:t> </w:t>
      </w:r>
      <w:r>
        <w:rPr/>
        <w:t>año</w:t>
      </w:r>
      <w:r>
        <w:rPr>
          <w:spacing w:val="-7"/>
        </w:rPr>
        <w:t> </w:t>
      </w:r>
      <w:r>
        <w:rPr/>
        <w:t>2023,</w:t>
      </w:r>
      <w:r>
        <w:rPr>
          <w:spacing w:val="-7"/>
        </w:rPr>
        <w:t> </w:t>
      </w:r>
      <w:r>
        <w:rPr/>
        <w:t>correspondía</w:t>
      </w:r>
      <w:r>
        <w:rPr>
          <w:spacing w:val="-8"/>
        </w:rPr>
        <w:t> </w:t>
      </w:r>
      <w:r>
        <w:rPr/>
        <w:t>medir</w:t>
      </w:r>
      <w:r>
        <w:rPr>
          <w:spacing w:val="-8"/>
        </w:rPr>
        <w:t> </w:t>
      </w:r>
      <w:r>
        <w:rPr/>
        <w:t>el</w:t>
      </w:r>
      <w:r>
        <w:rPr>
          <w:spacing w:val="-7"/>
        </w:rPr>
        <w:t> </w:t>
      </w:r>
      <w:r>
        <w:rPr/>
        <w:t>avance de 13 indicadores de OP y de 35</w:t>
      </w:r>
      <w:hyperlink w:history="true" w:anchor="_bookmark9">
        <w:r>
          <w:rPr>
            <w:position w:val="9"/>
            <w:sz w:val="16"/>
          </w:rPr>
          <w:t>2</w:t>
        </w:r>
      </w:hyperlink>
      <w:r>
        <w:rPr>
          <w:spacing w:val="40"/>
          <w:position w:val="9"/>
          <w:sz w:val="16"/>
        </w:rPr>
        <w:t> </w:t>
      </w:r>
      <w:r>
        <w:rPr/>
        <w:t>indicadores de servicios en tanto contaban con metas para este periodo de medición.</w:t>
      </w:r>
    </w:p>
    <w:p>
      <w:pPr>
        <w:pStyle w:val="BodyText"/>
        <w:spacing w:before="168"/>
        <w:ind w:left="143"/>
        <w:jc w:val="both"/>
      </w:pPr>
      <w:bookmarkStart w:name="_bookmark8" w:id="9"/>
      <w:bookmarkEnd w:id="9"/>
      <w:r>
        <w:rPr/>
      </w:r>
      <w:r>
        <w:rPr>
          <w:color w:val="1F3762"/>
        </w:rPr>
        <w:t>Resultados</w:t>
      </w:r>
      <w:r>
        <w:rPr>
          <w:color w:val="1F3762"/>
          <w:spacing w:val="-11"/>
        </w:rPr>
        <w:t> </w:t>
      </w:r>
      <w:r>
        <w:rPr>
          <w:color w:val="1F3762"/>
        </w:rPr>
        <w:t>a</w:t>
      </w:r>
      <w:r>
        <w:rPr>
          <w:color w:val="1F3762"/>
          <w:spacing w:val="-9"/>
        </w:rPr>
        <w:t> </w:t>
      </w:r>
      <w:r>
        <w:rPr>
          <w:color w:val="1F3762"/>
        </w:rPr>
        <w:t>nivel</w:t>
      </w:r>
      <w:r>
        <w:rPr>
          <w:color w:val="1F3762"/>
          <w:spacing w:val="-12"/>
        </w:rPr>
        <w:t> </w:t>
      </w:r>
      <w:r>
        <w:rPr>
          <w:color w:val="1F3762"/>
        </w:rPr>
        <w:t>de</w:t>
      </w:r>
      <w:r>
        <w:rPr>
          <w:color w:val="1F3762"/>
          <w:spacing w:val="-13"/>
        </w:rPr>
        <w:t> </w:t>
      </w:r>
      <w:r>
        <w:rPr>
          <w:color w:val="1F3762"/>
        </w:rPr>
        <w:t>Objetivos</w:t>
      </w:r>
      <w:r>
        <w:rPr>
          <w:color w:val="1F3762"/>
          <w:spacing w:val="-11"/>
        </w:rPr>
        <w:t> </w:t>
      </w:r>
      <w:r>
        <w:rPr>
          <w:color w:val="1F3762"/>
          <w:spacing w:val="-2"/>
        </w:rPr>
        <w:t>prioritarios</w:t>
      </w:r>
    </w:p>
    <w:p>
      <w:pPr>
        <w:pStyle w:val="BodyText"/>
        <w:spacing w:before="43"/>
      </w:pPr>
    </w:p>
    <w:p>
      <w:pPr>
        <w:pStyle w:val="BodyText"/>
        <w:spacing w:line="326" w:lineRule="auto"/>
        <w:ind w:left="143" w:right="706"/>
        <w:jc w:val="both"/>
      </w:pPr>
      <w:r>
        <w:rPr/>
        <w:t>Respecto del avance de los indicadores de OP, de acuerdo con la Tabla 1, se destaca</w:t>
      </w:r>
      <w:r>
        <w:rPr>
          <w:spacing w:val="-11"/>
        </w:rPr>
        <w:t> </w:t>
      </w:r>
      <w:r>
        <w:rPr/>
        <w:t>04</w:t>
      </w:r>
      <w:r>
        <w:rPr>
          <w:spacing w:val="-12"/>
        </w:rPr>
        <w:t> </w:t>
      </w:r>
      <w:r>
        <w:rPr/>
        <w:t>de</w:t>
      </w:r>
      <w:r>
        <w:rPr>
          <w:spacing w:val="-13"/>
        </w:rPr>
        <w:t> </w:t>
      </w:r>
      <w:r>
        <w:rPr/>
        <w:t>los</w:t>
      </w:r>
      <w:r>
        <w:rPr>
          <w:spacing w:val="-11"/>
        </w:rPr>
        <w:t> </w:t>
      </w:r>
      <w:r>
        <w:rPr/>
        <w:t>13</w:t>
      </w:r>
      <w:r>
        <w:rPr>
          <w:spacing w:val="-12"/>
        </w:rPr>
        <w:t> </w:t>
      </w:r>
      <w:r>
        <w:rPr/>
        <w:t>indicadores</w:t>
      </w:r>
      <w:r>
        <w:rPr>
          <w:spacing w:val="-11"/>
        </w:rPr>
        <w:t> </w:t>
      </w:r>
      <w:r>
        <w:rPr/>
        <w:t>de</w:t>
      </w:r>
      <w:r>
        <w:rPr>
          <w:spacing w:val="-13"/>
        </w:rPr>
        <w:t> </w:t>
      </w:r>
      <w:r>
        <w:rPr/>
        <w:t>objetivos</w:t>
      </w:r>
      <w:r>
        <w:rPr>
          <w:spacing w:val="-13"/>
        </w:rPr>
        <w:t> </w:t>
      </w:r>
      <w:r>
        <w:rPr/>
        <w:t>prioritarios</w:t>
      </w:r>
      <w:r>
        <w:rPr>
          <w:spacing w:val="-11"/>
        </w:rPr>
        <w:t> </w:t>
      </w:r>
      <w:r>
        <w:rPr/>
        <w:t>(IOP)</w:t>
      </w:r>
      <w:r>
        <w:rPr>
          <w:spacing w:val="-12"/>
        </w:rPr>
        <w:t> </w:t>
      </w:r>
      <w:r>
        <w:rPr/>
        <w:t>(30.8</w:t>
      </w:r>
      <w:r>
        <w:rPr>
          <w:spacing w:val="-11"/>
        </w:rPr>
        <w:t> </w:t>
      </w:r>
      <w:r>
        <w:rPr/>
        <w:t>%)</w:t>
      </w:r>
      <w:r>
        <w:rPr>
          <w:spacing w:val="-12"/>
        </w:rPr>
        <w:t> </w:t>
      </w:r>
      <w:r>
        <w:rPr/>
        <w:t>lograron un nivel de cumplimiento alto respecto de las metas programadas al 2023: el OP.02, OP.03 y OP.05 a cargo de Ministerio de Salud (MINSA), Autoridad Nacional del Servicio Civil (SERVIR) y Ministerio de la Mujer y Poblaciones Vulnerables</w:t>
      </w:r>
      <w:r>
        <w:rPr>
          <w:spacing w:val="-6"/>
        </w:rPr>
        <w:t> </w:t>
      </w:r>
      <w:r>
        <w:rPr/>
        <w:t>(MIMP),</w:t>
      </w:r>
      <w:r>
        <w:rPr>
          <w:spacing w:val="-4"/>
        </w:rPr>
        <w:t> </w:t>
      </w:r>
      <w:r>
        <w:rPr/>
        <w:t>respectivamente.</w:t>
      </w:r>
      <w:r>
        <w:rPr>
          <w:spacing w:val="-7"/>
        </w:rPr>
        <w:t> </w:t>
      </w:r>
      <w:r>
        <w:rPr/>
        <w:t>Por</w:t>
      </w:r>
      <w:r>
        <w:rPr>
          <w:spacing w:val="-5"/>
        </w:rPr>
        <w:t> </w:t>
      </w:r>
      <w:r>
        <w:rPr/>
        <w:t>otro</w:t>
      </w:r>
      <w:r>
        <w:rPr>
          <w:spacing w:val="-4"/>
        </w:rPr>
        <w:t> </w:t>
      </w:r>
      <w:r>
        <w:rPr/>
        <w:t>lado,</w:t>
      </w:r>
      <w:r>
        <w:rPr>
          <w:spacing w:val="-4"/>
        </w:rPr>
        <w:t> </w:t>
      </w:r>
      <w:r>
        <w:rPr/>
        <w:t>3</w:t>
      </w:r>
      <w:r>
        <w:rPr>
          <w:spacing w:val="-5"/>
        </w:rPr>
        <w:t> </w:t>
      </w:r>
      <w:r>
        <w:rPr/>
        <w:t>IOP</w:t>
      </w:r>
      <w:r>
        <w:rPr>
          <w:spacing w:val="-6"/>
        </w:rPr>
        <w:t> </w:t>
      </w:r>
      <w:r>
        <w:rPr/>
        <w:t>(23.1</w:t>
      </w:r>
      <w:r>
        <w:rPr>
          <w:spacing w:val="-5"/>
        </w:rPr>
        <w:t> </w:t>
      </w:r>
      <w:r>
        <w:rPr/>
        <w:t>%)</w:t>
      </w:r>
      <w:r>
        <w:rPr>
          <w:spacing w:val="-8"/>
        </w:rPr>
        <w:t> </w:t>
      </w:r>
      <w:r>
        <w:rPr/>
        <w:t>lograron</w:t>
      </w:r>
      <w:r>
        <w:rPr>
          <w:spacing w:val="-5"/>
        </w:rPr>
        <w:t> </w:t>
      </w:r>
      <w:r>
        <w:rPr/>
        <w:t>un nivel de cumplimiento medio, los cuales están a cargo del MIMP, MINSA y </w:t>
      </w:r>
      <w:r>
        <w:rPr>
          <w:spacing w:val="-2"/>
        </w:rPr>
        <w:t>SERVIR.</w:t>
      </w:r>
    </w:p>
    <w:p>
      <w:pPr>
        <w:pStyle w:val="BodyText"/>
        <w:spacing w:line="321" w:lineRule="auto" w:before="5"/>
        <w:ind w:left="143" w:right="709"/>
        <w:jc w:val="both"/>
      </w:pPr>
      <w:r>
        <w:rPr/>
        <w:t>Asimismo, 01 indicador a cargo de la Dirección de Transversalización del Enfoque de Género – DTEG del MIMP presenta un nivel muy bajo de cumplimiento (posible falla de planeamiento de metas) y, finalmente, 5 IOP (38.5%) presentan limitaciones para reportar sus avances</w:t>
      </w:r>
      <w:hyperlink w:history="true" w:anchor="_bookmark10">
        <w:r>
          <w:rPr>
            <w:position w:val="9"/>
            <w:sz w:val="16"/>
          </w:rPr>
          <w:t>3</w:t>
        </w:r>
        <w:r>
          <w:rPr/>
          <w:t>.</w:t>
        </w:r>
      </w:hyperlink>
    </w:p>
    <w:p>
      <w:pPr>
        <w:pStyle w:val="BodyText"/>
        <w:spacing w:before="109"/>
      </w:pPr>
    </w:p>
    <w:p>
      <w:pPr>
        <w:pStyle w:val="BodyText"/>
        <w:spacing w:line="326" w:lineRule="auto"/>
        <w:ind w:left="143" w:right="713"/>
        <w:jc w:val="both"/>
      </w:pPr>
      <w:r>
        <w:rPr/>
        <w:t>A</w:t>
      </w:r>
      <w:r>
        <w:rPr>
          <w:spacing w:val="40"/>
        </w:rPr>
        <w:t> </w:t>
      </w:r>
      <w:r>
        <w:rPr/>
        <w:t>continuación,</w:t>
      </w:r>
      <w:r>
        <w:rPr>
          <w:spacing w:val="40"/>
        </w:rPr>
        <w:t> </w:t>
      </w:r>
      <w:r>
        <w:rPr/>
        <w:t>se analizará</w:t>
      </w:r>
      <w:r>
        <w:rPr>
          <w:spacing w:val="40"/>
        </w:rPr>
        <w:t> </w:t>
      </w:r>
      <w:r>
        <w:rPr/>
        <w:t>a</w:t>
      </w:r>
      <w:r>
        <w:rPr>
          <w:spacing w:val="40"/>
        </w:rPr>
        <w:t> </w:t>
      </w:r>
      <w:r>
        <w:rPr/>
        <w:t>detalle el</w:t>
      </w:r>
      <w:r>
        <w:rPr>
          <w:spacing w:val="40"/>
        </w:rPr>
        <w:t> </w:t>
      </w:r>
      <w:r>
        <w:rPr/>
        <w:t>comportamiento</w:t>
      </w:r>
      <w:r>
        <w:rPr>
          <w:spacing w:val="40"/>
        </w:rPr>
        <w:t> </w:t>
      </w:r>
      <w:r>
        <w:rPr/>
        <w:t>de</w:t>
      </w:r>
      <w:r>
        <w:rPr>
          <w:spacing w:val="40"/>
        </w:rPr>
        <w:t> </w:t>
      </w:r>
      <w:r>
        <w:rPr/>
        <w:t>dichos </w:t>
      </w:r>
      <w:r>
        <w:rPr>
          <w:spacing w:val="-2"/>
        </w:rPr>
        <w:t>indicadores.</w:t>
      </w:r>
    </w:p>
    <w:p>
      <w:pPr>
        <w:pStyle w:val="BodyText"/>
        <w:spacing w:before="102"/>
      </w:pPr>
    </w:p>
    <w:p>
      <w:pPr>
        <w:pStyle w:val="BodyText"/>
        <w:ind w:left="143"/>
        <w:jc w:val="both"/>
      </w:pPr>
      <w:r>
        <w:rPr>
          <w:spacing w:val="-2"/>
        </w:rPr>
        <w:t>OP.01</w:t>
      </w:r>
      <w:r>
        <w:rPr>
          <w:spacing w:val="-9"/>
        </w:rPr>
        <w:t> </w:t>
      </w:r>
      <w:r>
        <w:rPr>
          <w:spacing w:val="-2"/>
        </w:rPr>
        <w:t>Reducir</w:t>
      </w:r>
      <w:r>
        <w:rPr>
          <w:spacing w:val="-12"/>
        </w:rPr>
        <w:t> </w:t>
      </w:r>
      <w:r>
        <w:rPr>
          <w:spacing w:val="-2"/>
        </w:rPr>
        <w:t>la</w:t>
      </w:r>
      <w:r>
        <w:rPr>
          <w:spacing w:val="-12"/>
        </w:rPr>
        <w:t> </w:t>
      </w:r>
      <w:r>
        <w:rPr>
          <w:spacing w:val="-2"/>
        </w:rPr>
        <w:t>violencia</w:t>
      </w:r>
      <w:r>
        <w:rPr>
          <w:spacing w:val="-11"/>
        </w:rPr>
        <w:t> </w:t>
      </w:r>
      <w:r>
        <w:rPr>
          <w:spacing w:val="-2"/>
        </w:rPr>
        <w:t>hacia</w:t>
      </w:r>
      <w:r>
        <w:rPr>
          <w:spacing w:val="-14"/>
        </w:rPr>
        <w:t> </w:t>
      </w:r>
      <w:r>
        <w:rPr>
          <w:spacing w:val="-2"/>
        </w:rPr>
        <w:t>las</w:t>
      </w:r>
      <w:r>
        <w:rPr>
          <w:spacing w:val="-11"/>
        </w:rPr>
        <w:t> </w:t>
      </w:r>
      <w:r>
        <w:rPr>
          <w:spacing w:val="-2"/>
        </w:rPr>
        <w:t>mujeres</w:t>
      </w:r>
    </w:p>
    <w:p>
      <w:pPr>
        <w:pStyle w:val="BodyText"/>
        <w:spacing w:line="326" w:lineRule="auto" w:before="98"/>
        <w:ind w:left="143" w:right="706"/>
        <w:jc w:val="both"/>
      </w:pPr>
      <w:r>
        <w:rPr/>
        <w:t>El</w:t>
      </w:r>
      <w:r>
        <w:rPr>
          <w:spacing w:val="-13"/>
        </w:rPr>
        <w:t> </w:t>
      </w:r>
      <w:r>
        <w:rPr/>
        <w:t>OP.01</w:t>
      </w:r>
      <w:r>
        <w:rPr>
          <w:spacing w:val="-14"/>
        </w:rPr>
        <w:t> </w:t>
      </w:r>
      <w:r>
        <w:rPr/>
        <w:t>se</w:t>
      </w:r>
      <w:r>
        <w:rPr>
          <w:spacing w:val="-13"/>
        </w:rPr>
        <w:t> </w:t>
      </w:r>
      <w:r>
        <w:rPr/>
        <w:t>mide</w:t>
      </w:r>
      <w:r>
        <w:rPr>
          <w:spacing w:val="-13"/>
        </w:rPr>
        <w:t> </w:t>
      </w:r>
      <w:r>
        <w:rPr/>
        <w:t>a</w:t>
      </w:r>
      <w:r>
        <w:rPr>
          <w:spacing w:val="-14"/>
        </w:rPr>
        <w:t> </w:t>
      </w:r>
      <w:r>
        <w:rPr/>
        <w:t>través</w:t>
      </w:r>
      <w:r>
        <w:rPr>
          <w:spacing w:val="-13"/>
        </w:rPr>
        <w:t> </w:t>
      </w:r>
      <w:r>
        <w:rPr/>
        <w:t>del</w:t>
      </w:r>
      <w:r>
        <w:rPr>
          <w:spacing w:val="-13"/>
        </w:rPr>
        <w:t> </w:t>
      </w:r>
      <w:r>
        <w:rPr/>
        <w:t>“Porcentaje</w:t>
      </w:r>
      <w:r>
        <w:rPr>
          <w:spacing w:val="-16"/>
        </w:rPr>
        <w:t> </w:t>
      </w:r>
      <w:r>
        <w:rPr/>
        <w:t>de</w:t>
      </w:r>
      <w:r>
        <w:rPr>
          <w:spacing w:val="-13"/>
        </w:rPr>
        <w:t> </w:t>
      </w:r>
      <w:r>
        <w:rPr/>
        <w:t>mujeres</w:t>
      </w:r>
      <w:r>
        <w:rPr>
          <w:spacing w:val="-13"/>
        </w:rPr>
        <w:t> </w:t>
      </w:r>
      <w:r>
        <w:rPr/>
        <w:t>víctimas</w:t>
      </w:r>
      <w:r>
        <w:rPr>
          <w:spacing w:val="-13"/>
        </w:rPr>
        <w:t> </w:t>
      </w:r>
      <w:r>
        <w:rPr/>
        <w:t>de</w:t>
      </w:r>
      <w:r>
        <w:rPr>
          <w:spacing w:val="-13"/>
        </w:rPr>
        <w:t> </w:t>
      </w:r>
      <w:r>
        <w:rPr/>
        <w:t>violencia</w:t>
      </w:r>
      <w:r>
        <w:rPr>
          <w:spacing w:val="-14"/>
        </w:rPr>
        <w:t> </w:t>
      </w:r>
      <w:r>
        <w:rPr/>
        <w:t>hacia </w:t>
      </w:r>
      <w:r>
        <w:rPr>
          <w:spacing w:val="-2"/>
        </w:rPr>
        <w:t>las</w:t>
      </w:r>
      <w:r>
        <w:rPr>
          <w:spacing w:val="-9"/>
        </w:rPr>
        <w:t> </w:t>
      </w:r>
      <w:r>
        <w:rPr>
          <w:spacing w:val="-2"/>
        </w:rPr>
        <w:t>mujeres”,</w:t>
      </w:r>
      <w:r>
        <w:rPr>
          <w:spacing w:val="-13"/>
        </w:rPr>
        <w:t> </w:t>
      </w:r>
      <w:r>
        <w:rPr>
          <w:spacing w:val="-2"/>
        </w:rPr>
        <w:t>cuya</w:t>
      </w:r>
      <w:r>
        <w:rPr>
          <w:spacing w:val="-10"/>
        </w:rPr>
        <w:t> </w:t>
      </w:r>
      <w:r>
        <w:rPr>
          <w:spacing w:val="-2"/>
        </w:rPr>
        <w:t>fuente</w:t>
      </w:r>
      <w:r>
        <w:rPr>
          <w:spacing w:val="-10"/>
        </w:rPr>
        <w:t> </w:t>
      </w:r>
      <w:r>
        <w:rPr>
          <w:spacing w:val="-2"/>
        </w:rPr>
        <w:t>de</w:t>
      </w:r>
      <w:r>
        <w:rPr>
          <w:spacing w:val="-13"/>
        </w:rPr>
        <w:t> </w:t>
      </w:r>
      <w:r>
        <w:rPr>
          <w:spacing w:val="-2"/>
        </w:rPr>
        <w:t>datos</w:t>
      </w:r>
      <w:r>
        <w:rPr>
          <w:spacing w:val="-13"/>
        </w:rPr>
        <w:t> </w:t>
      </w:r>
      <w:r>
        <w:rPr>
          <w:spacing w:val="-2"/>
        </w:rPr>
        <w:t>para</w:t>
      </w:r>
      <w:r>
        <w:rPr>
          <w:spacing w:val="-10"/>
        </w:rPr>
        <w:t> </w:t>
      </w:r>
      <w:r>
        <w:rPr>
          <w:spacing w:val="-2"/>
        </w:rPr>
        <w:t>su</w:t>
      </w:r>
      <w:r>
        <w:rPr>
          <w:spacing w:val="-10"/>
        </w:rPr>
        <w:t> </w:t>
      </w:r>
      <w:r>
        <w:rPr>
          <w:spacing w:val="-2"/>
        </w:rPr>
        <w:t>medición</w:t>
      </w:r>
      <w:r>
        <w:rPr>
          <w:spacing w:val="-10"/>
        </w:rPr>
        <w:t> </w:t>
      </w:r>
      <w:r>
        <w:rPr>
          <w:spacing w:val="-2"/>
        </w:rPr>
        <w:t>es</w:t>
      </w:r>
      <w:r>
        <w:rPr>
          <w:spacing w:val="-9"/>
        </w:rPr>
        <w:t> </w:t>
      </w:r>
      <w:r>
        <w:rPr>
          <w:spacing w:val="-2"/>
        </w:rPr>
        <w:t>la</w:t>
      </w:r>
      <w:r>
        <w:rPr>
          <w:spacing w:val="-10"/>
        </w:rPr>
        <w:t> </w:t>
      </w:r>
      <w:r>
        <w:rPr>
          <w:spacing w:val="-2"/>
        </w:rPr>
        <w:t>ENDES,</w:t>
      </w:r>
      <w:r>
        <w:rPr>
          <w:spacing w:val="-13"/>
        </w:rPr>
        <w:t> </w:t>
      </w:r>
      <w:r>
        <w:rPr>
          <w:spacing w:val="-2"/>
        </w:rPr>
        <w:t>teniendo</w:t>
      </w:r>
      <w:r>
        <w:rPr>
          <w:spacing w:val="-13"/>
        </w:rPr>
        <w:t> </w:t>
      </w:r>
      <w:r>
        <w:rPr>
          <w:spacing w:val="-2"/>
        </w:rPr>
        <w:t>como </w:t>
      </w:r>
      <w:r>
        <w:rPr/>
        <w:t>responsable del indicador a</w:t>
      </w:r>
      <w:r>
        <w:rPr>
          <w:spacing w:val="-1"/>
        </w:rPr>
        <w:t> </w:t>
      </w:r>
      <w:r>
        <w:rPr/>
        <w:t>la Dirección</w:t>
      </w:r>
      <w:r>
        <w:rPr>
          <w:spacing w:val="-1"/>
        </w:rPr>
        <w:t> </w:t>
      </w:r>
      <w:r>
        <w:rPr/>
        <w:t>General Contra</w:t>
      </w:r>
      <w:r>
        <w:rPr>
          <w:spacing w:val="-1"/>
        </w:rPr>
        <w:t> </w:t>
      </w:r>
      <w:r>
        <w:rPr/>
        <w:t>la Violencia de Género (DGCVG)</w:t>
      </w:r>
      <w:r>
        <w:rPr>
          <w:spacing w:val="-2"/>
        </w:rPr>
        <w:t> </w:t>
      </w:r>
      <w:r>
        <w:rPr/>
        <w:t>del</w:t>
      </w:r>
      <w:r>
        <w:rPr>
          <w:spacing w:val="-1"/>
        </w:rPr>
        <w:t> </w:t>
      </w:r>
      <w:r>
        <w:rPr/>
        <w:t>Ministerio</w:t>
      </w:r>
      <w:r>
        <w:rPr>
          <w:spacing w:val="-1"/>
        </w:rPr>
        <w:t> </w:t>
      </w:r>
      <w:r>
        <w:rPr/>
        <w:t>de</w:t>
      </w:r>
      <w:r>
        <w:rPr>
          <w:spacing w:val="-2"/>
        </w:rPr>
        <w:t> </w:t>
      </w:r>
      <w:r>
        <w:rPr/>
        <w:t>la</w:t>
      </w:r>
      <w:r>
        <w:rPr>
          <w:spacing w:val="-2"/>
        </w:rPr>
        <w:t> </w:t>
      </w:r>
      <w:r>
        <w:rPr/>
        <w:t>Mujer</w:t>
      </w:r>
      <w:r>
        <w:rPr>
          <w:spacing w:val="-2"/>
        </w:rPr>
        <w:t> </w:t>
      </w:r>
      <w:r>
        <w:rPr/>
        <w:t>y</w:t>
      </w:r>
      <w:r>
        <w:rPr>
          <w:spacing w:val="-1"/>
        </w:rPr>
        <w:t> </w:t>
      </w:r>
      <w:r>
        <w:rPr/>
        <w:t>Poblaciones</w:t>
      </w:r>
      <w:r>
        <w:rPr>
          <w:spacing w:val="-1"/>
        </w:rPr>
        <w:t> </w:t>
      </w:r>
      <w:r>
        <w:rPr/>
        <w:t>Vulnerables</w:t>
      </w:r>
      <w:r>
        <w:rPr>
          <w:spacing w:val="-1"/>
        </w:rPr>
        <w:t> </w:t>
      </w:r>
      <w:r>
        <w:rPr/>
        <w:t>(MIMP).</w:t>
      </w:r>
    </w:p>
    <w:p>
      <w:pPr>
        <w:pStyle w:val="BodyText"/>
        <w:spacing w:line="326" w:lineRule="auto" w:before="162"/>
        <w:ind w:left="143" w:right="708"/>
        <w:jc w:val="both"/>
      </w:pPr>
      <w:r>
        <w:rPr/>
        <w:t>Este indicador tiene un sentido descendente, es decir que se espera que sus valores calculados vayan decreciendo cada año. Al respecto:</w:t>
      </w:r>
    </w:p>
    <w:p>
      <w:pPr>
        <w:pStyle w:val="ListParagraph"/>
        <w:numPr>
          <w:ilvl w:val="0"/>
          <w:numId w:val="10"/>
        </w:numPr>
        <w:tabs>
          <w:tab w:pos="862" w:val="left" w:leader="none"/>
        </w:tabs>
        <w:spacing w:line="326" w:lineRule="auto" w:before="161" w:after="0"/>
        <w:ind w:left="862" w:right="703" w:hanging="360"/>
        <w:jc w:val="both"/>
        <w:rPr>
          <w:sz w:val="24"/>
        </w:rPr>
      </w:pPr>
      <w:r>
        <w:rPr>
          <w:sz w:val="24"/>
        </w:rPr>
        <w:t>En el año 2023 el indicador arrojó un valor de 8.3 % de mujeres declararon</w:t>
      </w:r>
      <w:r>
        <w:rPr>
          <w:spacing w:val="-4"/>
          <w:sz w:val="24"/>
        </w:rPr>
        <w:t> </w:t>
      </w:r>
      <w:r>
        <w:rPr>
          <w:sz w:val="24"/>
        </w:rPr>
        <w:t>haber</w:t>
      </w:r>
      <w:r>
        <w:rPr>
          <w:spacing w:val="-2"/>
          <w:sz w:val="24"/>
        </w:rPr>
        <w:t> </w:t>
      </w:r>
      <w:r>
        <w:rPr>
          <w:sz w:val="24"/>
        </w:rPr>
        <w:t>sido</w:t>
      </w:r>
      <w:r>
        <w:rPr>
          <w:spacing w:val="-4"/>
          <w:sz w:val="24"/>
        </w:rPr>
        <w:t> </w:t>
      </w:r>
      <w:r>
        <w:rPr>
          <w:sz w:val="24"/>
        </w:rPr>
        <w:t>víctima</w:t>
      </w:r>
      <w:r>
        <w:rPr>
          <w:spacing w:val="-4"/>
          <w:sz w:val="24"/>
        </w:rPr>
        <w:t> </w:t>
      </w:r>
      <w:r>
        <w:rPr>
          <w:sz w:val="24"/>
        </w:rPr>
        <w:t>de</w:t>
      </w:r>
      <w:r>
        <w:rPr>
          <w:spacing w:val="-3"/>
          <w:sz w:val="24"/>
        </w:rPr>
        <w:t> </w:t>
      </w:r>
      <w:r>
        <w:rPr>
          <w:sz w:val="24"/>
        </w:rPr>
        <w:t>algún</w:t>
      </w:r>
      <w:r>
        <w:rPr>
          <w:spacing w:val="-4"/>
          <w:sz w:val="24"/>
        </w:rPr>
        <w:t> </w:t>
      </w:r>
      <w:r>
        <w:rPr>
          <w:sz w:val="24"/>
        </w:rPr>
        <w:t>tipo</w:t>
      </w:r>
      <w:r>
        <w:rPr>
          <w:spacing w:val="-4"/>
          <w:sz w:val="24"/>
        </w:rPr>
        <w:t> </w:t>
      </w:r>
      <w:r>
        <w:rPr>
          <w:sz w:val="24"/>
        </w:rPr>
        <w:t>de</w:t>
      </w:r>
      <w:r>
        <w:rPr>
          <w:spacing w:val="-3"/>
          <w:sz w:val="24"/>
        </w:rPr>
        <w:t> </w:t>
      </w:r>
      <w:r>
        <w:rPr>
          <w:sz w:val="24"/>
        </w:rPr>
        <w:t>violencia</w:t>
      </w:r>
      <w:r>
        <w:rPr>
          <w:spacing w:val="-3"/>
          <w:sz w:val="24"/>
        </w:rPr>
        <w:t> </w:t>
      </w:r>
      <w:r>
        <w:rPr>
          <w:sz w:val="24"/>
        </w:rPr>
        <w:t>en</w:t>
      </w:r>
      <w:r>
        <w:rPr>
          <w:spacing w:val="-4"/>
          <w:sz w:val="24"/>
        </w:rPr>
        <w:t> </w:t>
      </w:r>
      <w:r>
        <w:rPr>
          <w:sz w:val="24"/>
        </w:rPr>
        <w:t>los</w:t>
      </w:r>
      <w:r>
        <w:rPr>
          <w:spacing w:val="-4"/>
          <w:sz w:val="24"/>
        </w:rPr>
        <w:t> </w:t>
      </w:r>
      <w:r>
        <w:rPr>
          <w:sz w:val="24"/>
        </w:rPr>
        <w:t>últimos</w:t>
      </w:r>
      <w:r>
        <w:rPr>
          <w:spacing w:val="-4"/>
          <w:sz w:val="24"/>
        </w:rPr>
        <w:t> </w:t>
      </w:r>
      <w:r>
        <w:rPr>
          <w:sz w:val="24"/>
        </w:rPr>
        <w:t>12 meses,</w:t>
      </w:r>
      <w:r>
        <w:rPr>
          <w:spacing w:val="-8"/>
          <w:sz w:val="24"/>
        </w:rPr>
        <w:t> </w:t>
      </w:r>
      <w:r>
        <w:rPr>
          <w:sz w:val="24"/>
        </w:rPr>
        <w:t>lo</w:t>
      </w:r>
      <w:r>
        <w:rPr>
          <w:spacing w:val="-10"/>
          <w:sz w:val="24"/>
        </w:rPr>
        <w:t> </w:t>
      </w:r>
      <w:r>
        <w:rPr>
          <w:sz w:val="24"/>
        </w:rPr>
        <w:t>cual</w:t>
      </w:r>
      <w:r>
        <w:rPr>
          <w:spacing w:val="-6"/>
          <w:sz w:val="24"/>
        </w:rPr>
        <w:t> </w:t>
      </w:r>
      <w:r>
        <w:rPr>
          <w:sz w:val="24"/>
        </w:rPr>
        <w:t>muestra</w:t>
      </w:r>
      <w:r>
        <w:rPr>
          <w:spacing w:val="-10"/>
          <w:sz w:val="24"/>
        </w:rPr>
        <w:t> </w:t>
      </w:r>
      <w:r>
        <w:rPr>
          <w:sz w:val="24"/>
        </w:rPr>
        <w:t>que</w:t>
      </w:r>
      <w:r>
        <w:rPr>
          <w:spacing w:val="-10"/>
          <w:sz w:val="24"/>
        </w:rPr>
        <w:t> </w:t>
      </w:r>
      <w:r>
        <w:rPr>
          <w:sz w:val="24"/>
        </w:rPr>
        <w:t>no</w:t>
      </w:r>
      <w:r>
        <w:rPr>
          <w:spacing w:val="-6"/>
          <w:sz w:val="24"/>
        </w:rPr>
        <w:t> </w:t>
      </w:r>
      <w:r>
        <w:rPr>
          <w:sz w:val="24"/>
        </w:rPr>
        <w:t>se</w:t>
      </w:r>
      <w:r>
        <w:rPr>
          <w:spacing w:val="-7"/>
          <w:sz w:val="24"/>
        </w:rPr>
        <w:t> </w:t>
      </w:r>
      <w:r>
        <w:rPr>
          <w:sz w:val="24"/>
        </w:rPr>
        <w:t>ha</w:t>
      </w:r>
      <w:r>
        <w:rPr>
          <w:spacing w:val="-10"/>
          <w:sz w:val="24"/>
        </w:rPr>
        <w:t> </w:t>
      </w:r>
      <w:r>
        <w:rPr>
          <w:sz w:val="24"/>
        </w:rPr>
        <w:t>alcanzado</w:t>
      </w:r>
      <w:r>
        <w:rPr>
          <w:spacing w:val="-6"/>
          <w:sz w:val="24"/>
        </w:rPr>
        <w:t> </w:t>
      </w:r>
      <w:r>
        <w:rPr>
          <w:sz w:val="24"/>
        </w:rPr>
        <w:t>la</w:t>
      </w:r>
      <w:r>
        <w:rPr>
          <w:spacing w:val="-10"/>
          <w:sz w:val="24"/>
        </w:rPr>
        <w:t> </w:t>
      </w:r>
      <w:r>
        <w:rPr>
          <w:sz w:val="24"/>
        </w:rPr>
        <w:t>meta</w:t>
      </w:r>
      <w:r>
        <w:rPr>
          <w:spacing w:val="-10"/>
          <w:sz w:val="24"/>
        </w:rPr>
        <w:t> </w:t>
      </w:r>
      <w:r>
        <w:rPr>
          <w:sz w:val="24"/>
        </w:rPr>
        <w:t>programada</w:t>
      </w:r>
      <w:r>
        <w:rPr>
          <w:spacing w:val="-5"/>
          <w:sz w:val="24"/>
        </w:rPr>
        <w:t> </w:t>
      </w:r>
      <w:r>
        <w:rPr>
          <w:sz w:val="24"/>
        </w:rPr>
        <w:t>para dicho año: 6.6 %.</w:t>
      </w:r>
    </w:p>
    <w:p>
      <w:pPr>
        <w:pStyle w:val="BodyText"/>
        <w:spacing w:before="183"/>
        <w:rPr>
          <w:sz w:val="20"/>
        </w:rPr>
      </w:pPr>
      <w:r>
        <w:rPr>
          <w:sz w:val="20"/>
        </w:rPr>
        <mc:AlternateContent>
          <mc:Choice Requires="wps">
            <w:drawing>
              <wp:anchor distT="0" distB="0" distL="0" distR="0" allowOverlap="1" layoutInCell="1" locked="0" behindDoc="1" simplePos="0" relativeHeight="487588352">
                <wp:simplePos x="0" y="0"/>
                <wp:positionH relativeFrom="page">
                  <wp:posOffset>1080820</wp:posOffset>
                </wp:positionH>
                <wp:positionV relativeFrom="paragraph">
                  <wp:posOffset>277919</wp:posOffset>
                </wp:positionV>
                <wp:extent cx="1829435" cy="9525"/>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21.883429pt;width:144.020pt;height:.71997pt;mso-position-horizontal-relative:page;mso-position-vertical-relative:paragraph;z-index:-15728128;mso-wrap-distance-left:0;mso-wrap-distance-right:0" id="docshape3" filled="true" fillcolor="#000000" stroked="false">
                <v:fill type="solid"/>
                <w10:wrap type="topAndBottom"/>
              </v:rect>
            </w:pict>
          </mc:Fallback>
        </mc:AlternateContent>
      </w:r>
    </w:p>
    <w:p>
      <w:pPr>
        <w:spacing w:before="102"/>
        <w:ind w:left="143" w:right="0" w:firstLine="0"/>
        <w:jc w:val="left"/>
        <w:rPr>
          <w:rFonts w:ascii="Calibri"/>
          <w:sz w:val="20"/>
        </w:rPr>
      </w:pPr>
      <w:bookmarkStart w:name="_bookmark9" w:id="10"/>
      <w:bookmarkEnd w:id="10"/>
      <w:r>
        <w:rPr/>
      </w:r>
      <w:r>
        <w:rPr>
          <w:rFonts w:ascii="Calibri"/>
          <w:position w:val="5"/>
          <w:sz w:val="10"/>
        </w:rPr>
        <w:t>2</w:t>
      </w:r>
      <w:r>
        <w:rPr>
          <w:rFonts w:ascii="Calibri"/>
          <w:spacing w:val="7"/>
          <w:position w:val="5"/>
          <w:sz w:val="10"/>
        </w:rPr>
        <w:t> </w:t>
      </w:r>
      <w:r>
        <w:rPr>
          <w:rFonts w:ascii="Calibri"/>
          <w:sz w:val="20"/>
        </w:rPr>
        <w:t>3</w:t>
      </w:r>
      <w:r>
        <w:rPr>
          <w:rFonts w:ascii="Calibri"/>
          <w:spacing w:val="-6"/>
          <w:sz w:val="20"/>
        </w:rPr>
        <w:t> </w:t>
      </w:r>
      <w:r>
        <w:rPr>
          <w:rFonts w:ascii="Calibri"/>
          <w:sz w:val="20"/>
        </w:rPr>
        <w:t>indicadores</w:t>
      </w:r>
      <w:r>
        <w:rPr>
          <w:rFonts w:ascii="Calibri"/>
          <w:spacing w:val="-6"/>
          <w:sz w:val="20"/>
        </w:rPr>
        <w:t> </w:t>
      </w:r>
      <w:r>
        <w:rPr>
          <w:rFonts w:ascii="Calibri"/>
          <w:sz w:val="20"/>
        </w:rPr>
        <w:t>no</w:t>
      </w:r>
      <w:r>
        <w:rPr>
          <w:rFonts w:ascii="Calibri"/>
          <w:spacing w:val="-6"/>
          <w:sz w:val="20"/>
        </w:rPr>
        <w:t> </w:t>
      </w:r>
      <w:r>
        <w:rPr>
          <w:rFonts w:ascii="Calibri"/>
          <w:sz w:val="20"/>
        </w:rPr>
        <w:t>cuentan</w:t>
      </w:r>
      <w:r>
        <w:rPr>
          <w:rFonts w:ascii="Calibri"/>
          <w:spacing w:val="-5"/>
          <w:sz w:val="20"/>
        </w:rPr>
        <w:t> </w:t>
      </w:r>
      <w:r>
        <w:rPr>
          <w:rFonts w:ascii="Calibri"/>
          <w:sz w:val="20"/>
        </w:rPr>
        <w:t>con</w:t>
      </w:r>
      <w:r>
        <w:rPr>
          <w:rFonts w:ascii="Calibri"/>
          <w:spacing w:val="-8"/>
          <w:sz w:val="20"/>
        </w:rPr>
        <w:t> </w:t>
      </w:r>
      <w:r>
        <w:rPr>
          <w:rFonts w:ascii="Calibri"/>
          <w:sz w:val="20"/>
        </w:rPr>
        <w:t>meta</w:t>
      </w:r>
      <w:r>
        <w:rPr>
          <w:rFonts w:ascii="Calibri"/>
          <w:spacing w:val="-5"/>
          <w:sz w:val="20"/>
        </w:rPr>
        <w:t> </w:t>
      </w:r>
      <w:r>
        <w:rPr>
          <w:rFonts w:ascii="Calibri"/>
          <w:sz w:val="20"/>
        </w:rPr>
        <w:t>programada</w:t>
      </w:r>
      <w:r>
        <w:rPr>
          <w:rFonts w:ascii="Calibri"/>
          <w:spacing w:val="-6"/>
          <w:sz w:val="20"/>
        </w:rPr>
        <w:t> </w:t>
      </w:r>
      <w:r>
        <w:rPr>
          <w:rFonts w:ascii="Calibri"/>
          <w:sz w:val="20"/>
        </w:rPr>
        <w:t>para</w:t>
      </w:r>
      <w:r>
        <w:rPr>
          <w:rFonts w:ascii="Calibri"/>
          <w:spacing w:val="-5"/>
          <w:sz w:val="20"/>
        </w:rPr>
        <w:t> </w:t>
      </w:r>
      <w:r>
        <w:rPr>
          <w:rFonts w:ascii="Calibri"/>
          <w:sz w:val="20"/>
        </w:rPr>
        <w:t>el</w:t>
      </w:r>
      <w:r>
        <w:rPr>
          <w:rFonts w:ascii="Calibri"/>
          <w:spacing w:val="-7"/>
          <w:sz w:val="20"/>
        </w:rPr>
        <w:t> </w:t>
      </w:r>
      <w:r>
        <w:rPr>
          <w:rFonts w:ascii="Calibri"/>
          <w:spacing w:val="-2"/>
          <w:sz w:val="20"/>
        </w:rPr>
        <w:t>2023.</w:t>
      </w:r>
    </w:p>
    <w:p>
      <w:pPr>
        <w:spacing w:before="1"/>
        <w:ind w:left="143" w:right="710" w:firstLine="0"/>
        <w:jc w:val="left"/>
        <w:rPr>
          <w:rFonts w:ascii="Calibri" w:hAnsi="Calibri"/>
          <w:sz w:val="20"/>
        </w:rPr>
      </w:pPr>
      <w:bookmarkStart w:name="_bookmark10" w:id="11"/>
      <w:bookmarkEnd w:id="11"/>
      <w:r>
        <w:rPr/>
      </w:r>
      <w:r>
        <w:rPr>
          <w:rFonts w:ascii="Calibri" w:hAnsi="Calibri"/>
          <w:position w:val="5"/>
          <w:sz w:val="10"/>
        </w:rPr>
        <w:t>3 </w:t>
      </w:r>
      <w:r>
        <w:rPr>
          <w:rFonts w:ascii="Calibri" w:hAnsi="Calibri"/>
          <w:sz w:val="20"/>
        </w:rPr>
        <w:t>De los cinco (5) indicadores con limitaciones para su reporte, tres (3) provienen de la ENAHO y no cuentan</w:t>
      </w:r>
      <w:r>
        <w:rPr>
          <w:rFonts w:ascii="Calibri" w:hAnsi="Calibri"/>
          <w:spacing w:val="-3"/>
          <w:sz w:val="20"/>
        </w:rPr>
        <w:t> </w:t>
      </w:r>
      <w:r>
        <w:rPr>
          <w:rFonts w:ascii="Calibri" w:hAnsi="Calibri"/>
          <w:sz w:val="20"/>
        </w:rPr>
        <w:t>con</w:t>
      </w:r>
      <w:r>
        <w:rPr>
          <w:rFonts w:ascii="Calibri" w:hAnsi="Calibri"/>
          <w:spacing w:val="-3"/>
          <w:sz w:val="20"/>
        </w:rPr>
        <w:t> </w:t>
      </w:r>
      <w:r>
        <w:rPr>
          <w:rFonts w:ascii="Calibri" w:hAnsi="Calibri"/>
          <w:sz w:val="20"/>
        </w:rPr>
        <w:t>sintaxis</w:t>
      </w:r>
      <w:r>
        <w:rPr>
          <w:rFonts w:ascii="Calibri" w:hAnsi="Calibri"/>
          <w:spacing w:val="-5"/>
          <w:sz w:val="20"/>
        </w:rPr>
        <w:t> </w:t>
      </w:r>
      <w:r>
        <w:rPr>
          <w:rFonts w:ascii="Calibri" w:hAnsi="Calibri"/>
          <w:sz w:val="20"/>
        </w:rPr>
        <w:t>para</w:t>
      </w:r>
      <w:r>
        <w:rPr>
          <w:rFonts w:ascii="Calibri" w:hAnsi="Calibri"/>
          <w:spacing w:val="-3"/>
          <w:sz w:val="20"/>
        </w:rPr>
        <w:t> </w:t>
      </w:r>
      <w:r>
        <w:rPr>
          <w:rFonts w:ascii="Calibri" w:hAnsi="Calibri"/>
          <w:sz w:val="20"/>
        </w:rPr>
        <w:t>su</w:t>
      </w:r>
      <w:r>
        <w:rPr>
          <w:rFonts w:ascii="Calibri" w:hAnsi="Calibri"/>
          <w:spacing w:val="-5"/>
          <w:sz w:val="20"/>
        </w:rPr>
        <w:t> </w:t>
      </w:r>
      <w:r>
        <w:rPr>
          <w:rFonts w:ascii="Calibri" w:hAnsi="Calibri"/>
          <w:sz w:val="20"/>
        </w:rPr>
        <w:t>medición,</w:t>
      </w:r>
      <w:r>
        <w:rPr>
          <w:rFonts w:ascii="Calibri" w:hAnsi="Calibri"/>
          <w:spacing w:val="-3"/>
          <w:sz w:val="20"/>
        </w:rPr>
        <w:t> </w:t>
      </w:r>
      <w:r>
        <w:rPr>
          <w:rFonts w:ascii="Calibri" w:hAnsi="Calibri"/>
          <w:sz w:val="20"/>
        </w:rPr>
        <w:t>una</w:t>
      </w:r>
      <w:r>
        <w:rPr>
          <w:rFonts w:ascii="Calibri" w:hAnsi="Calibri"/>
          <w:spacing w:val="-3"/>
          <w:sz w:val="20"/>
        </w:rPr>
        <w:t> </w:t>
      </w:r>
      <w:r>
        <w:rPr>
          <w:rFonts w:ascii="Calibri" w:hAnsi="Calibri"/>
          <w:sz w:val="20"/>
        </w:rPr>
        <w:t>(1)</w:t>
      </w:r>
      <w:r>
        <w:rPr>
          <w:rFonts w:ascii="Calibri" w:hAnsi="Calibri"/>
          <w:spacing w:val="-5"/>
          <w:sz w:val="20"/>
        </w:rPr>
        <w:t> </w:t>
      </w:r>
      <w:r>
        <w:rPr>
          <w:rFonts w:ascii="Calibri" w:hAnsi="Calibri"/>
          <w:sz w:val="20"/>
        </w:rPr>
        <w:t>proviene</w:t>
      </w:r>
      <w:r>
        <w:rPr>
          <w:rFonts w:ascii="Calibri" w:hAnsi="Calibri"/>
          <w:spacing w:val="-4"/>
          <w:sz w:val="20"/>
        </w:rPr>
        <w:t> </w:t>
      </w:r>
      <w:r>
        <w:rPr>
          <w:rFonts w:ascii="Calibri" w:hAnsi="Calibri"/>
          <w:sz w:val="20"/>
        </w:rPr>
        <w:t>de</w:t>
      </w:r>
      <w:r>
        <w:rPr>
          <w:rFonts w:ascii="Calibri" w:hAnsi="Calibri"/>
          <w:spacing w:val="-2"/>
          <w:sz w:val="20"/>
        </w:rPr>
        <w:t> </w:t>
      </w:r>
      <w:r>
        <w:rPr>
          <w:rFonts w:ascii="Calibri" w:hAnsi="Calibri"/>
          <w:sz w:val="20"/>
        </w:rPr>
        <w:t>una</w:t>
      </w:r>
      <w:r>
        <w:rPr>
          <w:rFonts w:ascii="Calibri" w:hAnsi="Calibri"/>
          <w:spacing w:val="-3"/>
          <w:sz w:val="20"/>
        </w:rPr>
        <w:t> </w:t>
      </w:r>
      <w:r>
        <w:rPr>
          <w:rFonts w:ascii="Calibri" w:hAnsi="Calibri"/>
          <w:sz w:val="20"/>
        </w:rPr>
        <w:t>encuesta</w:t>
      </w:r>
      <w:r>
        <w:rPr>
          <w:rFonts w:ascii="Calibri" w:hAnsi="Calibri"/>
          <w:spacing w:val="-3"/>
          <w:sz w:val="20"/>
        </w:rPr>
        <w:t> </w:t>
      </w:r>
      <w:r>
        <w:rPr>
          <w:rFonts w:ascii="Calibri" w:hAnsi="Calibri"/>
          <w:sz w:val="20"/>
        </w:rPr>
        <w:t>no</w:t>
      </w:r>
      <w:r>
        <w:rPr>
          <w:rFonts w:ascii="Calibri" w:hAnsi="Calibri"/>
          <w:spacing w:val="-3"/>
          <w:sz w:val="20"/>
        </w:rPr>
        <w:t> </w:t>
      </w:r>
      <w:r>
        <w:rPr>
          <w:rFonts w:ascii="Calibri" w:hAnsi="Calibri"/>
          <w:sz w:val="20"/>
        </w:rPr>
        <w:t>implementación</w:t>
      </w:r>
      <w:r>
        <w:rPr>
          <w:rFonts w:ascii="Calibri" w:hAnsi="Calibri"/>
          <w:spacing w:val="-3"/>
          <w:sz w:val="20"/>
        </w:rPr>
        <w:t> </w:t>
      </w:r>
      <w:r>
        <w:rPr>
          <w:rFonts w:ascii="Calibri" w:hAnsi="Calibri"/>
          <w:sz w:val="20"/>
        </w:rPr>
        <w:t>(ENARES)</w:t>
      </w:r>
      <w:r>
        <w:rPr>
          <w:rFonts w:ascii="Calibri" w:hAnsi="Calibri"/>
          <w:spacing w:val="-4"/>
          <w:sz w:val="20"/>
        </w:rPr>
        <w:t> </w:t>
      </w:r>
      <w:r>
        <w:rPr>
          <w:rFonts w:ascii="Calibri" w:hAnsi="Calibri"/>
          <w:sz w:val="20"/>
        </w:rPr>
        <w:t>y otra (1) no cuenta base de datos para su estimación.</w:t>
      </w:r>
    </w:p>
    <w:p>
      <w:pPr>
        <w:spacing w:after="0"/>
        <w:jc w:val="left"/>
        <w:rPr>
          <w:rFonts w:ascii="Calibri" w:hAnsi="Calibri"/>
          <w:sz w:val="20"/>
        </w:rPr>
        <w:sectPr>
          <w:pgSz w:w="11910" w:h="16840"/>
          <w:pgMar w:header="713" w:footer="1000" w:top="1420" w:bottom="1200" w:left="1559" w:right="992"/>
        </w:sectPr>
      </w:pPr>
    </w:p>
    <w:p>
      <w:pPr>
        <w:pStyle w:val="ListParagraph"/>
        <w:numPr>
          <w:ilvl w:val="0"/>
          <w:numId w:val="10"/>
        </w:numPr>
        <w:tabs>
          <w:tab w:pos="862" w:val="left" w:leader="none"/>
        </w:tabs>
        <w:spacing w:line="326" w:lineRule="auto" w:before="126" w:after="0"/>
        <w:ind w:left="862" w:right="704" w:hanging="360"/>
        <w:jc w:val="both"/>
        <w:rPr>
          <w:sz w:val="24"/>
        </w:rPr>
      </w:pPr>
      <w:r>
        <w:rPr>
          <w:sz w:val="24"/>
        </w:rPr>
        <w:t>El nivel de avance para el año 2023 correspondió a 79.5 % respecto a la meta, considerado como un nivel de cumplimiento medio, un resultado inferior al nivel de avance identificado en 2022 (79.8 %) y más aún respecto al identificado en 2021 (102.6 %).</w:t>
      </w:r>
    </w:p>
    <w:p>
      <w:pPr>
        <w:pStyle w:val="ListParagraph"/>
        <w:numPr>
          <w:ilvl w:val="0"/>
          <w:numId w:val="10"/>
        </w:numPr>
        <w:tabs>
          <w:tab w:pos="862" w:val="left" w:leader="none"/>
        </w:tabs>
        <w:spacing w:line="326" w:lineRule="auto" w:before="0" w:after="0"/>
        <w:ind w:left="862" w:right="703" w:hanging="360"/>
        <w:jc w:val="both"/>
        <w:rPr>
          <w:sz w:val="24"/>
        </w:rPr>
      </w:pPr>
      <w:r>
        <w:rPr>
          <w:sz w:val="24"/>
        </w:rPr>
        <w:t>Asimismo, si bien el valor del indicador en el año 2023 decreció en 0.3 puntos porcentuales (p.p.) respecto al 2022 (8.6 %), se mantiene en 1.7</w:t>
      </w:r>
    </w:p>
    <w:p>
      <w:pPr>
        <w:pStyle w:val="BodyText"/>
        <w:spacing w:line="326" w:lineRule="auto"/>
        <w:ind w:left="862" w:right="704"/>
        <w:jc w:val="both"/>
      </w:pPr>
      <w:r>
        <w:rPr>
          <w:w w:val="105"/>
        </w:rPr>
        <w:t>p.p.</w:t>
      </w:r>
      <w:r>
        <w:rPr>
          <w:w w:val="105"/>
        </w:rPr>
        <w:t> por</w:t>
      </w:r>
      <w:r>
        <w:rPr>
          <w:w w:val="105"/>
        </w:rPr>
        <w:t> encima</w:t>
      </w:r>
      <w:r>
        <w:rPr>
          <w:w w:val="105"/>
        </w:rPr>
        <w:t> del</w:t>
      </w:r>
      <w:r>
        <w:rPr>
          <w:w w:val="105"/>
        </w:rPr>
        <w:t> valor</w:t>
      </w:r>
      <w:r>
        <w:rPr>
          <w:w w:val="105"/>
        </w:rPr>
        <w:t> de</w:t>
      </w:r>
      <w:r>
        <w:rPr>
          <w:w w:val="105"/>
        </w:rPr>
        <w:t> 2019</w:t>
      </w:r>
      <w:r>
        <w:rPr>
          <w:w w:val="105"/>
        </w:rPr>
        <w:t> (10.0</w:t>
      </w:r>
      <w:r>
        <w:rPr>
          <w:w w:val="105"/>
        </w:rPr>
        <w:t> %),</w:t>
      </w:r>
      <w:r>
        <w:rPr>
          <w:w w:val="105"/>
        </w:rPr>
        <w:t> año</w:t>
      </w:r>
      <w:r>
        <w:rPr>
          <w:w w:val="105"/>
        </w:rPr>
        <w:t> en</w:t>
      </w:r>
      <w:r>
        <w:rPr>
          <w:w w:val="105"/>
        </w:rPr>
        <w:t> que</w:t>
      </w:r>
      <w:r>
        <w:rPr>
          <w:w w:val="105"/>
        </w:rPr>
        <w:t> se</w:t>
      </w:r>
      <w:r>
        <w:rPr>
          <w:w w:val="105"/>
        </w:rPr>
        <w:t> realizó</w:t>
      </w:r>
      <w:r>
        <w:rPr>
          <w:w w:val="105"/>
        </w:rPr>
        <w:t> la primera</w:t>
      </w:r>
      <w:r>
        <w:rPr>
          <w:w w:val="105"/>
        </w:rPr>
        <w:t> medición,</w:t>
      </w:r>
      <w:r>
        <w:rPr>
          <w:w w:val="105"/>
        </w:rPr>
        <w:t> lo</w:t>
      </w:r>
      <w:r>
        <w:rPr>
          <w:w w:val="105"/>
        </w:rPr>
        <w:t> cual</w:t>
      </w:r>
      <w:r>
        <w:rPr>
          <w:w w:val="105"/>
        </w:rPr>
        <w:t> sugiere</w:t>
      </w:r>
      <w:r>
        <w:rPr>
          <w:w w:val="105"/>
        </w:rPr>
        <w:t> hasta</w:t>
      </w:r>
      <w:r>
        <w:rPr>
          <w:w w:val="105"/>
        </w:rPr>
        <w:t> el</w:t>
      </w:r>
      <w:r>
        <w:rPr>
          <w:w w:val="105"/>
        </w:rPr>
        <w:t> momento</w:t>
      </w:r>
      <w:r>
        <w:rPr>
          <w:w w:val="105"/>
        </w:rPr>
        <w:t> una</w:t>
      </w:r>
      <w:r>
        <w:rPr>
          <w:w w:val="105"/>
        </w:rPr>
        <w:t> tendencia </w:t>
      </w:r>
      <w:r>
        <w:rPr/>
        <w:t>general que no corresponde a lo que se espera tomando en cuenta que </w:t>
      </w:r>
      <w:r>
        <w:rPr>
          <w:w w:val="105"/>
        </w:rPr>
        <w:t>esta</w:t>
      </w:r>
      <w:r>
        <w:rPr>
          <w:spacing w:val="-11"/>
          <w:w w:val="105"/>
        </w:rPr>
        <w:t> </w:t>
      </w:r>
      <w:r>
        <w:rPr>
          <w:w w:val="105"/>
        </w:rPr>
        <w:t>debería</w:t>
      </w:r>
      <w:r>
        <w:rPr>
          <w:spacing w:val="-11"/>
          <w:w w:val="105"/>
        </w:rPr>
        <w:t> </w:t>
      </w:r>
      <w:r>
        <w:rPr>
          <w:w w:val="105"/>
        </w:rPr>
        <w:t>seguir</w:t>
      </w:r>
      <w:r>
        <w:rPr>
          <w:spacing w:val="-10"/>
          <w:w w:val="105"/>
        </w:rPr>
        <w:t> </w:t>
      </w:r>
      <w:r>
        <w:rPr>
          <w:w w:val="105"/>
        </w:rPr>
        <w:t>la</w:t>
      </w:r>
      <w:r>
        <w:rPr>
          <w:spacing w:val="-11"/>
          <w:w w:val="105"/>
        </w:rPr>
        <w:t> </w:t>
      </w:r>
      <w:r>
        <w:rPr>
          <w:w w:val="105"/>
        </w:rPr>
        <w:t>tendencia</w:t>
      </w:r>
      <w:r>
        <w:rPr>
          <w:spacing w:val="-13"/>
          <w:w w:val="105"/>
        </w:rPr>
        <w:t> </w:t>
      </w:r>
      <w:r>
        <w:rPr>
          <w:w w:val="105"/>
        </w:rPr>
        <w:t>de</w:t>
      </w:r>
      <w:r>
        <w:rPr>
          <w:spacing w:val="-11"/>
          <w:w w:val="105"/>
        </w:rPr>
        <w:t> </w:t>
      </w:r>
      <w:r>
        <w:rPr>
          <w:w w:val="105"/>
        </w:rPr>
        <w:t>la</w:t>
      </w:r>
      <w:r>
        <w:rPr>
          <w:spacing w:val="-11"/>
          <w:w w:val="105"/>
        </w:rPr>
        <w:t> </w:t>
      </w:r>
      <w:r>
        <w:rPr>
          <w:w w:val="105"/>
        </w:rPr>
        <w:t>meta.</w:t>
      </w:r>
    </w:p>
    <w:p>
      <w:pPr>
        <w:pStyle w:val="BodyText"/>
        <w:spacing w:line="326" w:lineRule="auto" w:before="162"/>
        <w:ind w:left="143" w:right="704"/>
        <w:jc w:val="both"/>
      </w:pPr>
      <w:r>
        <w:rPr/>
        <w:t>Respecto de dichos resultados, cabe resaltar que, existen departamentos donde las mujeres que declaran haber sufrido algún tipo de violencia en los últimos</w:t>
      </w:r>
      <w:r>
        <w:rPr>
          <w:spacing w:val="-12"/>
        </w:rPr>
        <w:t> </w:t>
      </w:r>
      <w:r>
        <w:rPr/>
        <w:t>12</w:t>
      </w:r>
      <w:r>
        <w:rPr>
          <w:spacing w:val="-13"/>
        </w:rPr>
        <w:t> </w:t>
      </w:r>
      <w:r>
        <w:rPr/>
        <w:t>meses</w:t>
      </w:r>
      <w:r>
        <w:rPr>
          <w:spacing w:val="-14"/>
        </w:rPr>
        <w:t> </w:t>
      </w:r>
      <w:r>
        <w:rPr/>
        <w:t>se</w:t>
      </w:r>
      <w:r>
        <w:rPr>
          <w:spacing w:val="-12"/>
        </w:rPr>
        <w:t> </w:t>
      </w:r>
      <w:r>
        <w:rPr/>
        <w:t>encuentran</w:t>
      </w:r>
      <w:r>
        <w:rPr>
          <w:spacing w:val="-12"/>
        </w:rPr>
        <w:t> </w:t>
      </w:r>
      <w:r>
        <w:rPr/>
        <w:t>por</w:t>
      </w:r>
      <w:r>
        <w:rPr>
          <w:spacing w:val="-12"/>
        </w:rPr>
        <w:t> </w:t>
      </w:r>
      <w:r>
        <w:rPr/>
        <w:t>encima</w:t>
      </w:r>
      <w:r>
        <w:rPr>
          <w:spacing w:val="-15"/>
        </w:rPr>
        <w:t> </w:t>
      </w:r>
      <w:r>
        <w:rPr/>
        <w:t>del</w:t>
      </w:r>
      <w:r>
        <w:rPr>
          <w:spacing w:val="-11"/>
        </w:rPr>
        <w:t> </w:t>
      </w:r>
      <w:r>
        <w:rPr/>
        <w:t>valor</w:t>
      </w:r>
      <w:r>
        <w:rPr>
          <w:spacing w:val="-12"/>
        </w:rPr>
        <w:t> </w:t>
      </w:r>
      <w:r>
        <w:rPr/>
        <w:t>nacional</w:t>
      </w:r>
      <w:r>
        <w:rPr>
          <w:spacing w:val="-12"/>
        </w:rPr>
        <w:t> </w:t>
      </w:r>
      <w:r>
        <w:rPr/>
        <w:t>(8.3%);</w:t>
      </w:r>
      <w:r>
        <w:rPr>
          <w:spacing w:val="-12"/>
        </w:rPr>
        <w:t> </w:t>
      </w:r>
      <w:r>
        <w:rPr/>
        <w:t>los</w:t>
      </w:r>
      <w:r>
        <w:rPr>
          <w:spacing w:val="-14"/>
        </w:rPr>
        <w:t> </w:t>
      </w:r>
      <w:r>
        <w:rPr/>
        <w:t>cuales corresponden a Apurímac (14.2 %), Loreto (13.4 %), Cusco (10.8 %), Huánuco </w:t>
      </w:r>
      <w:r>
        <w:rPr>
          <w:spacing w:val="-2"/>
        </w:rPr>
        <w:t>(10.5</w:t>
      </w:r>
      <w:r>
        <w:rPr>
          <w:spacing w:val="-6"/>
        </w:rPr>
        <w:t> </w:t>
      </w:r>
      <w:r>
        <w:rPr>
          <w:spacing w:val="-2"/>
        </w:rPr>
        <w:t>%),</w:t>
      </w:r>
      <w:r>
        <w:rPr>
          <w:spacing w:val="-5"/>
        </w:rPr>
        <w:t> </w:t>
      </w:r>
      <w:r>
        <w:rPr>
          <w:spacing w:val="-2"/>
        </w:rPr>
        <w:t>Callao</w:t>
      </w:r>
      <w:r>
        <w:rPr>
          <w:spacing w:val="-5"/>
        </w:rPr>
        <w:t> </w:t>
      </w:r>
      <w:r>
        <w:rPr>
          <w:spacing w:val="-2"/>
        </w:rPr>
        <w:t>(10.3</w:t>
      </w:r>
      <w:r>
        <w:rPr>
          <w:spacing w:val="-8"/>
        </w:rPr>
        <w:t> </w:t>
      </w:r>
      <w:r>
        <w:rPr>
          <w:spacing w:val="-2"/>
        </w:rPr>
        <w:t>%),</w:t>
      </w:r>
      <w:r>
        <w:rPr>
          <w:spacing w:val="-3"/>
        </w:rPr>
        <w:t> </w:t>
      </w:r>
      <w:r>
        <w:rPr>
          <w:spacing w:val="-2"/>
        </w:rPr>
        <w:t>Junín</w:t>
      </w:r>
      <w:r>
        <w:rPr>
          <w:spacing w:val="-5"/>
        </w:rPr>
        <w:t> </w:t>
      </w:r>
      <w:r>
        <w:rPr>
          <w:spacing w:val="-2"/>
        </w:rPr>
        <w:t>(10.1</w:t>
      </w:r>
      <w:r>
        <w:rPr>
          <w:spacing w:val="-6"/>
        </w:rPr>
        <w:t> </w:t>
      </w:r>
      <w:r>
        <w:rPr>
          <w:spacing w:val="-2"/>
        </w:rPr>
        <w:t>%),</w:t>
      </w:r>
      <w:r>
        <w:rPr>
          <w:spacing w:val="-7"/>
        </w:rPr>
        <w:t> </w:t>
      </w:r>
      <w:r>
        <w:rPr>
          <w:spacing w:val="-2"/>
        </w:rPr>
        <w:t>Madre</w:t>
      </w:r>
      <w:r>
        <w:rPr>
          <w:spacing w:val="-5"/>
        </w:rPr>
        <w:t> </w:t>
      </w:r>
      <w:r>
        <w:rPr>
          <w:spacing w:val="-2"/>
        </w:rPr>
        <w:t>de</w:t>
      </w:r>
      <w:r>
        <w:rPr>
          <w:spacing w:val="-7"/>
        </w:rPr>
        <w:t> </w:t>
      </w:r>
      <w:r>
        <w:rPr>
          <w:spacing w:val="-2"/>
        </w:rPr>
        <w:t>Dios</w:t>
      </w:r>
      <w:r>
        <w:rPr>
          <w:spacing w:val="-6"/>
        </w:rPr>
        <w:t> </w:t>
      </w:r>
      <w:r>
        <w:rPr>
          <w:spacing w:val="-2"/>
        </w:rPr>
        <w:t>(9.7%),</w:t>
      </w:r>
      <w:r>
        <w:rPr>
          <w:spacing w:val="-5"/>
        </w:rPr>
        <w:t> </w:t>
      </w:r>
      <w:r>
        <w:rPr>
          <w:spacing w:val="-2"/>
        </w:rPr>
        <w:t>Ancash</w:t>
      </w:r>
      <w:r>
        <w:rPr>
          <w:spacing w:val="-6"/>
        </w:rPr>
        <w:t> </w:t>
      </w:r>
      <w:r>
        <w:rPr>
          <w:spacing w:val="-2"/>
        </w:rPr>
        <w:t>(9.6</w:t>
      </w:r>
      <w:r>
        <w:rPr>
          <w:spacing w:val="-8"/>
        </w:rPr>
        <w:t> </w:t>
      </w:r>
      <w:r>
        <w:rPr>
          <w:spacing w:val="-5"/>
        </w:rPr>
        <w:t>%),</w:t>
      </w:r>
    </w:p>
    <w:p>
      <w:pPr>
        <w:pStyle w:val="BodyText"/>
        <w:spacing w:before="2"/>
        <w:ind w:left="143"/>
        <w:jc w:val="both"/>
      </w:pPr>
      <w:r>
        <w:rPr/>
        <w:t>Arequipa</w:t>
      </w:r>
      <w:r>
        <w:rPr>
          <w:spacing w:val="76"/>
        </w:rPr>
        <w:t> </w:t>
      </w:r>
      <w:r>
        <w:rPr/>
        <w:t>(9,6%),</w:t>
      </w:r>
      <w:r>
        <w:rPr>
          <w:spacing w:val="75"/>
        </w:rPr>
        <w:t> </w:t>
      </w:r>
      <w:r>
        <w:rPr/>
        <w:t>Puno</w:t>
      </w:r>
      <w:r>
        <w:rPr>
          <w:spacing w:val="77"/>
        </w:rPr>
        <w:t> </w:t>
      </w:r>
      <w:r>
        <w:rPr/>
        <w:t>(9.3</w:t>
      </w:r>
      <w:r>
        <w:rPr>
          <w:spacing w:val="77"/>
        </w:rPr>
        <w:t> </w:t>
      </w:r>
      <w:r>
        <w:rPr/>
        <w:t>%),</w:t>
      </w:r>
      <w:r>
        <w:rPr>
          <w:spacing w:val="77"/>
        </w:rPr>
        <w:t> </w:t>
      </w:r>
      <w:r>
        <w:rPr/>
        <w:t>Lambayeque</w:t>
      </w:r>
      <w:r>
        <w:rPr>
          <w:spacing w:val="76"/>
        </w:rPr>
        <w:t> </w:t>
      </w:r>
      <w:r>
        <w:rPr/>
        <w:t>(9.1</w:t>
      </w:r>
      <w:r>
        <w:rPr>
          <w:spacing w:val="74"/>
        </w:rPr>
        <w:t> </w:t>
      </w:r>
      <w:r>
        <w:rPr/>
        <w:t>%),</w:t>
      </w:r>
      <w:r>
        <w:rPr>
          <w:spacing w:val="77"/>
        </w:rPr>
        <w:t> </w:t>
      </w:r>
      <w:r>
        <w:rPr/>
        <w:t>Ayacucho</w:t>
      </w:r>
      <w:r>
        <w:rPr>
          <w:spacing w:val="77"/>
        </w:rPr>
        <w:t> </w:t>
      </w:r>
      <w:r>
        <w:rPr/>
        <w:t>(8.8</w:t>
      </w:r>
      <w:r>
        <w:rPr>
          <w:spacing w:val="77"/>
        </w:rPr>
        <w:t> </w:t>
      </w:r>
      <w:r>
        <w:rPr>
          <w:spacing w:val="-5"/>
        </w:rPr>
        <w:t>%),</w:t>
      </w:r>
    </w:p>
    <w:p>
      <w:pPr>
        <w:pStyle w:val="BodyText"/>
        <w:spacing w:before="99"/>
        <w:ind w:left="143"/>
        <w:jc w:val="both"/>
      </w:pPr>
      <w:r>
        <w:rPr>
          <w:spacing w:val="-6"/>
        </w:rPr>
        <w:t>Huancavelica</w:t>
      </w:r>
      <w:r>
        <w:rPr>
          <w:spacing w:val="1"/>
        </w:rPr>
        <w:t> </w:t>
      </w:r>
      <w:r>
        <w:rPr>
          <w:spacing w:val="-6"/>
        </w:rPr>
        <w:t>(8.8%),</w:t>
      </w:r>
      <w:r>
        <w:rPr>
          <w:spacing w:val="3"/>
        </w:rPr>
        <w:t> </w:t>
      </w:r>
      <w:r>
        <w:rPr>
          <w:spacing w:val="-6"/>
        </w:rPr>
        <w:t>Piura</w:t>
      </w:r>
      <w:r>
        <w:rPr>
          <w:spacing w:val="2"/>
        </w:rPr>
        <w:t> </w:t>
      </w:r>
      <w:r>
        <w:rPr>
          <w:spacing w:val="-6"/>
        </w:rPr>
        <w:t>(8.6%).</w:t>
      </w:r>
    </w:p>
    <w:p>
      <w:pPr>
        <w:spacing w:before="256"/>
        <w:ind w:left="1160" w:right="0" w:firstLine="0"/>
        <w:jc w:val="left"/>
        <w:rPr>
          <w:sz w:val="20"/>
        </w:rPr>
      </w:pPr>
      <w:r>
        <w:rPr>
          <w:color w:val="44536A"/>
          <w:sz w:val="20"/>
        </w:rPr>
        <w:t>Gráfico</w:t>
      </w:r>
      <w:r>
        <w:rPr>
          <w:color w:val="44536A"/>
          <w:spacing w:val="-10"/>
          <w:sz w:val="20"/>
        </w:rPr>
        <w:t> </w:t>
      </w:r>
      <w:r>
        <w:rPr>
          <w:color w:val="44536A"/>
          <w:sz w:val="20"/>
        </w:rPr>
        <w:t>1.</w:t>
      </w:r>
      <w:r>
        <w:rPr>
          <w:color w:val="44536A"/>
          <w:spacing w:val="36"/>
          <w:sz w:val="20"/>
        </w:rPr>
        <w:t> </w:t>
      </w:r>
      <w:r>
        <w:rPr>
          <w:color w:val="44536A"/>
          <w:sz w:val="20"/>
        </w:rPr>
        <w:t>Porcentaje</w:t>
      </w:r>
      <w:r>
        <w:rPr>
          <w:color w:val="44536A"/>
          <w:spacing w:val="-11"/>
          <w:sz w:val="20"/>
        </w:rPr>
        <w:t> </w:t>
      </w:r>
      <w:r>
        <w:rPr>
          <w:color w:val="44536A"/>
          <w:sz w:val="20"/>
        </w:rPr>
        <w:t>de</w:t>
      </w:r>
      <w:r>
        <w:rPr>
          <w:color w:val="44536A"/>
          <w:spacing w:val="-10"/>
          <w:sz w:val="20"/>
        </w:rPr>
        <w:t> </w:t>
      </w:r>
      <w:r>
        <w:rPr>
          <w:color w:val="44536A"/>
          <w:sz w:val="20"/>
        </w:rPr>
        <w:t>mujeres</w:t>
      </w:r>
      <w:r>
        <w:rPr>
          <w:color w:val="44536A"/>
          <w:spacing w:val="-10"/>
          <w:sz w:val="20"/>
        </w:rPr>
        <w:t> </w:t>
      </w:r>
      <w:r>
        <w:rPr>
          <w:color w:val="44536A"/>
          <w:sz w:val="20"/>
        </w:rPr>
        <w:t>víctimas</w:t>
      </w:r>
      <w:r>
        <w:rPr>
          <w:color w:val="44536A"/>
          <w:spacing w:val="-10"/>
          <w:sz w:val="20"/>
        </w:rPr>
        <w:t> </w:t>
      </w:r>
      <w:r>
        <w:rPr>
          <w:color w:val="44536A"/>
          <w:sz w:val="20"/>
        </w:rPr>
        <w:t>de</w:t>
      </w:r>
      <w:r>
        <w:rPr>
          <w:color w:val="44536A"/>
          <w:spacing w:val="-10"/>
          <w:sz w:val="20"/>
        </w:rPr>
        <w:t> </w:t>
      </w:r>
      <w:r>
        <w:rPr>
          <w:color w:val="44536A"/>
          <w:sz w:val="20"/>
        </w:rPr>
        <w:t>violencia</w:t>
      </w:r>
      <w:r>
        <w:rPr>
          <w:color w:val="44536A"/>
          <w:spacing w:val="-11"/>
          <w:sz w:val="20"/>
        </w:rPr>
        <w:t> </w:t>
      </w:r>
      <w:r>
        <w:rPr>
          <w:color w:val="44536A"/>
          <w:sz w:val="20"/>
        </w:rPr>
        <w:t>hacia</w:t>
      </w:r>
      <w:r>
        <w:rPr>
          <w:color w:val="44536A"/>
          <w:spacing w:val="-10"/>
          <w:sz w:val="20"/>
        </w:rPr>
        <w:t> </w:t>
      </w:r>
      <w:r>
        <w:rPr>
          <w:color w:val="44536A"/>
          <w:sz w:val="20"/>
        </w:rPr>
        <w:t>las</w:t>
      </w:r>
      <w:r>
        <w:rPr>
          <w:color w:val="44536A"/>
          <w:spacing w:val="-10"/>
          <w:sz w:val="20"/>
        </w:rPr>
        <w:t> </w:t>
      </w:r>
      <w:r>
        <w:rPr>
          <w:color w:val="44536A"/>
          <w:spacing w:val="-2"/>
          <w:sz w:val="20"/>
        </w:rPr>
        <w:t>mujeres</w:t>
      </w:r>
    </w:p>
    <w:p>
      <w:pPr>
        <w:pStyle w:val="BodyText"/>
        <w:rPr>
          <w:sz w:val="16"/>
        </w:rPr>
      </w:pPr>
      <w:r>
        <w:rPr>
          <w:sz w:val="16"/>
        </w:rPr>
        <mc:AlternateContent>
          <mc:Choice Requires="wps">
            <w:drawing>
              <wp:anchor distT="0" distB="0" distL="0" distR="0" allowOverlap="1" layoutInCell="1" locked="0" behindDoc="1" simplePos="0" relativeHeight="487588864">
                <wp:simplePos x="0" y="0"/>
                <wp:positionH relativeFrom="page">
                  <wp:posOffset>1195705</wp:posOffset>
                </wp:positionH>
                <wp:positionV relativeFrom="paragraph">
                  <wp:posOffset>132274</wp:posOffset>
                </wp:positionV>
                <wp:extent cx="5168900" cy="2463800"/>
                <wp:effectExtent l="0" t="0" r="0" b="0"/>
                <wp:wrapTopAndBottom/>
                <wp:docPr id="6" name="Group 6"/>
                <wp:cNvGraphicFramePr>
                  <a:graphicFrameLocks/>
                </wp:cNvGraphicFramePr>
                <a:graphic>
                  <a:graphicData uri="http://schemas.microsoft.com/office/word/2010/wordprocessingGroup">
                    <wpg:wgp>
                      <wpg:cNvPr id="6" name="Group 6"/>
                      <wpg:cNvGrpSpPr/>
                      <wpg:grpSpPr>
                        <a:xfrm>
                          <a:off x="0" y="0"/>
                          <a:ext cx="5168900" cy="2463800"/>
                          <a:chExt cx="5168900" cy="2463800"/>
                        </a:xfrm>
                      </wpg:grpSpPr>
                      <wps:wsp>
                        <wps:cNvPr id="7" name="Graphic 7"/>
                        <wps:cNvSpPr/>
                        <wps:spPr>
                          <a:xfrm>
                            <a:off x="142875" y="1875535"/>
                            <a:ext cx="4883150" cy="36195"/>
                          </a:xfrm>
                          <a:custGeom>
                            <a:avLst/>
                            <a:gdLst/>
                            <a:ahLst/>
                            <a:cxnLst/>
                            <a:rect l="l" t="t" r="r" b="b"/>
                            <a:pathLst>
                              <a:path w="4883150" h="36195">
                                <a:moveTo>
                                  <a:pt x="0" y="0"/>
                                </a:moveTo>
                                <a:lnTo>
                                  <a:pt x="4883150" y="0"/>
                                </a:lnTo>
                              </a:path>
                              <a:path w="4883150" h="36195">
                                <a:moveTo>
                                  <a:pt x="0" y="0"/>
                                </a:moveTo>
                                <a:lnTo>
                                  <a:pt x="0" y="36195"/>
                                </a:lnTo>
                              </a:path>
                              <a:path w="4883150" h="36195">
                                <a:moveTo>
                                  <a:pt x="375919" y="0"/>
                                </a:moveTo>
                                <a:lnTo>
                                  <a:pt x="375919" y="36195"/>
                                </a:lnTo>
                              </a:path>
                              <a:path w="4883150" h="36195">
                                <a:moveTo>
                                  <a:pt x="750824" y="0"/>
                                </a:moveTo>
                                <a:lnTo>
                                  <a:pt x="750824" y="36195"/>
                                </a:lnTo>
                              </a:path>
                              <a:path w="4883150" h="36195">
                                <a:moveTo>
                                  <a:pt x="1127252" y="0"/>
                                </a:moveTo>
                                <a:lnTo>
                                  <a:pt x="1127252" y="36195"/>
                                </a:lnTo>
                              </a:path>
                              <a:path w="4883150" h="36195">
                                <a:moveTo>
                                  <a:pt x="1502156" y="0"/>
                                </a:moveTo>
                                <a:lnTo>
                                  <a:pt x="1502156" y="36195"/>
                                </a:lnTo>
                              </a:path>
                              <a:path w="4883150" h="36195">
                                <a:moveTo>
                                  <a:pt x="1878583" y="0"/>
                                </a:moveTo>
                                <a:lnTo>
                                  <a:pt x="1878583" y="36195"/>
                                </a:lnTo>
                              </a:path>
                              <a:path w="4883150" h="36195">
                                <a:moveTo>
                                  <a:pt x="2253487" y="0"/>
                                </a:moveTo>
                                <a:lnTo>
                                  <a:pt x="2253487" y="36195"/>
                                </a:lnTo>
                              </a:path>
                              <a:path w="4883150" h="36195">
                                <a:moveTo>
                                  <a:pt x="2629916" y="0"/>
                                </a:moveTo>
                                <a:lnTo>
                                  <a:pt x="2629916" y="36195"/>
                                </a:lnTo>
                              </a:path>
                              <a:path w="4883150" h="36195">
                                <a:moveTo>
                                  <a:pt x="3004820" y="0"/>
                                </a:moveTo>
                                <a:lnTo>
                                  <a:pt x="3004820" y="36195"/>
                                </a:lnTo>
                              </a:path>
                              <a:path w="4883150" h="36195">
                                <a:moveTo>
                                  <a:pt x="3381248" y="0"/>
                                </a:moveTo>
                                <a:lnTo>
                                  <a:pt x="3381248" y="36195"/>
                                </a:lnTo>
                              </a:path>
                              <a:path w="4883150" h="36195">
                                <a:moveTo>
                                  <a:pt x="3756152" y="0"/>
                                </a:moveTo>
                                <a:lnTo>
                                  <a:pt x="3756152" y="36195"/>
                                </a:lnTo>
                              </a:path>
                              <a:path w="4883150" h="36195">
                                <a:moveTo>
                                  <a:pt x="4132579" y="0"/>
                                </a:moveTo>
                                <a:lnTo>
                                  <a:pt x="4132579" y="36195"/>
                                </a:lnTo>
                              </a:path>
                              <a:path w="4883150" h="36195">
                                <a:moveTo>
                                  <a:pt x="4507483" y="0"/>
                                </a:moveTo>
                                <a:lnTo>
                                  <a:pt x="4507483" y="36195"/>
                                </a:lnTo>
                              </a:path>
                              <a:path w="4883150" h="36195">
                                <a:moveTo>
                                  <a:pt x="4883150" y="0"/>
                                </a:moveTo>
                                <a:lnTo>
                                  <a:pt x="4883150" y="36195"/>
                                </a:lnTo>
                              </a:path>
                            </a:pathLst>
                          </a:custGeom>
                          <a:ln w="9525">
                            <a:solidFill>
                              <a:srgbClr val="D9D9D9"/>
                            </a:solidFill>
                            <a:prstDash val="solid"/>
                          </a:ln>
                        </wps:spPr>
                        <wps:bodyPr wrap="square" lIns="0" tIns="0" rIns="0" bIns="0" rtlCol="0">
                          <a:prstTxWarp prst="textNoShape">
                            <a:avLst/>
                          </a:prstTxWarp>
                          <a:noAutofit/>
                        </wps:bodyPr>
                      </wps:wsp>
                      <wps:wsp>
                        <wps:cNvPr id="8" name="Graphic 8"/>
                        <wps:cNvSpPr/>
                        <wps:spPr>
                          <a:xfrm>
                            <a:off x="706373" y="1095755"/>
                            <a:ext cx="4131945" cy="572135"/>
                          </a:xfrm>
                          <a:custGeom>
                            <a:avLst/>
                            <a:gdLst/>
                            <a:ahLst/>
                            <a:cxnLst/>
                            <a:rect l="l" t="t" r="r" b="b"/>
                            <a:pathLst>
                              <a:path w="4131945" h="572135">
                                <a:moveTo>
                                  <a:pt x="0" y="0"/>
                                </a:moveTo>
                                <a:lnTo>
                                  <a:pt x="376300" y="51942"/>
                                </a:lnTo>
                                <a:lnTo>
                                  <a:pt x="751204" y="103759"/>
                                </a:lnTo>
                                <a:lnTo>
                                  <a:pt x="1126108" y="155575"/>
                                </a:lnTo>
                                <a:lnTo>
                                  <a:pt x="1502536" y="207390"/>
                                </a:lnTo>
                                <a:lnTo>
                                  <a:pt x="1877441" y="259207"/>
                                </a:lnTo>
                                <a:lnTo>
                                  <a:pt x="2253869" y="312547"/>
                                </a:lnTo>
                                <a:lnTo>
                                  <a:pt x="2628772" y="364363"/>
                                </a:lnTo>
                                <a:lnTo>
                                  <a:pt x="3005200" y="416178"/>
                                </a:lnTo>
                                <a:lnTo>
                                  <a:pt x="3380104" y="467995"/>
                                </a:lnTo>
                                <a:lnTo>
                                  <a:pt x="3756532" y="519811"/>
                                </a:lnTo>
                                <a:lnTo>
                                  <a:pt x="4131818" y="571880"/>
                                </a:lnTo>
                              </a:path>
                            </a:pathLst>
                          </a:custGeom>
                          <a:ln w="28575">
                            <a:solidFill>
                              <a:srgbClr val="A4A4A4"/>
                            </a:solidFill>
                            <a:prstDash val="solid"/>
                          </a:ln>
                        </wps:spPr>
                        <wps:bodyPr wrap="square" lIns="0" tIns="0" rIns="0" bIns="0" rtlCol="0">
                          <a:prstTxWarp prst="textNoShape">
                            <a:avLst/>
                          </a:prstTxWarp>
                          <a:noAutofit/>
                        </wps:bodyPr>
                      </wps:wsp>
                      <pic:pic>
                        <pic:nvPicPr>
                          <pic:cNvPr id="9" name="Image 9"/>
                          <pic:cNvPicPr/>
                        </pic:nvPicPr>
                        <pic:blipFill>
                          <a:blip r:embed="rId8" cstate="print"/>
                          <a:stretch>
                            <a:fillRect/>
                          </a:stretch>
                        </pic:blipFill>
                        <pic:spPr>
                          <a:xfrm>
                            <a:off x="668972" y="1059116"/>
                            <a:ext cx="73533" cy="73532"/>
                          </a:xfrm>
                          <a:prstGeom prst="rect">
                            <a:avLst/>
                          </a:prstGeom>
                        </pic:spPr>
                      </pic:pic>
                      <pic:pic>
                        <pic:nvPicPr>
                          <pic:cNvPr id="10" name="Image 10"/>
                          <pic:cNvPicPr/>
                        </pic:nvPicPr>
                        <pic:blipFill>
                          <a:blip r:embed="rId8" cstate="print"/>
                          <a:stretch>
                            <a:fillRect/>
                          </a:stretch>
                        </pic:blipFill>
                        <pic:spPr>
                          <a:xfrm>
                            <a:off x="1045400" y="1110932"/>
                            <a:ext cx="73532" cy="73533"/>
                          </a:xfrm>
                          <a:prstGeom prst="rect">
                            <a:avLst/>
                          </a:prstGeom>
                        </pic:spPr>
                      </pic:pic>
                      <pic:pic>
                        <pic:nvPicPr>
                          <pic:cNvPr id="11" name="Image 11"/>
                          <pic:cNvPicPr/>
                        </pic:nvPicPr>
                        <pic:blipFill>
                          <a:blip r:embed="rId9" cstate="print"/>
                          <a:stretch>
                            <a:fillRect/>
                          </a:stretch>
                        </pic:blipFill>
                        <pic:spPr>
                          <a:xfrm>
                            <a:off x="1420304" y="1162748"/>
                            <a:ext cx="73532" cy="73533"/>
                          </a:xfrm>
                          <a:prstGeom prst="rect">
                            <a:avLst/>
                          </a:prstGeom>
                        </pic:spPr>
                      </pic:pic>
                      <pic:pic>
                        <pic:nvPicPr>
                          <pic:cNvPr id="12" name="Image 12"/>
                          <pic:cNvPicPr/>
                        </pic:nvPicPr>
                        <pic:blipFill>
                          <a:blip r:embed="rId10" cstate="print"/>
                          <a:stretch>
                            <a:fillRect/>
                          </a:stretch>
                        </pic:blipFill>
                        <pic:spPr>
                          <a:xfrm>
                            <a:off x="1795208" y="1214564"/>
                            <a:ext cx="73532" cy="73532"/>
                          </a:xfrm>
                          <a:prstGeom prst="rect">
                            <a:avLst/>
                          </a:prstGeom>
                        </pic:spPr>
                      </pic:pic>
                      <pic:pic>
                        <pic:nvPicPr>
                          <pic:cNvPr id="13" name="Image 13"/>
                          <pic:cNvPicPr/>
                        </pic:nvPicPr>
                        <pic:blipFill>
                          <a:blip r:embed="rId10" cstate="print"/>
                          <a:stretch>
                            <a:fillRect/>
                          </a:stretch>
                        </pic:blipFill>
                        <pic:spPr>
                          <a:xfrm>
                            <a:off x="2171636" y="1266380"/>
                            <a:ext cx="73533" cy="73533"/>
                          </a:xfrm>
                          <a:prstGeom prst="rect">
                            <a:avLst/>
                          </a:prstGeom>
                        </pic:spPr>
                      </pic:pic>
                      <pic:pic>
                        <pic:nvPicPr>
                          <pic:cNvPr id="14" name="Image 14"/>
                          <pic:cNvPicPr/>
                        </pic:nvPicPr>
                        <pic:blipFill>
                          <a:blip r:embed="rId8" cstate="print"/>
                          <a:stretch>
                            <a:fillRect/>
                          </a:stretch>
                        </pic:blipFill>
                        <pic:spPr>
                          <a:xfrm>
                            <a:off x="2546540" y="1318196"/>
                            <a:ext cx="73532" cy="73533"/>
                          </a:xfrm>
                          <a:prstGeom prst="rect">
                            <a:avLst/>
                          </a:prstGeom>
                        </pic:spPr>
                      </pic:pic>
                      <pic:pic>
                        <pic:nvPicPr>
                          <pic:cNvPr id="15" name="Image 15"/>
                          <pic:cNvPicPr/>
                        </pic:nvPicPr>
                        <pic:blipFill>
                          <a:blip r:embed="rId10" cstate="print"/>
                          <a:stretch>
                            <a:fillRect/>
                          </a:stretch>
                        </pic:blipFill>
                        <pic:spPr>
                          <a:xfrm>
                            <a:off x="2922968" y="1371536"/>
                            <a:ext cx="73533" cy="73533"/>
                          </a:xfrm>
                          <a:prstGeom prst="rect">
                            <a:avLst/>
                          </a:prstGeom>
                        </pic:spPr>
                      </pic:pic>
                      <pic:pic>
                        <pic:nvPicPr>
                          <pic:cNvPr id="16" name="Image 16"/>
                          <pic:cNvPicPr/>
                        </pic:nvPicPr>
                        <pic:blipFill>
                          <a:blip r:embed="rId10" cstate="print"/>
                          <a:stretch>
                            <a:fillRect/>
                          </a:stretch>
                        </pic:blipFill>
                        <pic:spPr>
                          <a:xfrm>
                            <a:off x="3297872" y="1423352"/>
                            <a:ext cx="73533" cy="73532"/>
                          </a:xfrm>
                          <a:prstGeom prst="rect">
                            <a:avLst/>
                          </a:prstGeom>
                        </pic:spPr>
                      </pic:pic>
                      <pic:pic>
                        <pic:nvPicPr>
                          <pic:cNvPr id="17" name="Image 17"/>
                          <pic:cNvPicPr/>
                        </pic:nvPicPr>
                        <pic:blipFill>
                          <a:blip r:embed="rId8" cstate="print"/>
                          <a:stretch>
                            <a:fillRect/>
                          </a:stretch>
                        </pic:blipFill>
                        <pic:spPr>
                          <a:xfrm>
                            <a:off x="3674300" y="1475168"/>
                            <a:ext cx="73533" cy="73533"/>
                          </a:xfrm>
                          <a:prstGeom prst="rect">
                            <a:avLst/>
                          </a:prstGeom>
                        </pic:spPr>
                      </pic:pic>
                      <pic:pic>
                        <pic:nvPicPr>
                          <pic:cNvPr id="18" name="Image 18"/>
                          <pic:cNvPicPr/>
                        </pic:nvPicPr>
                        <pic:blipFill>
                          <a:blip r:embed="rId11" cstate="print"/>
                          <a:stretch>
                            <a:fillRect/>
                          </a:stretch>
                        </pic:blipFill>
                        <pic:spPr>
                          <a:xfrm>
                            <a:off x="4049204" y="1526984"/>
                            <a:ext cx="73532" cy="73533"/>
                          </a:xfrm>
                          <a:prstGeom prst="rect">
                            <a:avLst/>
                          </a:prstGeom>
                        </pic:spPr>
                      </pic:pic>
                      <pic:pic>
                        <pic:nvPicPr>
                          <pic:cNvPr id="19" name="Image 19"/>
                          <pic:cNvPicPr/>
                        </pic:nvPicPr>
                        <pic:blipFill>
                          <a:blip r:embed="rId11" cstate="print"/>
                          <a:stretch>
                            <a:fillRect/>
                          </a:stretch>
                        </pic:blipFill>
                        <pic:spPr>
                          <a:xfrm>
                            <a:off x="4425632" y="1578800"/>
                            <a:ext cx="73533" cy="73532"/>
                          </a:xfrm>
                          <a:prstGeom prst="rect">
                            <a:avLst/>
                          </a:prstGeom>
                        </pic:spPr>
                      </pic:pic>
                      <pic:pic>
                        <pic:nvPicPr>
                          <pic:cNvPr id="20" name="Image 20"/>
                          <pic:cNvPicPr/>
                        </pic:nvPicPr>
                        <pic:blipFill>
                          <a:blip r:embed="rId8" cstate="print"/>
                          <a:stretch>
                            <a:fillRect/>
                          </a:stretch>
                        </pic:blipFill>
                        <pic:spPr>
                          <a:xfrm>
                            <a:off x="4800536" y="1630616"/>
                            <a:ext cx="73533" cy="73532"/>
                          </a:xfrm>
                          <a:prstGeom prst="rect">
                            <a:avLst/>
                          </a:prstGeom>
                        </pic:spPr>
                      </pic:pic>
                      <wps:wsp>
                        <wps:cNvPr id="21" name="Graphic 21"/>
                        <wps:cNvSpPr/>
                        <wps:spPr>
                          <a:xfrm>
                            <a:off x="706373" y="1009141"/>
                            <a:ext cx="1502410" cy="208279"/>
                          </a:xfrm>
                          <a:custGeom>
                            <a:avLst/>
                            <a:gdLst/>
                            <a:ahLst/>
                            <a:cxnLst/>
                            <a:rect l="l" t="t" r="r" b="b"/>
                            <a:pathLst>
                              <a:path w="1502410" h="208279">
                                <a:moveTo>
                                  <a:pt x="0" y="0"/>
                                </a:moveTo>
                                <a:lnTo>
                                  <a:pt x="376300" y="103504"/>
                                </a:lnTo>
                                <a:lnTo>
                                  <a:pt x="751204" y="207898"/>
                                </a:lnTo>
                                <a:lnTo>
                                  <a:pt x="1126108" y="121792"/>
                                </a:lnTo>
                                <a:lnTo>
                                  <a:pt x="1502409" y="147700"/>
                                </a:lnTo>
                              </a:path>
                            </a:pathLst>
                          </a:custGeom>
                          <a:ln w="28575">
                            <a:solidFill>
                              <a:srgbClr val="EC7C30"/>
                            </a:solidFill>
                            <a:prstDash val="solid"/>
                          </a:ln>
                        </wps:spPr>
                        <wps:bodyPr wrap="square" lIns="0" tIns="0" rIns="0" bIns="0" rtlCol="0">
                          <a:prstTxWarp prst="textNoShape">
                            <a:avLst/>
                          </a:prstTxWarp>
                          <a:noAutofit/>
                        </wps:bodyPr>
                      </wps:wsp>
                      <pic:pic>
                        <pic:nvPicPr>
                          <pic:cNvPr id="22" name="Image 22"/>
                          <pic:cNvPicPr/>
                        </pic:nvPicPr>
                        <pic:blipFill>
                          <a:blip r:embed="rId12" cstate="print"/>
                          <a:stretch>
                            <a:fillRect/>
                          </a:stretch>
                        </pic:blipFill>
                        <pic:spPr>
                          <a:xfrm>
                            <a:off x="656780" y="960056"/>
                            <a:ext cx="97916" cy="97916"/>
                          </a:xfrm>
                          <a:prstGeom prst="rect">
                            <a:avLst/>
                          </a:prstGeom>
                        </pic:spPr>
                      </pic:pic>
                      <pic:pic>
                        <pic:nvPicPr>
                          <pic:cNvPr id="23" name="Image 23"/>
                          <pic:cNvPicPr/>
                        </pic:nvPicPr>
                        <pic:blipFill>
                          <a:blip r:embed="rId12" cstate="print"/>
                          <a:stretch>
                            <a:fillRect/>
                          </a:stretch>
                        </pic:blipFill>
                        <pic:spPr>
                          <a:xfrm>
                            <a:off x="1033208" y="1063688"/>
                            <a:ext cx="97917" cy="97916"/>
                          </a:xfrm>
                          <a:prstGeom prst="rect">
                            <a:avLst/>
                          </a:prstGeom>
                        </pic:spPr>
                      </pic:pic>
                      <pic:pic>
                        <pic:nvPicPr>
                          <pic:cNvPr id="24" name="Image 24"/>
                          <pic:cNvPicPr/>
                        </pic:nvPicPr>
                        <pic:blipFill>
                          <a:blip r:embed="rId13" cstate="print"/>
                          <a:stretch>
                            <a:fillRect/>
                          </a:stretch>
                        </pic:blipFill>
                        <pic:spPr>
                          <a:xfrm>
                            <a:off x="1408112" y="1168844"/>
                            <a:ext cx="97917" cy="97916"/>
                          </a:xfrm>
                          <a:prstGeom prst="rect">
                            <a:avLst/>
                          </a:prstGeom>
                        </pic:spPr>
                      </pic:pic>
                      <pic:pic>
                        <pic:nvPicPr>
                          <pic:cNvPr id="25" name="Image 25"/>
                          <pic:cNvPicPr/>
                        </pic:nvPicPr>
                        <pic:blipFill>
                          <a:blip r:embed="rId14" cstate="print"/>
                          <a:stretch>
                            <a:fillRect/>
                          </a:stretch>
                        </pic:blipFill>
                        <pic:spPr>
                          <a:xfrm>
                            <a:off x="1783016" y="1081976"/>
                            <a:ext cx="97917" cy="97916"/>
                          </a:xfrm>
                          <a:prstGeom prst="rect">
                            <a:avLst/>
                          </a:prstGeom>
                        </pic:spPr>
                      </pic:pic>
                      <wps:wsp>
                        <wps:cNvPr id="26" name="Graphic 26"/>
                        <wps:cNvSpPr/>
                        <wps:spPr>
                          <a:xfrm>
                            <a:off x="2164207" y="1112647"/>
                            <a:ext cx="88900" cy="88900"/>
                          </a:xfrm>
                          <a:custGeom>
                            <a:avLst/>
                            <a:gdLst/>
                            <a:ahLst/>
                            <a:cxnLst/>
                            <a:rect l="l" t="t" r="r" b="b"/>
                            <a:pathLst>
                              <a:path w="88900" h="88900">
                                <a:moveTo>
                                  <a:pt x="44196" y="0"/>
                                </a:moveTo>
                                <a:lnTo>
                                  <a:pt x="0" y="44196"/>
                                </a:lnTo>
                                <a:lnTo>
                                  <a:pt x="44196" y="88392"/>
                                </a:lnTo>
                                <a:lnTo>
                                  <a:pt x="88391" y="44196"/>
                                </a:lnTo>
                                <a:lnTo>
                                  <a:pt x="44196" y="0"/>
                                </a:lnTo>
                                <a:close/>
                              </a:path>
                            </a:pathLst>
                          </a:custGeom>
                          <a:solidFill>
                            <a:srgbClr val="EC7C30"/>
                          </a:solidFill>
                        </wps:spPr>
                        <wps:bodyPr wrap="square" lIns="0" tIns="0" rIns="0" bIns="0" rtlCol="0">
                          <a:prstTxWarp prst="textNoShape">
                            <a:avLst/>
                          </a:prstTxWarp>
                          <a:noAutofit/>
                        </wps:bodyPr>
                      </wps:wsp>
                      <wps:wsp>
                        <wps:cNvPr id="27" name="Graphic 27"/>
                        <wps:cNvSpPr/>
                        <wps:spPr>
                          <a:xfrm>
                            <a:off x="2164207" y="1112647"/>
                            <a:ext cx="88900" cy="88900"/>
                          </a:xfrm>
                          <a:custGeom>
                            <a:avLst/>
                            <a:gdLst/>
                            <a:ahLst/>
                            <a:cxnLst/>
                            <a:rect l="l" t="t" r="r" b="b"/>
                            <a:pathLst>
                              <a:path w="88900" h="88900">
                                <a:moveTo>
                                  <a:pt x="44196" y="0"/>
                                </a:moveTo>
                                <a:lnTo>
                                  <a:pt x="88391" y="44196"/>
                                </a:lnTo>
                                <a:lnTo>
                                  <a:pt x="44196" y="88392"/>
                                </a:lnTo>
                                <a:lnTo>
                                  <a:pt x="0" y="44196"/>
                                </a:lnTo>
                                <a:lnTo>
                                  <a:pt x="44196" y="0"/>
                                </a:lnTo>
                                <a:close/>
                              </a:path>
                            </a:pathLst>
                          </a:custGeom>
                          <a:ln w="9525">
                            <a:solidFill>
                              <a:srgbClr val="EC7C30"/>
                            </a:solidFill>
                            <a:prstDash val="solid"/>
                          </a:ln>
                        </wps:spPr>
                        <wps:bodyPr wrap="square" lIns="0" tIns="0" rIns="0" bIns="0" rtlCol="0">
                          <a:prstTxWarp prst="textNoShape">
                            <a:avLst/>
                          </a:prstTxWarp>
                          <a:noAutofit/>
                        </wps:bodyPr>
                      </wps:wsp>
                      <pic:pic>
                        <pic:nvPicPr>
                          <pic:cNvPr id="28" name="Image 28"/>
                          <pic:cNvPicPr/>
                        </pic:nvPicPr>
                        <pic:blipFill>
                          <a:blip r:embed="rId15" cstate="print"/>
                          <a:stretch>
                            <a:fillRect/>
                          </a:stretch>
                        </pic:blipFill>
                        <pic:spPr>
                          <a:xfrm>
                            <a:off x="280860" y="908240"/>
                            <a:ext cx="97916" cy="97916"/>
                          </a:xfrm>
                          <a:prstGeom prst="rect">
                            <a:avLst/>
                          </a:prstGeom>
                        </pic:spPr>
                      </pic:pic>
                      <wps:wsp>
                        <wps:cNvPr id="29" name="Graphic 29"/>
                        <wps:cNvSpPr/>
                        <wps:spPr>
                          <a:xfrm>
                            <a:off x="2208783" y="1092200"/>
                            <a:ext cx="20320" cy="64769"/>
                          </a:xfrm>
                          <a:custGeom>
                            <a:avLst/>
                            <a:gdLst/>
                            <a:ahLst/>
                            <a:cxnLst/>
                            <a:rect l="l" t="t" r="r" b="b"/>
                            <a:pathLst>
                              <a:path w="20320" h="64769">
                                <a:moveTo>
                                  <a:pt x="0" y="64261"/>
                                </a:moveTo>
                                <a:lnTo>
                                  <a:pt x="19812" y="0"/>
                                </a:lnTo>
                              </a:path>
                            </a:pathLst>
                          </a:custGeom>
                          <a:ln w="9525">
                            <a:solidFill>
                              <a:srgbClr val="A6A6A6"/>
                            </a:solidFill>
                            <a:prstDash val="solid"/>
                          </a:ln>
                        </wps:spPr>
                        <wps:bodyPr wrap="square" lIns="0" tIns="0" rIns="0" bIns="0" rtlCol="0">
                          <a:prstTxWarp prst="textNoShape">
                            <a:avLst/>
                          </a:prstTxWarp>
                          <a:noAutofit/>
                        </wps:bodyPr>
                      </wps:wsp>
                      <pic:pic>
                        <pic:nvPicPr>
                          <pic:cNvPr id="30" name="Image 30"/>
                          <pic:cNvPicPr/>
                        </pic:nvPicPr>
                        <pic:blipFill>
                          <a:blip r:embed="rId16" cstate="print"/>
                          <a:stretch>
                            <a:fillRect/>
                          </a:stretch>
                        </pic:blipFill>
                        <pic:spPr>
                          <a:xfrm>
                            <a:off x="975360" y="2240216"/>
                            <a:ext cx="243840" cy="73532"/>
                          </a:xfrm>
                          <a:prstGeom prst="rect">
                            <a:avLst/>
                          </a:prstGeom>
                        </pic:spPr>
                      </pic:pic>
                      <pic:pic>
                        <pic:nvPicPr>
                          <pic:cNvPr id="31" name="Image 31"/>
                          <pic:cNvPicPr/>
                        </pic:nvPicPr>
                        <pic:blipFill>
                          <a:blip r:embed="rId17" cstate="print"/>
                          <a:stretch>
                            <a:fillRect/>
                          </a:stretch>
                        </pic:blipFill>
                        <pic:spPr>
                          <a:xfrm>
                            <a:off x="2237485" y="2240216"/>
                            <a:ext cx="243839" cy="73532"/>
                          </a:xfrm>
                          <a:prstGeom prst="rect">
                            <a:avLst/>
                          </a:prstGeom>
                        </pic:spPr>
                      </pic:pic>
                      <pic:pic>
                        <pic:nvPicPr>
                          <pic:cNvPr id="32" name="Image 32"/>
                          <pic:cNvPicPr/>
                        </pic:nvPicPr>
                        <pic:blipFill>
                          <a:blip r:embed="rId18" cstate="print"/>
                          <a:stretch>
                            <a:fillRect/>
                          </a:stretch>
                        </pic:blipFill>
                        <pic:spPr>
                          <a:xfrm>
                            <a:off x="3480434" y="2240216"/>
                            <a:ext cx="243839" cy="73532"/>
                          </a:xfrm>
                          <a:prstGeom prst="rect">
                            <a:avLst/>
                          </a:prstGeom>
                        </pic:spPr>
                      </pic:pic>
                      <wps:wsp>
                        <wps:cNvPr id="33" name="Graphic 33"/>
                        <wps:cNvSpPr/>
                        <wps:spPr>
                          <a:xfrm>
                            <a:off x="3175" y="3175"/>
                            <a:ext cx="5162550" cy="2457450"/>
                          </a:xfrm>
                          <a:custGeom>
                            <a:avLst/>
                            <a:gdLst/>
                            <a:ahLst/>
                            <a:cxnLst/>
                            <a:rect l="l" t="t" r="r" b="b"/>
                            <a:pathLst>
                              <a:path w="5162550" h="2457450">
                                <a:moveTo>
                                  <a:pt x="0" y="2457449"/>
                                </a:moveTo>
                                <a:lnTo>
                                  <a:pt x="5162550" y="2457449"/>
                                </a:lnTo>
                                <a:lnTo>
                                  <a:pt x="5162550" y="0"/>
                                </a:lnTo>
                                <a:lnTo>
                                  <a:pt x="0" y="0"/>
                                </a:lnTo>
                                <a:lnTo>
                                  <a:pt x="0" y="2457449"/>
                                </a:lnTo>
                                <a:close/>
                              </a:path>
                            </a:pathLst>
                          </a:custGeom>
                          <a:ln w="6350">
                            <a:solidFill>
                              <a:srgbClr val="A6A6A6"/>
                            </a:solidFill>
                            <a:prstDash val="solid"/>
                          </a:ln>
                        </wps:spPr>
                        <wps:bodyPr wrap="square" lIns="0" tIns="0" rIns="0" bIns="0" rtlCol="0">
                          <a:prstTxWarp prst="textNoShape">
                            <a:avLst/>
                          </a:prstTxWarp>
                          <a:noAutofit/>
                        </wps:bodyPr>
                      </wps:wsp>
                      <wps:wsp>
                        <wps:cNvPr id="34" name="Textbox 34"/>
                        <wps:cNvSpPr txBox="1"/>
                        <wps:spPr>
                          <a:xfrm>
                            <a:off x="1713357" y="1315211"/>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7.2%</w:t>
                              </w:r>
                            </w:p>
                          </w:txbxContent>
                        </wps:txbx>
                        <wps:bodyPr wrap="square" lIns="0" tIns="0" rIns="0" bIns="0" rtlCol="0">
                          <a:noAutofit/>
                        </wps:bodyPr>
                      </wps:wsp>
                      <wps:wsp>
                        <wps:cNvPr id="35" name="Textbox 35"/>
                        <wps:cNvSpPr txBox="1"/>
                        <wps:spPr>
                          <a:xfrm>
                            <a:off x="2100707" y="1367027"/>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6.6%</w:t>
                              </w:r>
                            </w:p>
                          </w:txbxContent>
                        </wps:txbx>
                        <wps:bodyPr wrap="square" lIns="0" tIns="0" rIns="0" bIns="0" rtlCol="0">
                          <a:noAutofit/>
                        </wps:bodyPr>
                      </wps:wsp>
                      <wps:wsp>
                        <wps:cNvPr id="36" name="Textbox 36"/>
                        <wps:cNvSpPr txBox="1"/>
                        <wps:spPr>
                          <a:xfrm>
                            <a:off x="3584447" y="1294257"/>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4.2%</w:t>
                              </w:r>
                            </w:p>
                          </w:txbxContent>
                        </wps:txbx>
                        <wps:bodyPr wrap="square" lIns="0" tIns="0" rIns="0" bIns="0" rtlCol="0">
                          <a:noAutofit/>
                        </wps:bodyPr>
                      </wps:wsp>
                      <wps:wsp>
                        <wps:cNvPr id="37" name="Textbox 37"/>
                        <wps:cNvSpPr txBox="1"/>
                        <wps:spPr>
                          <a:xfrm>
                            <a:off x="3960240" y="1346072"/>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3.6%</w:t>
                              </w:r>
                            </w:p>
                          </w:txbxContent>
                        </wps:txbx>
                        <wps:bodyPr wrap="square" lIns="0" tIns="0" rIns="0" bIns="0" rtlCol="0">
                          <a:noAutofit/>
                        </wps:bodyPr>
                      </wps:wsp>
                      <wps:wsp>
                        <wps:cNvPr id="38" name="Textbox 38"/>
                        <wps:cNvSpPr txBox="1"/>
                        <wps:spPr>
                          <a:xfrm>
                            <a:off x="4335779" y="1398142"/>
                            <a:ext cx="2673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3.0%</w:t>
                              </w:r>
                            </w:p>
                          </w:txbxContent>
                        </wps:txbx>
                        <wps:bodyPr wrap="square" lIns="0" tIns="0" rIns="0" bIns="0" rtlCol="0">
                          <a:noAutofit/>
                        </wps:bodyPr>
                      </wps:wsp>
                      <wps:wsp>
                        <wps:cNvPr id="39" name="Textbox 39"/>
                        <wps:cNvSpPr txBox="1"/>
                        <wps:spPr>
                          <a:xfrm>
                            <a:off x="4711572" y="1449958"/>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2.4%</w:t>
                              </w:r>
                            </w:p>
                          </w:txbxContent>
                        </wps:txbx>
                        <wps:bodyPr wrap="square" lIns="0" tIns="0" rIns="0" bIns="0" rtlCol="0">
                          <a:noAutofit/>
                        </wps:bodyPr>
                      </wps:wsp>
                      <wps:wsp>
                        <wps:cNvPr id="40" name="Textbox 40"/>
                        <wps:cNvSpPr txBox="1"/>
                        <wps:spPr>
                          <a:xfrm>
                            <a:off x="215265" y="1971548"/>
                            <a:ext cx="4752975" cy="114300"/>
                          </a:xfrm>
                          <a:prstGeom prst="rect">
                            <a:avLst/>
                          </a:prstGeom>
                        </wps:spPr>
                        <wps:txbx>
                          <w:txbxContent>
                            <w:p>
                              <w:pPr>
                                <w:tabs>
                                  <w:tab w:pos="591" w:val="left" w:leader="none"/>
                                  <w:tab w:pos="1183" w:val="left" w:leader="none"/>
                                  <w:tab w:pos="1774" w:val="left" w:leader="none"/>
                                  <w:tab w:pos="2366" w:val="left" w:leader="none"/>
                                  <w:tab w:pos="2958" w:val="left" w:leader="none"/>
                                  <w:tab w:pos="3549" w:val="left" w:leader="none"/>
                                  <w:tab w:pos="4141" w:val="left" w:leader="none"/>
                                  <w:tab w:pos="4732" w:val="left" w:leader="none"/>
                                  <w:tab w:pos="5324" w:val="left" w:leader="none"/>
                                  <w:tab w:pos="5916" w:val="left" w:leader="none"/>
                                  <w:tab w:pos="6507" w:val="left" w:leader="none"/>
                                  <w:tab w:pos="7099"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wps:txbx>
                        <wps:bodyPr wrap="square" lIns="0" tIns="0" rIns="0" bIns="0" rtlCol="0">
                          <a:noAutofit/>
                        </wps:bodyPr>
                      </wps:wsp>
                      <wps:wsp>
                        <wps:cNvPr id="41" name="Textbox 41"/>
                        <wps:cNvSpPr txBox="1"/>
                        <wps:spPr>
                          <a:xfrm>
                            <a:off x="1245488" y="2224785"/>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42" name="Textbox 42"/>
                        <wps:cNvSpPr txBox="1"/>
                        <wps:spPr>
                          <a:xfrm>
                            <a:off x="2507614" y="2224785"/>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43" name="Textbox 43"/>
                        <wps:cNvSpPr txBox="1"/>
                        <wps:spPr>
                          <a:xfrm>
                            <a:off x="3750945" y="2224785"/>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44" name="Textbox 44"/>
                        <wps:cNvSpPr txBox="1"/>
                        <wps:spPr>
                          <a:xfrm>
                            <a:off x="1330452" y="1345183"/>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7.6%</w:t>
                              </w:r>
                            </w:p>
                          </w:txbxContent>
                        </wps:txbx>
                        <wps:bodyPr wrap="square" lIns="0" tIns="0" rIns="0" bIns="0" rtlCol="0">
                          <a:noAutofit/>
                        </wps:bodyPr>
                      </wps:wsp>
                      <wps:wsp>
                        <wps:cNvPr id="45" name="Textbox 45"/>
                        <wps:cNvSpPr txBox="1"/>
                        <wps:spPr>
                          <a:xfrm>
                            <a:off x="3208908" y="1242060"/>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4.8%</w:t>
                              </w:r>
                            </w:p>
                          </w:txbxContent>
                        </wps:txbx>
                        <wps:bodyPr wrap="square" lIns="0" tIns="0" rIns="0" bIns="0" rtlCol="0">
                          <a:noAutofit/>
                        </wps:bodyPr>
                      </wps:wsp>
                      <wps:wsp>
                        <wps:cNvPr id="46" name="Textbox 46"/>
                        <wps:cNvSpPr txBox="1"/>
                        <wps:spPr>
                          <a:xfrm>
                            <a:off x="2833116" y="1190244"/>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5.4%</w:t>
                              </w:r>
                            </w:p>
                          </w:txbxContent>
                        </wps:txbx>
                        <wps:bodyPr wrap="square" lIns="0" tIns="0" rIns="0" bIns="0" rtlCol="0">
                          <a:noAutofit/>
                        </wps:bodyPr>
                      </wps:wsp>
                      <wps:wsp>
                        <wps:cNvPr id="47" name="Textbox 47"/>
                        <wps:cNvSpPr txBox="1"/>
                        <wps:spPr>
                          <a:xfrm>
                            <a:off x="2457576" y="1138174"/>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6.0%</w:t>
                              </w:r>
                            </w:p>
                          </w:txbxContent>
                        </wps:txbx>
                        <wps:bodyPr wrap="square" lIns="0" tIns="0" rIns="0" bIns="0" rtlCol="0">
                          <a:noAutofit/>
                        </wps:bodyPr>
                      </wps:wsp>
                      <wps:wsp>
                        <wps:cNvPr id="48" name="Textbox 48"/>
                        <wps:cNvSpPr txBox="1"/>
                        <wps:spPr>
                          <a:xfrm>
                            <a:off x="938530" y="1234439"/>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8.4%</w:t>
                              </w:r>
                            </w:p>
                          </w:txbxContent>
                        </wps:txbx>
                        <wps:bodyPr wrap="square" lIns="0" tIns="0" rIns="0" bIns="0" rtlCol="0">
                          <a:noAutofit/>
                        </wps:bodyPr>
                      </wps:wsp>
                      <wps:wsp>
                        <wps:cNvPr id="49" name="Textbox 49"/>
                        <wps:cNvSpPr txBox="1"/>
                        <wps:spPr>
                          <a:xfrm>
                            <a:off x="586105" y="1170813"/>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9.0%</w:t>
                              </w:r>
                            </w:p>
                          </w:txbxContent>
                        </wps:txbx>
                        <wps:bodyPr wrap="square" lIns="0" tIns="0" rIns="0" bIns="0" rtlCol="0">
                          <a:noAutofit/>
                        </wps:bodyPr>
                      </wps:wsp>
                      <wps:wsp>
                        <wps:cNvPr id="50" name="Textbox 50"/>
                        <wps:cNvSpPr txBox="1"/>
                        <wps:spPr>
                          <a:xfrm>
                            <a:off x="1725802" y="944625"/>
                            <a:ext cx="642620" cy="135255"/>
                          </a:xfrm>
                          <a:prstGeom prst="rect">
                            <a:avLst/>
                          </a:prstGeom>
                        </wps:spPr>
                        <wps:txbx>
                          <w:txbxContent>
                            <w:p>
                              <w:pPr>
                                <w:spacing w:line="213" w:lineRule="exact" w:before="0"/>
                                <w:ind w:left="0" w:right="0" w:firstLine="0"/>
                                <w:jc w:val="left"/>
                                <w:rPr>
                                  <w:rFonts w:ascii="Calibri"/>
                                  <w:b/>
                                  <w:position w:val="1"/>
                                  <w:sz w:val="20"/>
                                </w:rPr>
                              </w:pPr>
                              <w:r>
                                <w:rPr>
                                  <w:rFonts w:ascii="Calibri"/>
                                  <w:b/>
                                  <w:color w:val="EC7C30"/>
                                  <w:sz w:val="20"/>
                                </w:rPr>
                                <w:t>8.6%</w:t>
                              </w:r>
                              <w:r>
                                <w:rPr>
                                  <w:rFonts w:ascii="Calibri"/>
                                  <w:b/>
                                  <w:color w:val="EC7C30"/>
                                  <w:spacing w:val="46"/>
                                  <w:sz w:val="20"/>
                                </w:rPr>
                                <w:t>  </w:t>
                              </w:r>
                              <w:r>
                                <w:rPr>
                                  <w:rFonts w:ascii="Calibri"/>
                                  <w:b/>
                                  <w:color w:val="EC7C30"/>
                                  <w:spacing w:val="-4"/>
                                  <w:position w:val="1"/>
                                  <w:sz w:val="20"/>
                                </w:rPr>
                                <w:t>8.3%</w:t>
                              </w:r>
                            </w:p>
                          </w:txbxContent>
                        </wps:txbx>
                        <wps:bodyPr wrap="square" lIns="0" tIns="0" rIns="0" bIns="0" rtlCol="0">
                          <a:noAutofit/>
                        </wps:bodyPr>
                      </wps:wsp>
                      <wps:wsp>
                        <wps:cNvPr id="51" name="Textbox 51"/>
                        <wps:cNvSpPr txBox="1"/>
                        <wps:spPr>
                          <a:xfrm>
                            <a:off x="1330452" y="982091"/>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7.8%</w:t>
                              </w:r>
                            </w:p>
                          </w:txbxContent>
                        </wps:txbx>
                        <wps:bodyPr wrap="square" lIns="0" tIns="0" rIns="0" bIns="0" rtlCol="0">
                          <a:noAutofit/>
                        </wps:bodyPr>
                      </wps:wsp>
                      <wps:wsp>
                        <wps:cNvPr id="52" name="Textbox 52"/>
                        <wps:cNvSpPr txBox="1"/>
                        <wps:spPr>
                          <a:xfrm>
                            <a:off x="986027" y="947419"/>
                            <a:ext cx="2673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8.8%</w:t>
                              </w:r>
                            </w:p>
                          </w:txbxContent>
                        </wps:txbx>
                        <wps:bodyPr wrap="square" lIns="0" tIns="0" rIns="0" bIns="0" rtlCol="0">
                          <a:noAutofit/>
                        </wps:bodyPr>
                      </wps:wsp>
                      <wps:wsp>
                        <wps:cNvPr id="53" name="Textbox 53"/>
                        <wps:cNvSpPr txBox="1"/>
                        <wps:spPr>
                          <a:xfrm>
                            <a:off x="569341" y="831850"/>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2"/>
                                  <w:sz w:val="20"/>
                                </w:rPr>
                                <w:t>10.0%</w:t>
                              </w:r>
                            </w:p>
                          </w:txbxContent>
                        </wps:txbx>
                        <wps:bodyPr wrap="square" lIns="0" tIns="0" rIns="0" bIns="0" rtlCol="0">
                          <a:noAutofit/>
                        </wps:bodyPr>
                      </wps:wsp>
                      <wps:wsp>
                        <wps:cNvPr id="54" name="Textbox 54"/>
                        <wps:cNvSpPr txBox="1"/>
                        <wps:spPr>
                          <a:xfrm>
                            <a:off x="139319" y="726948"/>
                            <a:ext cx="394970" cy="127000"/>
                          </a:xfrm>
                          <a:prstGeom prst="rect">
                            <a:avLst/>
                          </a:prstGeom>
                        </wps:spPr>
                        <wps:txbx>
                          <w:txbxContent>
                            <w:p>
                              <w:pPr>
                                <w:spacing w:line="199" w:lineRule="exact" w:before="0"/>
                                <w:ind w:left="0" w:right="0" w:firstLine="0"/>
                                <w:jc w:val="left"/>
                                <w:rPr>
                                  <w:rFonts w:ascii="Calibri"/>
                                  <w:b/>
                                  <w:sz w:val="20"/>
                                </w:rPr>
                              </w:pPr>
                              <w:r>
                                <w:rPr>
                                  <w:rFonts w:ascii="Calibri"/>
                                  <w:b/>
                                  <w:color w:val="4471C4"/>
                                  <w:spacing w:val="-2"/>
                                  <w:sz w:val="20"/>
                                </w:rPr>
                                <w:t>10.60%</w:t>
                              </w:r>
                            </w:p>
                          </w:txbxContent>
                        </wps:txbx>
                        <wps:bodyPr wrap="square" lIns="0" tIns="0" rIns="0" bIns="0" rtlCol="0">
                          <a:noAutofit/>
                        </wps:bodyPr>
                      </wps:wsp>
                    </wpg:wgp>
                  </a:graphicData>
                </a:graphic>
              </wp:anchor>
            </w:drawing>
          </mc:Choice>
          <mc:Fallback>
            <w:pict>
              <v:group style="position:absolute;margin-left:94.150002pt;margin-top:10.415293pt;width:407pt;height:194pt;mso-position-horizontal-relative:page;mso-position-vertical-relative:paragraph;z-index:-15727616;mso-wrap-distance-left:0;mso-wrap-distance-right:0" id="docshapegroup4" coordorigin="1883,208" coordsize="8140,3880">
                <v:shape style="position:absolute;left:2108;top:3161;width:7690;height:57" id="docshape5" coordorigin="2108,3162" coordsize="7690,57" path="m2108,3162l9798,3162m2108,3162l2108,3219m2700,3162l2700,3219m3290,3162l3290,3219m3883,3162l3883,3219m4474,3162l4474,3219m5066,3162l5066,3219m5657,3162l5657,3219m6250,3162l6250,3219m6840,3162l6840,3219m7433,3162l7433,3219m8023,3162l8023,3219m8616,3162l8616,3219m9206,3162l9206,3219m9798,3162l9798,3219e" filled="false" stroked="true" strokeweight=".75pt" strokecolor="#d9d9d9">
                  <v:path arrowok="t"/>
                  <v:stroke dashstyle="solid"/>
                </v:shape>
                <v:shape style="position:absolute;left:2995;top:1933;width:6507;height:901" id="docshape6" coordorigin="2995,1934" coordsize="6507,901" path="m2995,1934l3588,2016,4178,2097,4769,2179,5362,2261,5952,2342,6545,2426,7135,2508,7728,2589,8318,2671,8911,2753,9502,2835e" filled="false" stroked="true" strokeweight="2.25pt" strokecolor="#a4a4a4">
                  <v:path arrowok="t"/>
                  <v:stroke dashstyle="solid"/>
                </v:shape>
                <v:shape style="position:absolute;left:2936;top:1876;width:116;height:116" type="#_x0000_t75" id="docshape7" stroked="false">
                  <v:imagedata r:id="rId8" o:title=""/>
                </v:shape>
                <v:shape style="position:absolute;left:3529;top:1957;width:116;height:116" type="#_x0000_t75" id="docshape8" stroked="false">
                  <v:imagedata r:id="rId8" o:title=""/>
                </v:shape>
                <v:shape style="position:absolute;left:4119;top:2039;width:116;height:116" type="#_x0000_t75" id="docshape9" stroked="false">
                  <v:imagedata r:id="rId9" o:title=""/>
                </v:shape>
                <v:shape style="position:absolute;left:4710;top:2121;width:116;height:116" type="#_x0000_t75" id="docshape10" stroked="false">
                  <v:imagedata r:id="rId10" o:title=""/>
                </v:shape>
                <v:shape style="position:absolute;left:5302;top:2202;width:116;height:116" type="#_x0000_t75" id="docshape11" stroked="false">
                  <v:imagedata r:id="rId10" o:title=""/>
                </v:shape>
                <v:shape style="position:absolute;left:5893;top:2284;width:116;height:116" type="#_x0000_t75" id="docshape12" stroked="false">
                  <v:imagedata r:id="rId8" o:title=""/>
                </v:shape>
                <v:shape style="position:absolute;left:6486;top:2368;width:116;height:116" type="#_x0000_t75" id="docshape13" stroked="false">
                  <v:imagedata r:id="rId10" o:title=""/>
                </v:shape>
                <v:shape style="position:absolute;left:7076;top:2449;width:116;height:116" type="#_x0000_t75" id="docshape14" stroked="false">
                  <v:imagedata r:id="rId10" o:title=""/>
                </v:shape>
                <v:shape style="position:absolute;left:7669;top:2531;width:116;height:116" type="#_x0000_t75" id="docshape15" stroked="false">
                  <v:imagedata r:id="rId8" o:title=""/>
                </v:shape>
                <v:shape style="position:absolute;left:8259;top:2613;width:116;height:116" type="#_x0000_t75" id="docshape16" stroked="false">
                  <v:imagedata r:id="rId11" o:title=""/>
                </v:shape>
                <v:shape style="position:absolute;left:8852;top:2694;width:116;height:116" type="#_x0000_t75" id="docshape17" stroked="false">
                  <v:imagedata r:id="rId11" o:title=""/>
                </v:shape>
                <v:shape style="position:absolute;left:9442;top:2776;width:116;height:116" type="#_x0000_t75" id="docshape18" stroked="false">
                  <v:imagedata r:id="rId8" o:title=""/>
                </v:shape>
                <v:shape style="position:absolute;left:2995;top:1797;width:2366;height:328" id="docshape19" coordorigin="2995,1798" coordsize="2366,328" path="m2995,1798l3588,1961,4178,2125,4769,1989,5361,2030e" filled="false" stroked="true" strokeweight="2.25pt" strokecolor="#ec7c30">
                  <v:path arrowok="t"/>
                  <v:stroke dashstyle="solid"/>
                </v:shape>
                <v:shape style="position:absolute;left:2917;top:1720;width:155;height:155" type="#_x0000_t75" id="docshape20" stroked="false">
                  <v:imagedata r:id="rId12" o:title=""/>
                </v:shape>
                <v:shape style="position:absolute;left:3510;top:1883;width:155;height:155" type="#_x0000_t75" id="docshape21" stroked="false">
                  <v:imagedata r:id="rId12" o:title=""/>
                </v:shape>
                <v:shape style="position:absolute;left:4100;top:2049;width:155;height:155" type="#_x0000_t75" id="docshape22" stroked="false">
                  <v:imagedata r:id="rId13" o:title=""/>
                </v:shape>
                <v:shape style="position:absolute;left:4690;top:1912;width:155;height:155" type="#_x0000_t75" id="docshape23" stroked="false">
                  <v:imagedata r:id="rId14" o:title=""/>
                </v:shape>
                <v:shape style="position:absolute;left:5291;top:1960;width:140;height:140" id="docshape24" coordorigin="5291,1961" coordsize="140,140" path="m5361,1961l5291,2030,5361,2100,5430,2030,5361,1961xe" filled="true" fillcolor="#ec7c30" stroked="false">
                  <v:path arrowok="t"/>
                  <v:fill type="solid"/>
                </v:shape>
                <v:shape style="position:absolute;left:5291;top:1960;width:140;height:140" id="docshape25" coordorigin="5291,1961" coordsize="140,140" path="m5361,1961l5430,2030,5361,2100,5291,2030,5361,1961xe" filled="false" stroked="true" strokeweight=".75pt" strokecolor="#ec7c30">
                  <v:path arrowok="t"/>
                  <v:stroke dashstyle="solid"/>
                </v:shape>
                <v:shape style="position:absolute;left:2325;top:1638;width:155;height:155" type="#_x0000_t75" id="docshape26" stroked="false">
                  <v:imagedata r:id="rId15" o:title=""/>
                </v:shape>
                <v:line style="position:absolute" from="5361,2030" to="5393,1928" stroked="true" strokeweight=".75pt" strokecolor="#a6a6a6">
                  <v:stroke dashstyle="solid"/>
                </v:line>
                <v:shape style="position:absolute;left:3419;top:3736;width:384;height:116" type="#_x0000_t75" id="docshape27" stroked="false">
                  <v:imagedata r:id="rId16" o:title=""/>
                </v:shape>
                <v:shape style="position:absolute;left:5406;top:3736;width:384;height:116" type="#_x0000_t75" id="docshape28" stroked="false">
                  <v:imagedata r:id="rId17" o:title=""/>
                </v:shape>
                <v:shape style="position:absolute;left:7364;top:3736;width:384;height:116" type="#_x0000_t75" id="docshape29" stroked="false">
                  <v:imagedata r:id="rId18" o:title=""/>
                </v:shape>
                <v:rect style="position:absolute;left:1888;top:213;width:8130;height:3870" id="docshape30" filled="false" stroked="true" strokeweight=".5pt" strokecolor="#a6a6a6">
                  <v:stroke dashstyle="solid"/>
                </v:rect>
                <v:shape style="position:absolute;left:4581;top:2279;width:420;height:200" type="#_x0000_t202" id="docshape31"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7.2%</w:t>
                        </w:r>
                      </w:p>
                    </w:txbxContent>
                  </v:textbox>
                  <w10:wrap type="none"/>
                </v:shape>
                <v:shape style="position:absolute;left:5191;top:2361;width:420;height:200" type="#_x0000_t202" id="docshape32"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6.6%</w:t>
                        </w:r>
                      </w:p>
                    </w:txbxContent>
                  </v:textbox>
                  <w10:wrap type="none"/>
                </v:shape>
                <v:shape style="position:absolute;left:7527;top:2246;width:420;height:200" type="#_x0000_t202" id="docshape33"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4.2%</w:t>
                        </w:r>
                      </w:p>
                    </w:txbxContent>
                  </v:textbox>
                  <w10:wrap type="none"/>
                </v:shape>
                <v:shape style="position:absolute;left:8119;top:2328;width:420;height:200" type="#_x0000_t202" id="docshape34"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3.6%</w:t>
                        </w:r>
                      </w:p>
                    </w:txbxContent>
                  </v:textbox>
                  <w10:wrap type="none"/>
                </v:shape>
                <v:shape style="position:absolute;left:8711;top:2410;width:421;height:200" type="#_x0000_t202" id="docshape35"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3.0%</w:t>
                        </w:r>
                      </w:p>
                    </w:txbxContent>
                  </v:textbox>
                  <w10:wrap type="none"/>
                </v:shape>
                <v:shape style="position:absolute;left:9302;top:2491;width:420;height:200" type="#_x0000_t202" id="docshape36"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2.4%</w:t>
                        </w:r>
                      </w:p>
                    </w:txbxContent>
                  </v:textbox>
                  <w10:wrap type="none"/>
                </v:shape>
                <v:shape style="position:absolute;left:2222;top:3313;width:7485;height:180" type="#_x0000_t202" id="docshape37" filled="false" stroked="false">
                  <v:textbox inset="0,0,0,0">
                    <w:txbxContent>
                      <w:p>
                        <w:pPr>
                          <w:tabs>
                            <w:tab w:pos="591" w:val="left" w:leader="none"/>
                            <w:tab w:pos="1183" w:val="left" w:leader="none"/>
                            <w:tab w:pos="1774" w:val="left" w:leader="none"/>
                            <w:tab w:pos="2366" w:val="left" w:leader="none"/>
                            <w:tab w:pos="2958" w:val="left" w:leader="none"/>
                            <w:tab w:pos="3549" w:val="left" w:leader="none"/>
                            <w:tab w:pos="4141" w:val="left" w:leader="none"/>
                            <w:tab w:pos="4732" w:val="left" w:leader="none"/>
                            <w:tab w:pos="5324" w:val="left" w:leader="none"/>
                            <w:tab w:pos="5916" w:val="left" w:leader="none"/>
                            <w:tab w:pos="6507" w:val="left" w:leader="none"/>
                            <w:tab w:pos="7099"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v:textbox>
                  <w10:wrap type="none"/>
                </v:shape>
                <v:shape style="position:absolute;left:3844;top:3711;width:1290;height:180" type="#_x0000_t202" id="docshape38"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5832;top:3711;width:1261;height:180" type="#_x0000_t202" id="docshape39"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7790;top:3711;width:789;height:180" type="#_x0000_t202" id="docshape40"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3978;top:2326;width:420;height:200" type="#_x0000_t202" id="docshape41"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7.6%</w:t>
                        </w:r>
                      </w:p>
                    </w:txbxContent>
                  </v:textbox>
                  <w10:wrap type="none"/>
                </v:shape>
                <v:shape style="position:absolute;left:6936;top:2164;width:420;height:200" type="#_x0000_t202" id="docshape42"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4.8%</w:t>
                        </w:r>
                      </w:p>
                    </w:txbxContent>
                  </v:textbox>
                  <w10:wrap type="none"/>
                </v:shape>
                <v:shape style="position:absolute;left:6344;top:2082;width:420;height:200" type="#_x0000_t202" id="docshape43"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5.4%</w:t>
                        </w:r>
                      </w:p>
                    </w:txbxContent>
                  </v:textbox>
                  <w10:wrap type="none"/>
                </v:shape>
                <v:shape style="position:absolute;left:5753;top:2000;width:420;height:200" type="#_x0000_t202" id="docshape44"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6.0%</w:t>
                        </w:r>
                      </w:p>
                    </w:txbxContent>
                  </v:textbox>
                  <w10:wrap type="none"/>
                </v:shape>
                <v:shape style="position:absolute;left:3361;top:2152;width:420;height:200" type="#_x0000_t202" id="docshape45"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8.4%</w:t>
                        </w:r>
                      </w:p>
                    </w:txbxContent>
                  </v:textbox>
                  <w10:wrap type="none"/>
                </v:shape>
                <v:shape style="position:absolute;left:2806;top:2052;width:420;height:200" type="#_x0000_t202" id="docshape46"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9.0%</w:t>
                        </w:r>
                      </w:p>
                    </w:txbxContent>
                  </v:textbox>
                  <w10:wrap type="none"/>
                </v:shape>
                <v:shape style="position:absolute;left:4600;top:1695;width:1012;height:213" type="#_x0000_t202" id="docshape47" filled="false" stroked="false">
                  <v:textbox inset="0,0,0,0">
                    <w:txbxContent>
                      <w:p>
                        <w:pPr>
                          <w:spacing w:line="213" w:lineRule="exact" w:before="0"/>
                          <w:ind w:left="0" w:right="0" w:firstLine="0"/>
                          <w:jc w:val="left"/>
                          <w:rPr>
                            <w:rFonts w:ascii="Calibri"/>
                            <w:b/>
                            <w:position w:val="1"/>
                            <w:sz w:val="20"/>
                          </w:rPr>
                        </w:pPr>
                        <w:r>
                          <w:rPr>
                            <w:rFonts w:ascii="Calibri"/>
                            <w:b/>
                            <w:color w:val="EC7C30"/>
                            <w:sz w:val="20"/>
                          </w:rPr>
                          <w:t>8.6%</w:t>
                        </w:r>
                        <w:r>
                          <w:rPr>
                            <w:rFonts w:ascii="Calibri"/>
                            <w:b/>
                            <w:color w:val="EC7C30"/>
                            <w:spacing w:val="46"/>
                            <w:sz w:val="20"/>
                          </w:rPr>
                          <w:t>  </w:t>
                        </w:r>
                        <w:r>
                          <w:rPr>
                            <w:rFonts w:ascii="Calibri"/>
                            <w:b/>
                            <w:color w:val="EC7C30"/>
                            <w:spacing w:val="-4"/>
                            <w:position w:val="1"/>
                            <w:sz w:val="20"/>
                          </w:rPr>
                          <w:t>8.3%</w:t>
                        </w:r>
                      </w:p>
                    </w:txbxContent>
                  </v:textbox>
                  <w10:wrap type="none"/>
                </v:shape>
                <v:shape style="position:absolute;left:3978;top:1754;width:420;height:200" type="#_x0000_t202" id="docshape48"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7.8%</w:t>
                        </w:r>
                      </w:p>
                    </w:txbxContent>
                  </v:textbox>
                  <w10:wrap type="none"/>
                </v:shape>
                <v:shape style="position:absolute;left:3435;top:1700;width:421;height:200" type="#_x0000_t202" id="docshape49"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8.8%</w:t>
                        </w:r>
                      </w:p>
                    </w:txbxContent>
                  </v:textbox>
                  <w10:wrap type="none"/>
                </v:shape>
                <v:shape style="position:absolute;left:2779;top:1518;width:521;height:200" type="#_x0000_t202" id="docshape50" filled="false" stroked="false">
                  <v:textbox inset="0,0,0,0">
                    <w:txbxContent>
                      <w:p>
                        <w:pPr>
                          <w:spacing w:line="199" w:lineRule="exact" w:before="0"/>
                          <w:ind w:left="0" w:right="0" w:firstLine="0"/>
                          <w:jc w:val="left"/>
                          <w:rPr>
                            <w:rFonts w:ascii="Calibri"/>
                            <w:b/>
                            <w:sz w:val="20"/>
                          </w:rPr>
                        </w:pPr>
                        <w:r>
                          <w:rPr>
                            <w:rFonts w:ascii="Calibri"/>
                            <w:b/>
                            <w:color w:val="EC7C30"/>
                            <w:spacing w:val="-2"/>
                            <w:sz w:val="20"/>
                          </w:rPr>
                          <w:t>10.0%</w:t>
                        </w:r>
                      </w:p>
                    </w:txbxContent>
                  </v:textbox>
                  <w10:wrap type="none"/>
                </v:shape>
                <v:shape style="position:absolute;left:2102;top:1353;width:622;height:200" type="#_x0000_t202" id="docshape51" filled="false" stroked="false">
                  <v:textbox inset="0,0,0,0">
                    <w:txbxContent>
                      <w:p>
                        <w:pPr>
                          <w:spacing w:line="199" w:lineRule="exact" w:before="0"/>
                          <w:ind w:left="0" w:right="0" w:firstLine="0"/>
                          <w:jc w:val="left"/>
                          <w:rPr>
                            <w:rFonts w:ascii="Calibri"/>
                            <w:b/>
                            <w:sz w:val="20"/>
                          </w:rPr>
                        </w:pPr>
                        <w:r>
                          <w:rPr>
                            <w:rFonts w:ascii="Calibri"/>
                            <w:b/>
                            <w:color w:val="4471C4"/>
                            <w:spacing w:val="-2"/>
                            <w:sz w:val="20"/>
                          </w:rPr>
                          <w:t>10.60%</w:t>
                        </w:r>
                      </w:p>
                    </w:txbxContent>
                  </v:textbox>
                  <w10:wrap type="none"/>
                </v:shape>
                <w10:wrap type="topAndBottom"/>
              </v:group>
            </w:pict>
          </mc:Fallback>
        </mc:AlternateContent>
      </w:r>
    </w:p>
    <w:p>
      <w:pPr>
        <w:spacing w:line="328" w:lineRule="auto" w:before="56"/>
        <w:ind w:left="143" w:right="5492" w:firstLine="0"/>
        <w:jc w:val="left"/>
        <w:rPr>
          <w:sz w:val="16"/>
        </w:rPr>
      </w:pPr>
      <w:r>
        <w:rPr>
          <w:sz w:val="16"/>
        </w:rPr>
        <w:t>Fuente:</w:t>
      </w:r>
      <w:r>
        <w:rPr>
          <w:spacing w:val="-9"/>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pStyle w:val="BodyText"/>
        <w:spacing w:line="324" w:lineRule="auto" w:before="173"/>
        <w:ind w:left="143" w:right="712"/>
        <w:jc w:val="both"/>
      </w:pPr>
      <w:r>
        <w:rPr/>
        <w:t>OP.02</w:t>
      </w:r>
      <w:r>
        <w:rPr>
          <w:spacing w:val="-7"/>
        </w:rPr>
        <w:t> </w:t>
      </w:r>
      <w:r>
        <w:rPr/>
        <w:t>Garantizar</w:t>
      </w:r>
      <w:r>
        <w:rPr>
          <w:spacing w:val="-10"/>
        </w:rPr>
        <w:t> </w:t>
      </w:r>
      <w:r>
        <w:rPr/>
        <w:t>el</w:t>
      </w:r>
      <w:r>
        <w:rPr>
          <w:spacing w:val="-9"/>
        </w:rPr>
        <w:t> </w:t>
      </w:r>
      <w:r>
        <w:rPr/>
        <w:t>ejercicio</w:t>
      </w:r>
      <w:r>
        <w:rPr>
          <w:spacing w:val="-9"/>
        </w:rPr>
        <w:t> </w:t>
      </w:r>
      <w:r>
        <w:rPr/>
        <w:t>de</w:t>
      </w:r>
      <w:r>
        <w:rPr>
          <w:spacing w:val="-12"/>
        </w:rPr>
        <w:t> </w:t>
      </w:r>
      <w:r>
        <w:rPr/>
        <w:t>los</w:t>
      </w:r>
      <w:r>
        <w:rPr>
          <w:spacing w:val="-12"/>
        </w:rPr>
        <w:t> </w:t>
      </w:r>
      <w:r>
        <w:rPr/>
        <w:t>derechos</w:t>
      </w:r>
      <w:r>
        <w:rPr>
          <w:spacing w:val="-12"/>
        </w:rPr>
        <w:t> </w:t>
      </w:r>
      <w:r>
        <w:rPr/>
        <w:t>a</w:t>
      </w:r>
      <w:r>
        <w:rPr>
          <w:spacing w:val="-10"/>
        </w:rPr>
        <w:t> </w:t>
      </w:r>
      <w:r>
        <w:rPr/>
        <w:t>la</w:t>
      </w:r>
      <w:r>
        <w:rPr>
          <w:spacing w:val="-10"/>
        </w:rPr>
        <w:t> </w:t>
      </w:r>
      <w:r>
        <w:rPr/>
        <w:t>salud</w:t>
      </w:r>
      <w:r>
        <w:rPr>
          <w:spacing w:val="-9"/>
        </w:rPr>
        <w:t> </w:t>
      </w:r>
      <w:r>
        <w:rPr/>
        <w:t>sexual</w:t>
      </w:r>
      <w:r>
        <w:rPr>
          <w:spacing w:val="-9"/>
        </w:rPr>
        <w:t> </w:t>
      </w:r>
      <w:r>
        <w:rPr/>
        <w:t>y</w:t>
      </w:r>
      <w:r>
        <w:rPr>
          <w:spacing w:val="-10"/>
        </w:rPr>
        <w:t> </w:t>
      </w:r>
      <w:r>
        <w:rPr/>
        <w:t>reproductiva</w:t>
      </w:r>
      <w:r>
        <w:rPr>
          <w:spacing w:val="-10"/>
        </w:rPr>
        <w:t> </w:t>
      </w:r>
      <w:r>
        <w:rPr/>
        <w:t>de las mujeres</w:t>
      </w:r>
    </w:p>
    <w:p>
      <w:pPr>
        <w:spacing w:line="326" w:lineRule="auto" w:before="167"/>
        <w:ind w:left="143" w:right="365" w:firstLine="0"/>
        <w:jc w:val="left"/>
        <w:rPr>
          <w:rFonts w:ascii="Arial" w:hAnsi="Arial"/>
          <w:i/>
          <w:sz w:val="24"/>
        </w:rPr>
      </w:pPr>
      <w:r>
        <w:rPr>
          <w:spacing w:val="-2"/>
          <w:sz w:val="24"/>
        </w:rPr>
        <w:t>En</w:t>
      </w:r>
      <w:r>
        <w:rPr>
          <w:spacing w:val="-15"/>
          <w:sz w:val="24"/>
        </w:rPr>
        <w:t> </w:t>
      </w:r>
      <w:r>
        <w:rPr>
          <w:spacing w:val="-2"/>
          <w:sz w:val="24"/>
        </w:rPr>
        <w:t>cuanto</w:t>
      </w:r>
      <w:r>
        <w:rPr>
          <w:spacing w:val="-15"/>
          <w:sz w:val="24"/>
        </w:rPr>
        <w:t> </w:t>
      </w:r>
      <w:r>
        <w:rPr>
          <w:spacing w:val="-2"/>
          <w:sz w:val="24"/>
        </w:rPr>
        <w:t>al</w:t>
      </w:r>
      <w:r>
        <w:rPr>
          <w:spacing w:val="-15"/>
          <w:sz w:val="24"/>
        </w:rPr>
        <w:t> </w:t>
      </w:r>
      <w:r>
        <w:rPr>
          <w:spacing w:val="-2"/>
          <w:sz w:val="24"/>
        </w:rPr>
        <w:t>OP.02,</w:t>
      </w:r>
      <w:r>
        <w:rPr>
          <w:spacing w:val="-14"/>
          <w:sz w:val="24"/>
        </w:rPr>
        <w:t> </w:t>
      </w:r>
      <w:r>
        <w:rPr>
          <w:spacing w:val="-2"/>
          <w:sz w:val="24"/>
        </w:rPr>
        <w:t>este</w:t>
      </w:r>
      <w:r>
        <w:rPr>
          <w:spacing w:val="-15"/>
          <w:sz w:val="24"/>
        </w:rPr>
        <w:t> </w:t>
      </w:r>
      <w:r>
        <w:rPr>
          <w:spacing w:val="-2"/>
          <w:sz w:val="24"/>
        </w:rPr>
        <w:t>se</w:t>
      </w:r>
      <w:r>
        <w:rPr>
          <w:spacing w:val="-16"/>
          <w:sz w:val="24"/>
        </w:rPr>
        <w:t> </w:t>
      </w:r>
      <w:r>
        <w:rPr>
          <w:spacing w:val="-2"/>
          <w:sz w:val="24"/>
        </w:rPr>
        <w:t>mide</w:t>
      </w:r>
      <w:r>
        <w:rPr>
          <w:spacing w:val="-16"/>
          <w:sz w:val="24"/>
        </w:rPr>
        <w:t> </w:t>
      </w:r>
      <w:r>
        <w:rPr>
          <w:spacing w:val="-2"/>
          <w:sz w:val="24"/>
        </w:rPr>
        <w:t>mediante</w:t>
      </w:r>
      <w:r>
        <w:rPr>
          <w:spacing w:val="-15"/>
          <w:sz w:val="24"/>
        </w:rPr>
        <w:t> </w:t>
      </w:r>
      <w:r>
        <w:rPr>
          <w:spacing w:val="-2"/>
          <w:sz w:val="24"/>
        </w:rPr>
        <w:t>tres</w:t>
      </w:r>
      <w:r>
        <w:rPr>
          <w:spacing w:val="-14"/>
          <w:sz w:val="24"/>
        </w:rPr>
        <w:t> </w:t>
      </w:r>
      <w:r>
        <w:rPr>
          <w:spacing w:val="-2"/>
          <w:sz w:val="24"/>
        </w:rPr>
        <w:t>indicadores:</w:t>
      </w:r>
      <w:r>
        <w:rPr>
          <w:spacing w:val="-15"/>
          <w:sz w:val="24"/>
        </w:rPr>
        <w:t> </w:t>
      </w:r>
      <w:r>
        <w:rPr>
          <w:spacing w:val="-2"/>
          <w:sz w:val="24"/>
        </w:rPr>
        <w:t>i)</w:t>
      </w:r>
      <w:r>
        <w:rPr>
          <w:spacing w:val="-17"/>
          <w:sz w:val="24"/>
        </w:rPr>
        <w:t> </w:t>
      </w:r>
      <w:r>
        <w:rPr>
          <w:rFonts w:ascii="Arial" w:hAnsi="Arial"/>
          <w:i/>
          <w:spacing w:val="-2"/>
          <w:sz w:val="24"/>
        </w:rPr>
        <w:t>Porcentaje</w:t>
      </w:r>
      <w:r>
        <w:rPr>
          <w:rFonts w:ascii="Arial" w:hAnsi="Arial"/>
          <w:i/>
          <w:spacing w:val="-16"/>
          <w:sz w:val="24"/>
        </w:rPr>
        <w:t> </w:t>
      </w:r>
      <w:r>
        <w:rPr>
          <w:rFonts w:ascii="Arial" w:hAnsi="Arial"/>
          <w:i/>
          <w:spacing w:val="-2"/>
          <w:sz w:val="24"/>
        </w:rPr>
        <w:t>mujeres </w:t>
      </w:r>
      <w:r>
        <w:rPr>
          <w:rFonts w:ascii="Arial" w:hAnsi="Arial"/>
          <w:i/>
          <w:sz w:val="24"/>
        </w:rPr>
        <w:t>que</w:t>
      </w:r>
      <w:r>
        <w:rPr>
          <w:rFonts w:ascii="Arial" w:hAnsi="Arial"/>
          <w:i/>
          <w:spacing w:val="23"/>
          <w:sz w:val="24"/>
        </w:rPr>
        <w:t> </w:t>
      </w:r>
      <w:r>
        <w:rPr>
          <w:rFonts w:ascii="Arial" w:hAnsi="Arial"/>
          <w:i/>
          <w:sz w:val="24"/>
        </w:rPr>
        <w:t>utilizan</w:t>
      </w:r>
      <w:r>
        <w:rPr>
          <w:rFonts w:ascii="Arial" w:hAnsi="Arial"/>
          <w:i/>
          <w:spacing w:val="23"/>
          <w:sz w:val="24"/>
        </w:rPr>
        <w:t> </w:t>
      </w:r>
      <w:r>
        <w:rPr>
          <w:rFonts w:ascii="Arial" w:hAnsi="Arial"/>
          <w:i/>
          <w:sz w:val="24"/>
        </w:rPr>
        <w:t>métodos</w:t>
      </w:r>
      <w:r>
        <w:rPr>
          <w:rFonts w:ascii="Arial" w:hAnsi="Arial"/>
          <w:i/>
          <w:spacing w:val="22"/>
          <w:sz w:val="24"/>
        </w:rPr>
        <w:t> </w:t>
      </w:r>
      <w:r>
        <w:rPr>
          <w:rFonts w:ascii="Arial" w:hAnsi="Arial"/>
          <w:i/>
          <w:sz w:val="24"/>
        </w:rPr>
        <w:t>anticonceptivos</w:t>
      </w:r>
      <w:r>
        <w:rPr>
          <w:sz w:val="24"/>
        </w:rPr>
        <w:t>,</w:t>
      </w:r>
      <w:r>
        <w:rPr>
          <w:spacing w:val="24"/>
          <w:sz w:val="24"/>
        </w:rPr>
        <w:t> </w:t>
      </w:r>
      <w:r>
        <w:rPr>
          <w:sz w:val="24"/>
        </w:rPr>
        <w:t>ii)</w:t>
      </w:r>
      <w:r>
        <w:rPr>
          <w:spacing w:val="23"/>
          <w:sz w:val="24"/>
        </w:rPr>
        <w:t> </w:t>
      </w:r>
      <w:r>
        <w:rPr>
          <w:rFonts w:ascii="Arial" w:hAnsi="Arial"/>
          <w:i/>
          <w:sz w:val="24"/>
        </w:rPr>
        <w:t>Proporción</w:t>
      </w:r>
      <w:r>
        <w:rPr>
          <w:rFonts w:ascii="Arial" w:hAnsi="Arial"/>
          <w:i/>
          <w:spacing w:val="23"/>
          <w:sz w:val="24"/>
        </w:rPr>
        <w:t> </w:t>
      </w:r>
      <w:r>
        <w:rPr>
          <w:rFonts w:ascii="Arial" w:hAnsi="Arial"/>
          <w:i/>
          <w:sz w:val="24"/>
        </w:rPr>
        <w:t>de</w:t>
      </w:r>
      <w:r>
        <w:rPr>
          <w:rFonts w:ascii="Arial" w:hAnsi="Arial"/>
          <w:i/>
          <w:spacing w:val="22"/>
          <w:sz w:val="24"/>
        </w:rPr>
        <w:t> </w:t>
      </w:r>
      <w:r>
        <w:rPr>
          <w:rFonts w:ascii="Arial" w:hAnsi="Arial"/>
          <w:i/>
          <w:sz w:val="24"/>
        </w:rPr>
        <w:t>mujeres</w:t>
      </w:r>
      <w:r>
        <w:rPr>
          <w:rFonts w:ascii="Arial" w:hAnsi="Arial"/>
          <w:i/>
          <w:spacing w:val="22"/>
          <w:sz w:val="24"/>
        </w:rPr>
        <w:t> </w:t>
      </w:r>
      <w:r>
        <w:rPr>
          <w:rFonts w:ascii="Arial" w:hAnsi="Arial"/>
          <w:i/>
          <w:sz w:val="24"/>
        </w:rPr>
        <w:t>con</w:t>
      </w:r>
      <w:r>
        <w:rPr>
          <w:rFonts w:ascii="Arial" w:hAnsi="Arial"/>
          <w:i/>
          <w:spacing w:val="24"/>
          <w:sz w:val="24"/>
        </w:rPr>
        <w:t> </w:t>
      </w:r>
      <w:r>
        <w:rPr>
          <w:rFonts w:ascii="Arial" w:hAnsi="Arial"/>
          <w:i/>
          <w:spacing w:val="-2"/>
          <w:sz w:val="24"/>
        </w:rPr>
        <w:t>demanda</w:t>
      </w:r>
    </w:p>
    <w:p>
      <w:pPr>
        <w:spacing w:after="0" w:line="326" w:lineRule="auto"/>
        <w:jc w:val="left"/>
        <w:rPr>
          <w:rFonts w:ascii="Arial" w:hAnsi="Arial"/>
          <w:i/>
          <w:sz w:val="24"/>
        </w:rPr>
        <w:sectPr>
          <w:pgSz w:w="11910" w:h="16840"/>
          <w:pgMar w:header="713" w:footer="1000" w:top="1420" w:bottom="1200" w:left="1559" w:right="992"/>
        </w:sectPr>
      </w:pPr>
    </w:p>
    <w:p>
      <w:pPr>
        <w:spacing w:line="324" w:lineRule="auto" w:before="126"/>
        <w:ind w:left="143" w:right="707" w:firstLine="0"/>
        <w:jc w:val="both"/>
        <w:rPr>
          <w:rFonts w:ascii="Arial" w:hAnsi="Arial"/>
          <w:i/>
          <w:sz w:val="24"/>
        </w:rPr>
      </w:pPr>
      <w:r>
        <w:rPr>
          <w:rFonts w:ascii="Arial" w:hAnsi="Arial"/>
          <w:i/>
          <w:spacing w:val="-4"/>
          <w:sz w:val="24"/>
        </w:rPr>
        <w:t>insatisfecha de</w:t>
      </w:r>
      <w:r>
        <w:rPr>
          <w:rFonts w:ascii="Arial" w:hAnsi="Arial"/>
          <w:i/>
          <w:spacing w:val="-6"/>
          <w:sz w:val="24"/>
        </w:rPr>
        <w:t> </w:t>
      </w:r>
      <w:r>
        <w:rPr>
          <w:rFonts w:ascii="Arial" w:hAnsi="Arial"/>
          <w:i/>
          <w:spacing w:val="-4"/>
          <w:sz w:val="24"/>
        </w:rPr>
        <w:t>planificación familiar </w:t>
      </w:r>
      <w:r>
        <w:rPr>
          <w:spacing w:val="-4"/>
          <w:sz w:val="24"/>
        </w:rPr>
        <w:t>y iii) </w:t>
      </w:r>
      <w:r>
        <w:rPr>
          <w:rFonts w:ascii="Arial" w:hAnsi="Arial"/>
          <w:i/>
          <w:spacing w:val="-4"/>
          <w:sz w:val="24"/>
        </w:rPr>
        <w:t>Porcentaje</w:t>
      </w:r>
      <w:r>
        <w:rPr>
          <w:rFonts w:ascii="Arial" w:hAnsi="Arial"/>
          <w:i/>
          <w:spacing w:val="-6"/>
          <w:sz w:val="24"/>
        </w:rPr>
        <w:t> </w:t>
      </w:r>
      <w:r>
        <w:rPr>
          <w:rFonts w:ascii="Arial" w:hAnsi="Arial"/>
          <w:i/>
          <w:spacing w:val="-4"/>
          <w:sz w:val="24"/>
        </w:rPr>
        <w:t>de</w:t>
      </w:r>
      <w:r>
        <w:rPr>
          <w:rFonts w:ascii="Arial" w:hAnsi="Arial"/>
          <w:i/>
          <w:spacing w:val="-5"/>
          <w:sz w:val="24"/>
        </w:rPr>
        <w:t> </w:t>
      </w:r>
      <w:r>
        <w:rPr>
          <w:rFonts w:ascii="Arial" w:hAnsi="Arial"/>
          <w:i/>
          <w:spacing w:val="-4"/>
          <w:sz w:val="24"/>
        </w:rPr>
        <w:t>embarazo adolescente,</w:t>
      </w:r>
      <w:r>
        <w:rPr>
          <w:rFonts w:ascii="Arial" w:hAnsi="Arial"/>
          <w:i/>
          <w:spacing w:val="-5"/>
          <w:sz w:val="24"/>
        </w:rPr>
        <w:t> </w:t>
      </w:r>
      <w:r>
        <w:rPr>
          <w:rFonts w:ascii="Arial" w:hAnsi="Arial"/>
          <w:i/>
          <w:spacing w:val="-4"/>
          <w:sz w:val="24"/>
        </w:rPr>
        <w:t>los </w:t>
      </w:r>
      <w:r>
        <w:rPr>
          <w:rFonts w:ascii="Arial" w:hAnsi="Arial"/>
          <w:i/>
          <w:sz w:val="24"/>
        </w:rPr>
        <w:t>cuales</w:t>
      </w:r>
      <w:r>
        <w:rPr>
          <w:rFonts w:ascii="Arial" w:hAnsi="Arial"/>
          <w:i/>
          <w:spacing w:val="-17"/>
          <w:sz w:val="24"/>
        </w:rPr>
        <w:t> </w:t>
      </w:r>
      <w:r>
        <w:rPr>
          <w:rFonts w:ascii="Arial" w:hAnsi="Arial"/>
          <w:i/>
          <w:sz w:val="24"/>
        </w:rPr>
        <w:t>se</w:t>
      </w:r>
      <w:r>
        <w:rPr>
          <w:rFonts w:ascii="Arial" w:hAnsi="Arial"/>
          <w:i/>
          <w:spacing w:val="-17"/>
          <w:sz w:val="24"/>
        </w:rPr>
        <w:t> </w:t>
      </w:r>
      <w:r>
        <w:rPr>
          <w:rFonts w:ascii="Arial" w:hAnsi="Arial"/>
          <w:i/>
          <w:sz w:val="24"/>
        </w:rPr>
        <w:t>describen</w:t>
      </w:r>
      <w:r>
        <w:rPr>
          <w:rFonts w:ascii="Arial" w:hAnsi="Arial"/>
          <w:i/>
          <w:spacing w:val="-16"/>
          <w:sz w:val="24"/>
        </w:rPr>
        <w:t> </w:t>
      </w:r>
      <w:r>
        <w:rPr>
          <w:rFonts w:ascii="Arial" w:hAnsi="Arial"/>
          <w:i/>
          <w:sz w:val="24"/>
        </w:rPr>
        <w:t>a</w:t>
      </w:r>
      <w:r>
        <w:rPr>
          <w:rFonts w:ascii="Arial" w:hAnsi="Arial"/>
          <w:i/>
          <w:spacing w:val="-17"/>
          <w:sz w:val="24"/>
        </w:rPr>
        <w:t> </w:t>
      </w:r>
      <w:r>
        <w:rPr>
          <w:rFonts w:ascii="Arial" w:hAnsi="Arial"/>
          <w:i/>
          <w:sz w:val="24"/>
        </w:rPr>
        <w:t>continuación:</w:t>
      </w:r>
    </w:p>
    <w:p>
      <w:pPr>
        <w:spacing w:line="326" w:lineRule="auto" w:before="164"/>
        <w:ind w:left="143" w:right="704" w:firstLine="0"/>
        <w:jc w:val="both"/>
        <w:rPr>
          <w:sz w:val="24"/>
        </w:rPr>
      </w:pPr>
      <w:r>
        <w:rPr>
          <w:spacing w:val="-2"/>
          <w:sz w:val="24"/>
        </w:rPr>
        <w:t>El</w:t>
      </w:r>
      <w:r>
        <w:rPr>
          <w:spacing w:val="-15"/>
          <w:sz w:val="24"/>
        </w:rPr>
        <w:t> </w:t>
      </w:r>
      <w:r>
        <w:rPr>
          <w:spacing w:val="-2"/>
          <w:sz w:val="24"/>
        </w:rPr>
        <w:t>indicador</w:t>
      </w:r>
      <w:r>
        <w:rPr>
          <w:spacing w:val="-15"/>
          <w:sz w:val="24"/>
        </w:rPr>
        <w:t> </w:t>
      </w:r>
      <w:r>
        <w:rPr>
          <w:spacing w:val="-2"/>
          <w:sz w:val="24"/>
        </w:rPr>
        <w:t>“</w:t>
      </w:r>
      <w:r>
        <w:rPr>
          <w:rFonts w:ascii="Arial" w:hAnsi="Arial"/>
          <w:i/>
          <w:spacing w:val="-2"/>
          <w:sz w:val="24"/>
        </w:rPr>
        <w:t>Porcentaje</w:t>
      </w:r>
      <w:r>
        <w:rPr>
          <w:rFonts w:ascii="Arial" w:hAnsi="Arial"/>
          <w:i/>
          <w:spacing w:val="-14"/>
          <w:sz w:val="24"/>
        </w:rPr>
        <w:t> </w:t>
      </w:r>
      <w:r>
        <w:rPr>
          <w:rFonts w:ascii="Arial" w:hAnsi="Arial"/>
          <w:i/>
          <w:spacing w:val="-2"/>
          <w:sz w:val="24"/>
        </w:rPr>
        <w:t>mujeres</w:t>
      </w:r>
      <w:r>
        <w:rPr>
          <w:rFonts w:ascii="Arial" w:hAnsi="Arial"/>
          <w:i/>
          <w:spacing w:val="-15"/>
          <w:sz w:val="24"/>
        </w:rPr>
        <w:t> </w:t>
      </w:r>
      <w:r>
        <w:rPr>
          <w:rFonts w:ascii="Arial" w:hAnsi="Arial"/>
          <w:i/>
          <w:spacing w:val="-2"/>
          <w:sz w:val="24"/>
        </w:rPr>
        <w:t>que</w:t>
      </w:r>
      <w:r>
        <w:rPr>
          <w:rFonts w:ascii="Arial" w:hAnsi="Arial"/>
          <w:i/>
          <w:spacing w:val="-15"/>
          <w:sz w:val="24"/>
        </w:rPr>
        <w:t> </w:t>
      </w:r>
      <w:r>
        <w:rPr>
          <w:rFonts w:ascii="Arial" w:hAnsi="Arial"/>
          <w:i/>
          <w:spacing w:val="-2"/>
          <w:sz w:val="24"/>
        </w:rPr>
        <w:t>utilizan</w:t>
      </w:r>
      <w:r>
        <w:rPr>
          <w:rFonts w:ascii="Arial" w:hAnsi="Arial"/>
          <w:i/>
          <w:spacing w:val="-15"/>
          <w:sz w:val="24"/>
        </w:rPr>
        <w:t> </w:t>
      </w:r>
      <w:r>
        <w:rPr>
          <w:rFonts w:ascii="Arial" w:hAnsi="Arial"/>
          <w:i/>
          <w:spacing w:val="-2"/>
          <w:sz w:val="24"/>
        </w:rPr>
        <w:t>métodos</w:t>
      </w:r>
      <w:r>
        <w:rPr>
          <w:rFonts w:ascii="Arial" w:hAnsi="Arial"/>
          <w:i/>
          <w:spacing w:val="-14"/>
          <w:sz w:val="24"/>
        </w:rPr>
        <w:t> </w:t>
      </w:r>
      <w:r>
        <w:rPr>
          <w:rFonts w:ascii="Arial" w:hAnsi="Arial"/>
          <w:i/>
          <w:spacing w:val="-2"/>
          <w:sz w:val="24"/>
        </w:rPr>
        <w:t>anticonceptivos”</w:t>
      </w:r>
      <w:r>
        <w:rPr>
          <w:rFonts w:ascii="Arial" w:hAnsi="Arial"/>
          <w:i/>
          <w:spacing w:val="-15"/>
          <w:sz w:val="24"/>
        </w:rPr>
        <w:t> </w:t>
      </w:r>
      <w:r>
        <w:rPr>
          <w:spacing w:val="-2"/>
          <w:sz w:val="24"/>
        </w:rPr>
        <w:t>tiene</w:t>
      </w:r>
      <w:r>
        <w:rPr>
          <w:spacing w:val="-15"/>
          <w:sz w:val="24"/>
        </w:rPr>
        <w:t> </w:t>
      </w:r>
      <w:r>
        <w:rPr>
          <w:spacing w:val="-2"/>
          <w:sz w:val="24"/>
        </w:rPr>
        <w:t>como </w:t>
      </w:r>
      <w:r>
        <w:rPr>
          <w:sz w:val="24"/>
        </w:rPr>
        <w:t>fuente</w:t>
      </w:r>
      <w:r>
        <w:rPr>
          <w:spacing w:val="-5"/>
          <w:sz w:val="24"/>
        </w:rPr>
        <w:t> </w:t>
      </w:r>
      <w:r>
        <w:rPr>
          <w:sz w:val="24"/>
        </w:rPr>
        <w:t>de</w:t>
      </w:r>
      <w:r>
        <w:rPr>
          <w:spacing w:val="-7"/>
          <w:sz w:val="24"/>
        </w:rPr>
        <w:t> </w:t>
      </w:r>
      <w:r>
        <w:rPr>
          <w:sz w:val="24"/>
        </w:rPr>
        <w:t>datos</w:t>
      </w:r>
      <w:r>
        <w:rPr>
          <w:spacing w:val="-3"/>
          <w:sz w:val="24"/>
        </w:rPr>
        <w:t> </w:t>
      </w:r>
      <w:r>
        <w:rPr>
          <w:sz w:val="24"/>
        </w:rPr>
        <w:t>la</w:t>
      </w:r>
      <w:r>
        <w:rPr>
          <w:spacing w:val="-5"/>
          <w:sz w:val="24"/>
        </w:rPr>
        <w:t> </w:t>
      </w:r>
      <w:r>
        <w:rPr>
          <w:sz w:val="24"/>
        </w:rPr>
        <w:t>ENDES.</w:t>
      </w:r>
      <w:r>
        <w:rPr>
          <w:spacing w:val="-5"/>
          <w:sz w:val="24"/>
        </w:rPr>
        <w:t> </w:t>
      </w:r>
      <w:r>
        <w:rPr>
          <w:sz w:val="24"/>
        </w:rPr>
        <w:t>Asimismo,</w:t>
      </w:r>
      <w:r>
        <w:rPr>
          <w:spacing w:val="-4"/>
          <w:sz w:val="24"/>
        </w:rPr>
        <w:t> </w:t>
      </w:r>
      <w:r>
        <w:rPr>
          <w:sz w:val="24"/>
        </w:rPr>
        <w:t>el</w:t>
      </w:r>
      <w:r>
        <w:rPr>
          <w:spacing w:val="-4"/>
          <w:sz w:val="24"/>
        </w:rPr>
        <w:t> </w:t>
      </w:r>
      <w:r>
        <w:rPr>
          <w:sz w:val="24"/>
        </w:rPr>
        <w:t>responsable</w:t>
      </w:r>
      <w:r>
        <w:rPr>
          <w:spacing w:val="-5"/>
          <w:sz w:val="24"/>
        </w:rPr>
        <w:t> </w:t>
      </w:r>
      <w:r>
        <w:rPr>
          <w:sz w:val="24"/>
        </w:rPr>
        <w:t>del</w:t>
      </w:r>
      <w:r>
        <w:rPr>
          <w:spacing w:val="-4"/>
          <w:sz w:val="24"/>
        </w:rPr>
        <w:t> </w:t>
      </w:r>
      <w:r>
        <w:rPr>
          <w:sz w:val="24"/>
        </w:rPr>
        <w:t>indicador</w:t>
      </w:r>
      <w:r>
        <w:rPr>
          <w:spacing w:val="-7"/>
          <w:sz w:val="24"/>
        </w:rPr>
        <w:t> </w:t>
      </w:r>
      <w:r>
        <w:rPr>
          <w:sz w:val="24"/>
        </w:rPr>
        <w:t>es Ministerio de Salud (MINSA). Este indicador tiene un sentido ascendente y se espera que su valor incremente cada año. Al respecto:</w:t>
      </w:r>
    </w:p>
    <w:p>
      <w:pPr>
        <w:pStyle w:val="ListParagraph"/>
        <w:numPr>
          <w:ilvl w:val="0"/>
          <w:numId w:val="11"/>
        </w:numPr>
        <w:tabs>
          <w:tab w:pos="862" w:val="left" w:leader="none"/>
        </w:tabs>
        <w:spacing w:line="326" w:lineRule="auto" w:before="162" w:after="0"/>
        <w:ind w:left="862" w:right="703" w:hanging="360"/>
        <w:jc w:val="both"/>
        <w:rPr>
          <w:sz w:val="24"/>
        </w:rPr>
      </w:pPr>
      <w:r>
        <w:rPr>
          <w:sz w:val="24"/>
        </w:rPr>
        <w:t>En el año 2023 el indicador arrojó un valor de 77.4 % de mujeres que utilizan métodos anticonceptivos, lo cual muestra</w:t>
      </w:r>
      <w:r>
        <w:rPr>
          <w:spacing w:val="-2"/>
          <w:sz w:val="24"/>
        </w:rPr>
        <w:t> </w:t>
      </w:r>
      <w:r>
        <w:rPr>
          <w:sz w:val="24"/>
        </w:rPr>
        <w:t>que no se ha superado la meta programada del año: 78.1 %.</w:t>
      </w:r>
    </w:p>
    <w:p>
      <w:pPr>
        <w:pStyle w:val="ListParagraph"/>
        <w:numPr>
          <w:ilvl w:val="0"/>
          <w:numId w:val="11"/>
        </w:numPr>
        <w:tabs>
          <w:tab w:pos="862" w:val="left" w:leader="none"/>
        </w:tabs>
        <w:spacing w:line="326" w:lineRule="auto" w:before="1" w:after="0"/>
        <w:ind w:left="862" w:right="703" w:hanging="360"/>
        <w:jc w:val="both"/>
        <w:rPr>
          <w:sz w:val="24"/>
        </w:rPr>
      </w:pPr>
      <w:r>
        <w:rPr>
          <w:sz w:val="24"/>
        </w:rPr>
        <w:t>Asimismo, el nivel de avance del año 2023 correspondió a 99.0 % respecto a la meta</w:t>
      </w:r>
      <w:r>
        <w:rPr>
          <w:spacing w:val="-1"/>
          <w:sz w:val="24"/>
        </w:rPr>
        <w:t> </w:t>
      </w:r>
      <w:r>
        <w:rPr>
          <w:sz w:val="24"/>
        </w:rPr>
        <w:t>programada, lo</w:t>
      </w:r>
      <w:r>
        <w:rPr>
          <w:spacing w:val="-2"/>
          <w:sz w:val="24"/>
        </w:rPr>
        <w:t> </w:t>
      </w:r>
      <w:r>
        <w:rPr>
          <w:sz w:val="24"/>
        </w:rPr>
        <w:t>cual es considerado</w:t>
      </w:r>
      <w:r>
        <w:rPr>
          <w:spacing w:val="-2"/>
          <w:sz w:val="24"/>
        </w:rPr>
        <w:t> </w:t>
      </w:r>
      <w:r>
        <w:rPr>
          <w:sz w:val="24"/>
        </w:rPr>
        <w:t>como un nivel de cumplimiento alto, cifra inferior al nivel de avance identificado en 2022 (101.0 %) y más aún respecto al identificado en el 2021(102.6 %).</w:t>
      </w:r>
    </w:p>
    <w:p>
      <w:pPr>
        <w:pStyle w:val="ListParagraph"/>
        <w:numPr>
          <w:ilvl w:val="0"/>
          <w:numId w:val="11"/>
        </w:numPr>
        <w:tabs>
          <w:tab w:pos="862" w:val="left" w:leader="none"/>
        </w:tabs>
        <w:spacing w:line="326" w:lineRule="auto" w:before="3" w:after="0"/>
        <w:ind w:left="862" w:right="704" w:hanging="360"/>
        <w:jc w:val="both"/>
        <w:rPr>
          <w:sz w:val="24"/>
        </w:rPr>
      </w:pPr>
      <w:r>
        <w:rPr>
          <w:sz w:val="24"/>
        </w:rPr>
        <w:t>En</w:t>
      </w:r>
      <w:r>
        <w:rPr>
          <w:spacing w:val="-7"/>
          <w:sz w:val="24"/>
        </w:rPr>
        <w:t> </w:t>
      </w:r>
      <w:r>
        <w:rPr>
          <w:sz w:val="24"/>
        </w:rPr>
        <w:t>esa</w:t>
      </w:r>
      <w:r>
        <w:rPr>
          <w:spacing w:val="-7"/>
          <w:sz w:val="24"/>
        </w:rPr>
        <w:t> </w:t>
      </w:r>
      <w:r>
        <w:rPr>
          <w:sz w:val="24"/>
        </w:rPr>
        <w:t>línea,</w:t>
      </w:r>
      <w:r>
        <w:rPr>
          <w:spacing w:val="-8"/>
          <w:sz w:val="24"/>
        </w:rPr>
        <w:t> </w:t>
      </w:r>
      <w:r>
        <w:rPr>
          <w:sz w:val="24"/>
        </w:rPr>
        <w:t>dado</w:t>
      </w:r>
      <w:r>
        <w:rPr>
          <w:spacing w:val="-5"/>
          <w:sz w:val="24"/>
        </w:rPr>
        <w:t> </w:t>
      </w:r>
      <w:r>
        <w:rPr>
          <w:sz w:val="24"/>
        </w:rPr>
        <w:t>que</w:t>
      </w:r>
      <w:r>
        <w:rPr>
          <w:spacing w:val="-9"/>
          <w:sz w:val="24"/>
        </w:rPr>
        <w:t> </w:t>
      </w:r>
      <w:r>
        <w:rPr>
          <w:sz w:val="24"/>
        </w:rPr>
        <w:t>el</w:t>
      </w:r>
      <w:r>
        <w:rPr>
          <w:spacing w:val="-5"/>
          <w:sz w:val="24"/>
        </w:rPr>
        <w:t> </w:t>
      </w:r>
      <w:r>
        <w:rPr>
          <w:sz w:val="24"/>
        </w:rPr>
        <w:t>valor</w:t>
      </w:r>
      <w:r>
        <w:rPr>
          <w:spacing w:val="-5"/>
          <w:sz w:val="24"/>
        </w:rPr>
        <w:t> </w:t>
      </w:r>
      <w:r>
        <w:rPr>
          <w:sz w:val="24"/>
        </w:rPr>
        <w:t>obtenido</w:t>
      </w:r>
      <w:r>
        <w:rPr>
          <w:spacing w:val="-5"/>
          <w:sz w:val="24"/>
        </w:rPr>
        <w:t> </w:t>
      </w:r>
      <w:r>
        <w:rPr>
          <w:sz w:val="24"/>
        </w:rPr>
        <w:t>en</w:t>
      </w:r>
      <w:r>
        <w:rPr>
          <w:spacing w:val="-9"/>
          <w:sz w:val="24"/>
        </w:rPr>
        <w:t> </w:t>
      </w:r>
      <w:r>
        <w:rPr>
          <w:sz w:val="24"/>
        </w:rPr>
        <w:t>el</w:t>
      </w:r>
      <w:r>
        <w:rPr>
          <w:spacing w:val="-8"/>
          <w:sz w:val="24"/>
        </w:rPr>
        <w:t> </w:t>
      </w:r>
      <w:r>
        <w:rPr>
          <w:sz w:val="24"/>
        </w:rPr>
        <w:t>2023</w:t>
      </w:r>
      <w:r>
        <w:rPr>
          <w:spacing w:val="-2"/>
          <w:sz w:val="24"/>
        </w:rPr>
        <w:t> </w:t>
      </w:r>
      <w:r>
        <w:rPr>
          <w:sz w:val="24"/>
        </w:rPr>
        <w:t>disminuyo</w:t>
      </w:r>
      <w:r>
        <w:rPr>
          <w:spacing w:val="-4"/>
          <w:sz w:val="24"/>
        </w:rPr>
        <w:t> </w:t>
      </w:r>
      <w:r>
        <w:rPr>
          <w:sz w:val="24"/>
        </w:rPr>
        <w:t>en</w:t>
      </w:r>
      <w:r>
        <w:rPr>
          <w:spacing w:val="-5"/>
          <w:sz w:val="24"/>
        </w:rPr>
        <w:t> </w:t>
      </w:r>
      <w:r>
        <w:rPr>
          <w:sz w:val="24"/>
        </w:rPr>
        <w:t>0.5</w:t>
      </w:r>
      <w:r>
        <w:rPr>
          <w:spacing w:val="-7"/>
          <w:sz w:val="24"/>
        </w:rPr>
        <w:t> </w:t>
      </w:r>
      <w:r>
        <w:rPr>
          <w:sz w:val="24"/>
        </w:rPr>
        <w:t>p.p. respecto</w:t>
      </w:r>
      <w:r>
        <w:rPr>
          <w:spacing w:val="-6"/>
          <w:sz w:val="24"/>
        </w:rPr>
        <w:t> </w:t>
      </w:r>
      <w:r>
        <w:rPr>
          <w:sz w:val="24"/>
        </w:rPr>
        <w:t>del</w:t>
      </w:r>
      <w:r>
        <w:rPr>
          <w:spacing w:val="-6"/>
          <w:sz w:val="24"/>
        </w:rPr>
        <w:t> </w:t>
      </w:r>
      <w:r>
        <w:rPr>
          <w:sz w:val="24"/>
        </w:rPr>
        <w:t>2022</w:t>
      </w:r>
      <w:r>
        <w:rPr>
          <w:spacing w:val="-7"/>
          <w:sz w:val="24"/>
        </w:rPr>
        <w:t> </w:t>
      </w:r>
      <w:r>
        <w:rPr>
          <w:sz w:val="24"/>
        </w:rPr>
        <w:t>(79.8</w:t>
      </w:r>
      <w:r>
        <w:rPr>
          <w:spacing w:val="-7"/>
          <w:sz w:val="24"/>
        </w:rPr>
        <w:t> </w:t>
      </w:r>
      <w:r>
        <w:rPr>
          <w:sz w:val="24"/>
        </w:rPr>
        <w:t>%),</w:t>
      </w:r>
      <w:r>
        <w:rPr>
          <w:spacing w:val="-6"/>
          <w:sz w:val="24"/>
        </w:rPr>
        <w:t> </w:t>
      </w:r>
      <w:r>
        <w:rPr>
          <w:sz w:val="24"/>
        </w:rPr>
        <w:t>y</w:t>
      </w:r>
      <w:r>
        <w:rPr>
          <w:spacing w:val="-9"/>
          <w:sz w:val="24"/>
        </w:rPr>
        <w:t> </w:t>
      </w:r>
      <w:r>
        <w:rPr>
          <w:sz w:val="24"/>
        </w:rPr>
        <w:t>en</w:t>
      </w:r>
      <w:r>
        <w:rPr>
          <w:spacing w:val="-4"/>
          <w:sz w:val="24"/>
        </w:rPr>
        <w:t> </w:t>
      </w:r>
      <w:r>
        <w:rPr>
          <w:sz w:val="24"/>
        </w:rPr>
        <w:t>0.7</w:t>
      </w:r>
      <w:r>
        <w:rPr>
          <w:spacing w:val="-9"/>
          <w:sz w:val="24"/>
        </w:rPr>
        <w:t> </w:t>
      </w:r>
      <w:r>
        <w:rPr>
          <w:sz w:val="24"/>
        </w:rPr>
        <w:t>p.p.</w:t>
      </w:r>
      <w:r>
        <w:rPr>
          <w:spacing w:val="-8"/>
          <w:sz w:val="24"/>
        </w:rPr>
        <w:t> </w:t>
      </w:r>
      <w:r>
        <w:rPr>
          <w:sz w:val="24"/>
        </w:rPr>
        <w:t>respecto</w:t>
      </w:r>
      <w:r>
        <w:rPr>
          <w:spacing w:val="-6"/>
          <w:sz w:val="24"/>
        </w:rPr>
        <w:t> </w:t>
      </w:r>
      <w:r>
        <w:rPr>
          <w:sz w:val="24"/>
        </w:rPr>
        <w:t>del</w:t>
      </w:r>
      <w:r>
        <w:rPr>
          <w:spacing w:val="-6"/>
          <w:sz w:val="24"/>
        </w:rPr>
        <w:t> </w:t>
      </w:r>
      <w:r>
        <w:rPr>
          <w:sz w:val="24"/>
        </w:rPr>
        <w:t>valor</w:t>
      </w:r>
      <w:r>
        <w:rPr>
          <w:spacing w:val="-9"/>
          <w:sz w:val="24"/>
        </w:rPr>
        <w:t> </w:t>
      </w:r>
      <w:r>
        <w:rPr>
          <w:sz w:val="24"/>
        </w:rPr>
        <w:t>obtenido</w:t>
      </w:r>
      <w:r>
        <w:rPr>
          <w:spacing w:val="-6"/>
          <w:sz w:val="24"/>
        </w:rPr>
        <w:t> </w:t>
      </w:r>
      <w:r>
        <w:rPr>
          <w:sz w:val="24"/>
        </w:rPr>
        <w:t>para el año 2021 (78.1 %), se puede inferir que el indicador tiene una tendencia decreciente a partir del 2021, diferente a la esperada en las metas</w:t>
      </w:r>
      <w:r>
        <w:rPr>
          <w:spacing w:val="-1"/>
          <w:sz w:val="24"/>
        </w:rPr>
        <w:t> </w:t>
      </w:r>
      <w:r>
        <w:rPr>
          <w:sz w:val="24"/>
        </w:rPr>
        <w:t>programadas.</w:t>
      </w:r>
      <w:r>
        <w:rPr>
          <w:spacing w:val="-1"/>
          <w:sz w:val="24"/>
        </w:rPr>
        <w:t> </w:t>
      </w:r>
      <w:r>
        <w:rPr>
          <w:sz w:val="24"/>
        </w:rPr>
        <w:t>Es</w:t>
      </w:r>
      <w:r>
        <w:rPr>
          <w:spacing w:val="-1"/>
          <w:sz w:val="24"/>
        </w:rPr>
        <w:t> </w:t>
      </w:r>
      <w:r>
        <w:rPr>
          <w:sz w:val="24"/>
        </w:rPr>
        <w:t>importante</w:t>
      </w:r>
      <w:r>
        <w:rPr>
          <w:spacing w:val="-1"/>
          <w:sz w:val="24"/>
        </w:rPr>
        <w:t> </w:t>
      </w:r>
      <w:r>
        <w:rPr>
          <w:sz w:val="24"/>
        </w:rPr>
        <w:t>señalar</w:t>
      </w:r>
      <w:r>
        <w:rPr>
          <w:spacing w:val="-2"/>
          <w:sz w:val="24"/>
        </w:rPr>
        <w:t> </w:t>
      </w:r>
      <w:r>
        <w:rPr>
          <w:sz w:val="24"/>
        </w:rPr>
        <w:t>que</w:t>
      </w:r>
      <w:r>
        <w:rPr>
          <w:spacing w:val="-1"/>
          <w:sz w:val="24"/>
        </w:rPr>
        <w:t> </w:t>
      </w:r>
      <w:r>
        <w:rPr>
          <w:sz w:val="24"/>
        </w:rPr>
        <w:t>durante</w:t>
      </w:r>
      <w:r>
        <w:rPr>
          <w:spacing w:val="-5"/>
          <w:sz w:val="24"/>
        </w:rPr>
        <w:t> </w:t>
      </w:r>
      <w:r>
        <w:rPr>
          <w:sz w:val="24"/>
        </w:rPr>
        <w:t>el</w:t>
      </w:r>
      <w:r>
        <w:rPr>
          <w:spacing w:val="-1"/>
          <w:sz w:val="24"/>
        </w:rPr>
        <w:t> </w:t>
      </w:r>
      <w:r>
        <w:rPr>
          <w:sz w:val="24"/>
        </w:rPr>
        <w:t>período</w:t>
      </w:r>
      <w:r>
        <w:rPr>
          <w:spacing w:val="-4"/>
          <w:sz w:val="24"/>
        </w:rPr>
        <w:t> </w:t>
      </w:r>
      <w:r>
        <w:rPr>
          <w:sz w:val="24"/>
        </w:rPr>
        <w:t>2019- 2021, el indicador mostraba una tendencia creciente conforme a lo esperado;</w:t>
      </w:r>
      <w:r>
        <w:rPr>
          <w:spacing w:val="-10"/>
          <w:sz w:val="24"/>
        </w:rPr>
        <w:t> </w:t>
      </w:r>
      <w:r>
        <w:rPr>
          <w:sz w:val="24"/>
        </w:rPr>
        <w:t>sin</w:t>
      </w:r>
      <w:r>
        <w:rPr>
          <w:spacing w:val="-11"/>
          <w:sz w:val="24"/>
        </w:rPr>
        <w:t> </w:t>
      </w:r>
      <w:r>
        <w:rPr>
          <w:sz w:val="24"/>
        </w:rPr>
        <w:t>embargo,</w:t>
      </w:r>
      <w:r>
        <w:rPr>
          <w:spacing w:val="-7"/>
          <w:sz w:val="24"/>
        </w:rPr>
        <w:t> </w:t>
      </w:r>
      <w:r>
        <w:rPr>
          <w:sz w:val="24"/>
        </w:rPr>
        <w:t>en</w:t>
      </w:r>
      <w:r>
        <w:rPr>
          <w:spacing w:val="-10"/>
          <w:sz w:val="24"/>
        </w:rPr>
        <w:t> </w:t>
      </w:r>
      <w:r>
        <w:rPr>
          <w:sz w:val="24"/>
        </w:rPr>
        <w:t>los</w:t>
      </w:r>
      <w:r>
        <w:rPr>
          <w:spacing w:val="-8"/>
          <w:sz w:val="24"/>
        </w:rPr>
        <w:t> </w:t>
      </w:r>
      <w:r>
        <w:rPr>
          <w:sz w:val="24"/>
        </w:rPr>
        <w:t>años</w:t>
      </w:r>
      <w:r>
        <w:rPr>
          <w:spacing w:val="-10"/>
          <w:sz w:val="24"/>
        </w:rPr>
        <w:t> </w:t>
      </w:r>
      <w:r>
        <w:rPr>
          <w:sz w:val="24"/>
        </w:rPr>
        <w:t>posteriores,</w:t>
      </w:r>
      <w:r>
        <w:rPr>
          <w:spacing w:val="-7"/>
          <w:sz w:val="24"/>
        </w:rPr>
        <w:t> </w:t>
      </w:r>
      <w:r>
        <w:rPr>
          <w:sz w:val="24"/>
        </w:rPr>
        <w:t>esa</w:t>
      </w:r>
      <w:r>
        <w:rPr>
          <w:spacing w:val="-11"/>
          <w:sz w:val="24"/>
        </w:rPr>
        <w:t> </w:t>
      </w:r>
      <w:r>
        <w:rPr>
          <w:sz w:val="24"/>
        </w:rPr>
        <w:t>tendencia</w:t>
      </w:r>
      <w:r>
        <w:rPr>
          <w:spacing w:val="-11"/>
          <w:sz w:val="24"/>
        </w:rPr>
        <w:t> </w:t>
      </w:r>
      <w:r>
        <w:rPr>
          <w:sz w:val="24"/>
        </w:rPr>
        <w:t>se</w:t>
      </w:r>
      <w:r>
        <w:rPr>
          <w:spacing w:val="-10"/>
          <w:sz w:val="24"/>
        </w:rPr>
        <w:t> </w:t>
      </w:r>
      <w:r>
        <w:rPr>
          <w:sz w:val="24"/>
        </w:rPr>
        <w:t>invirtió.</w:t>
      </w:r>
    </w:p>
    <w:p>
      <w:pPr>
        <w:spacing w:before="158"/>
        <w:ind w:left="1367" w:right="0" w:firstLine="0"/>
        <w:jc w:val="left"/>
        <w:rPr>
          <w:sz w:val="20"/>
        </w:rPr>
      </w:pPr>
      <w:r>
        <w:rPr>
          <w:color w:val="44536A"/>
          <w:sz w:val="20"/>
        </w:rPr>
        <w:t>Gráfico 2. Porcentaje</w:t>
      </w:r>
      <w:r>
        <w:rPr>
          <w:color w:val="44536A"/>
          <w:spacing w:val="-1"/>
          <w:sz w:val="20"/>
        </w:rPr>
        <w:t> </w:t>
      </w:r>
      <w:r>
        <w:rPr>
          <w:color w:val="44536A"/>
          <w:sz w:val="20"/>
        </w:rPr>
        <w:t>mujeres que utilizan métodos</w:t>
      </w:r>
      <w:r>
        <w:rPr>
          <w:color w:val="44536A"/>
          <w:spacing w:val="-1"/>
          <w:sz w:val="20"/>
        </w:rPr>
        <w:t> </w:t>
      </w:r>
      <w:r>
        <w:rPr>
          <w:color w:val="44536A"/>
          <w:spacing w:val="-2"/>
          <w:sz w:val="20"/>
        </w:rPr>
        <w:t>anticonceptivos</w:t>
      </w:r>
    </w:p>
    <w:p>
      <w:pPr>
        <w:pStyle w:val="BodyText"/>
        <w:spacing w:before="10"/>
        <w:rPr>
          <w:sz w:val="15"/>
        </w:rPr>
      </w:pPr>
      <w:r>
        <w:rPr>
          <w:sz w:val="15"/>
        </w:rPr>
        <mc:AlternateContent>
          <mc:Choice Requires="wps">
            <w:drawing>
              <wp:anchor distT="0" distB="0" distL="0" distR="0" allowOverlap="1" layoutInCell="1" locked="0" behindDoc="1" simplePos="0" relativeHeight="487589376">
                <wp:simplePos x="0" y="0"/>
                <wp:positionH relativeFrom="page">
                  <wp:posOffset>1157605</wp:posOffset>
                </wp:positionH>
                <wp:positionV relativeFrom="paragraph">
                  <wp:posOffset>131243</wp:posOffset>
                </wp:positionV>
                <wp:extent cx="5245100" cy="2425700"/>
                <wp:effectExtent l="0" t="0" r="0" b="0"/>
                <wp:wrapTopAndBottom/>
                <wp:docPr id="55" name="Group 55"/>
                <wp:cNvGraphicFramePr>
                  <a:graphicFrameLocks/>
                </wp:cNvGraphicFramePr>
                <a:graphic>
                  <a:graphicData uri="http://schemas.microsoft.com/office/word/2010/wordprocessingGroup">
                    <wpg:wgp>
                      <wpg:cNvPr id="55" name="Group 55"/>
                      <wpg:cNvGrpSpPr/>
                      <wpg:grpSpPr>
                        <a:xfrm>
                          <a:off x="0" y="0"/>
                          <a:ext cx="5245100" cy="2425700"/>
                          <a:chExt cx="5245100" cy="2425700"/>
                        </a:xfrm>
                      </wpg:grpSpPr>
                      <wps:wsp>
                        <wps:cNvPr id="56" name="Graphic 56"/>
                        <wps:cNvSpPr/>
                        <wps:spPr>
                          <a:xfrm>
                            <a:off x="382777" y="144145"/>
                            <a:ext cx="40640" cy="1693545"/>
                          </a:xfrm>
                          <a:custGeom>
                            <a:avLst/>
                            <a:gdLst/>
                            <a:ahLst/>
                            <a:cxnLst/>
                            <a:rect l="l" t="t" r="r" b="b"/>
                            <a:pathLst>
                              <a:path w="40640" h="1693545">
                                <a:moveTo>
                                  <a:pt x="40385" y="1693291"/>
                                </a:moveTo>
                                <a:lnTo>
                                  <a:pt x="40385" y="0"/>
                                </a:lnTo>
                              </a:path>
                              <a:path w="40640" h="1693545">
                                <a:moveTo>
                                  <a:pt x="0" y="1693291"/>
                                </a:moveTo>
                                <a:lnTo>
                                  <a:pt x="40385" y="1693291"/>
                                </a:lnTo>
                              </a:path>
                              <a:path w="40640" h="1693545">
                                <a:moveTo>
                                  <a:pt x="0" y="1354836"/>
                                </a:moveTo>
                                <a:lnTo>
                                  <a:pt x="40385" y="1354836"/>
                                </a:lnTo>
                              </a:path>
                              <a:path w="40640" h="1693545">
                                <a:moveTo>
                                  <a:pt x="0" y="1016508"/>
                                </a:moveTo>
                                <a:lnTo>
                                  <a:pt x="40385" y="1016508"/>
                                </a:lnTo>
                              </a:path>
                              <a:path w="40640" h="1693545">
                                <a:moveTo>
                                  <a:pt x="0" y="676656"/>
                                </a:moveTo>
                                <a:lnTo>
                                  <a:pt x="40385" y="676656"/>
                                </a:lnTo>
                              </a:path>
                              <a:path w="40640" h="1693545">
                                <a:moveTo>
                                  <a:pt x="0" y="338327"/>
                                </a:moveTo>
                                <a:lnTo>
                                  <a:pt x="40385" y="338327"/>
                                </a:lnTo>
                              </a:path>
                              <a:path w="40640" h="1693545">
                                <a:moveTo>
                                  <a:pt x="0" y="0"/>
                                </a:moveTo>
                                <a:lnTo>
                                  <a:pt x="40385" y="0"/>
                                </a:lnTo>
                              </a:path>
                            </a:pathLst>
                          </a:custGeom>
                          <a:ln w="6350">
                            <a:solidFill>
                              <a:srgbClr val="888888"/>
                            </a:solidFill>
                            <a:prstDash val="solid"/>
                          </a:ln>
                        </wps:spPr>
                        <wps:bodyPr wrap="square" lIns="0" tIns="0" rIns="0" bIns="0" rtlCol="0">
                          <a:prstTxWarp prst="textNoShape">
                            <a:avLst/>
                          </a:prstTxWarp>
                          <a:noAutofit/>
                        </wps:bodyPr>
                      </wps:wsp>
                      <wps:wsp>
                        <wps:cNvPr id="57" name="Graphic 57"/>
                        <wps:cNvSpPr/>
                        <wps:spPr>
                          <a:xfrm>
                            <a:off x="423163" y="1837435"/>
                            <a:ext cx="4679315" cy="36195"/>
                          </a:xfrm>
                          <a:custGeom>
                            <a:avLst/>
                            <a:gdLst/>
                            <a:ahLst/>
                            <a:cxnLst/>
                            <a:rect l="l" t="t" r="r" b="b"/>
                            <a:pathLst>
                              <a:path w="4679315" h="36195">
                                <a:moveTo>
                                  <a:pt x="0" y="0"/>
                                </a:moveTo>
                                <a:lnTo>
                                  <a:pt x="4679060" y="0"/>
                                </a:lnTo>
                              </a:path>
                              <a:path w="4679315" h="36195">
                                <a:moveTo>
                                  <a:pt x="0" y="0"/>
                                </a:moveTo>
                                <a:lnTo>
                                  <a:pt x="0" y="36195"/>
                                </a:lnTo>
                              </a:path>
                              <a:path w="4679315" h="36195">
                                <a:moveTo>
                                  <a:pt x="359282" y="0"/>
                                </a:moveTo>
                                <a:lnTo>
                                  <a:pt x="359282" y="36195"/>
                                </a:lnTo>
                              </a:path>
                              <a:path w="4679315" h="36195">
                                <a:moveTo>
                                  <a:pt x="720470" y="0"/>
                                </a:moveTo>
                                <a:lnTo>
                                  <a:pt x="720470" y="36195"/>
                                </a:lnTo>
                              </a:path>
                              <a:path w="4679315" h="36195">
                                <a:moveTo>
                                  <a:pt x="1080135" y="0"/>
                                </a:moveTo>
                                <a:lnTo>
                                  <a:pt x="1080135" y="36195"/>
                                </a:lnTo>
                              </a:path>
                              <a:path w="4679315" h="36195">
                                <a:moveTo>
                                  <a:pt x="1439799" y="0"/>
                                </a:moveTo>
                                <a:lnTo>
                                  <a:pt x="1439799" y="36195"/>
                                </a:lnTo>
                              </a:path>
                              <a:path w="4679315" h="36195">
                                <a:moveTo>
                                  <a:pt x="1799463" y="0"/>
                                </a:moveTo>
                                <a:lnTo>
                                  <a:pt x="1799463" y="36195"/>
                                </a:lnTo>
                              </a:path>
                              <a:path w="4679315" h="36195">
                                <a:moveTo>
                                  <a:pt x="2159127" y="0"/>
                                </a:moveTo>
                                <a:lnTo>
                                  <a:pt x="2159127" y="36195"/>
                                </a:lnTo>
                              </a:path>
                              <a:path w="4679315" h="36195">
                                <a:moveTo>
                                  <a:pt x="2518791" y="0"/>
                                </a:moveTo>
                                <a:lnTo>
                                  <a:pt x="2518791" y="36195"/>
                                </a:lnTo>
                              </a:path>
                              <a:path w="4679315" h="36195">
                                <a:moveTo>
                                  <a:pt x="2879979" y="0"/>
                                </a:moveTo>
                                <a:lnTo>
                                  <a:pt x="2879979" y="36195"/>
                                </a:lnTo>
                              </a:path>
                              <a:path w="4679315" h="36195">
                                <a:moveTo>
                                  <a:pt x="3239643" y="0"/>
                                </a:moveTo>
                                <a:lnTo>
                                  <a:pt x="3239643" y="36195"/>
                                </a:lnTo>
                              </a:path>
                              <a:path w="4679315" h="36195">
                                <a:moveTo>
                                  <a:pt x="3599306" y="0"/>
                                </a:moveTo>
                                <a:lnTo>
                                  <a:pt x="3599306" y="36195"/>
                                </a:lnTo>
                              </a:path>
                              <a:path w="4679315" h="36195">
                                <a:moveTo>
                                  <a:pt x="3958971" y="0"/>
                                </a:moveTo>
                                <a:lnTo>
                                  <a:pt x="3958971" y="36195"/>
                                </a:lnTo>
                              </a:path>
                              <a:path w="4679315" h="36195">
                                <a:moveTo>
                                  <a:pt x="4318634" y="0"/>
                                </a:moveTo>
                                <a:lnTo>
                                  <a:pt x="4318634" y="36195"/>
                                </a:lnTo>
                              </a:path>
                              <a:path w="4679315" h="36195">
                                <a:moveTo>
                                  <a:pt x="4679060" y="0"/>
                                </a:moveTo>
                                <a:lnTo>
                                  <a:pt x="4679060" y="36195"/>
                                </a:lnTo>
                              </a:path>
                            </a:pathLst>
                          </a:custGeom>
                          <a:ln w="9525">
                            <a:solidFill>
                              <a:srgbClr val="D9D9D9"/>
                            </a:solidFill>
                            <a:prstDash val="solid"/>
                          </a:ln>
                        </wps:spPr>
                        <wps:bodyPr wrap="square" lIns="0" tIns="0" rIns="0" bIns="0" rtlCol="0">
                          <a:prstTxWarp prst="textNoShape">
                            <a:avLst/>
                          </a:prstTxWarp>
                          <a:noAutofit/>
                        </wps:bodyPr>
                      </wps:wsp>
                      <wps:wsp>
                        <wps:cNvPr id="58" name="Graphic 58"/>
                        <wps:cNvSpPr/>
                        <wps:spPr>
                          <a:xfrm>
                            <a:off x="963041" y="575944"/>
                            <a:ext cx="3959225" cy="770890"/>
                          </a:xfrm>
                          <a:custGeom>
                            <a:avLst/>
                            <a:gdLst/>
                            <a:ahLst/>
                            <a:cxnLst/>
                            <a:rect l="l" t="t" r="r" b="b"/>
                            <a:pathLst>
                              <a:path w="3959225" h="770890">
                                <a:moveTo>
                                  <a:pt x="0" y="770381"/>
                                </a:moveTo>
                                <a:lnTo>
                                  <a:pt x="360426" y="753871"/>
                                </a:lnTo>
                                <a:lnTo>
                                  <a:pt x="720090" y="744727"/>
                                </a:lnTo>
                                <a:lnTo>
                                  <a:pt x="1079754" y="660907"/>
                                </a:lnTo>
                                <a:lnTo>
                                  <a:pt x="1439418" y="575563"/>
                                </a:lnTo>
                                <a:lnTo>
                                  <a:pt x="1799082" y="499363"/>
                                </a:lnTo>
                                <a:lnTo>
                                  <a:pt x="2160270" y="415543"/>
                                </a:lnTo>
                                <a:lnTo>
                                  <a:pt x="2519934" y="330199"/>
                                </a:lnTo>
                                <a:lnTo>
                                  <a:pt x="2879598" y="244855"/>
                                </a:lnTo>
                                <a:lnTo>
                                  <a:pt x="3239262" y="168655"/>
                                </a:lnTo>
                                <a:lnTo>
                                  <a:pt x="3598926" y="84835"/>
                                </a:lnTo>
                                <a:lnTo>
                                  <a:pt x="3959225" y="0"/>
                                </a:lnTo>
                              </a:path>
                            </a:pathLst>
                          </a:custGeom>
                          <a:ln w="28574">
                            <a:solidFill>
                              <a:srgbClr val="A4A4A4"/>
                            </a:solidFill>
                            <a:prstDash val="solid"/>
                          </a:ln>
                        </wps:spPr>
                        <wps:bodyPr wrap="square" lIns="0" tIns="0" rIns="0" bIns="0" rtlCol="0">
                          <a:prstTxWarp prst="textNoShape">
                            <a:avLst/>
                          </a:prstTxWarp>
                          <a:noAutofit/>
                        </wps:bodyPr>
                      </wps:wsp>
                      <pic:pic>
                        <pic:nvPicPr>
                          <pic:cNvPr id="59" name="Image 59"/>
                          <pic:cNvPicPr/>
                        </pic:nvPicPr>
                        <pic:blipFill>
                          <a:blip r:embed="rId9" cstate="print"/>
                          <a:stretch>
                            <a:fillRect/>
                          </a:stretch>
                        </pic:blipFill>
                        <pic:spPr>
                          <a:xfrm>
                            <a:off x="925004" y="1310576"/>
                            <a:ext cx="73532" cy="73533"/>
                          </a:xfrm>
                          <a:prstGeom prst="rect">
                            <a:avLst/>
                          </a:prstGeom>
                        </pic:spPr>
                      </pic:pic>
                      <pic:pic>
                        <pic:nvPicPr>
                          <pic:cNvPr id="60" name="Image 60"/>
                          <pic:cNvPicPr/>
                        </pic:nvPicPr>
                        <pic:blipFill>
                          <a:blip r:embed="rId11" cstate="print"/>
                          <a:stretch>
                            <a:fillRect/>
                          </a:stretch>
                        </pic:blipFill>
                        <pic:spPr>
                          <a:xfrm>
                            <a:off x="1286192" y="1293812"/>
                            <a:ext cx="73532" cy="73532"/>
                          </a:xfrm>
                          <a:prstGeom prst="rect">
                            <a:avLst/>
                          </a:prstGeom>
                        </pic:spPr>
                      </pic:pic>
                      <pic:pic>
                        <pic:nvPicPr>
                          <pic:cNvPr id="61" name="Image 61"/>
                          <pic:cNvPicPr/>
                        </pic:nvPicPr>
                        <pic:blipFill>
                          <a:blip r:embed="rId8" cstate="print"/>
                          <a:stretch>
                            <a:fillRect/>
                          </a:stretch>
                        </pic:blipFill>
                        <pic:spPr>
                          <a:xfrm>
                            <a:off x="1645856" y="1284668"/>
                            <a:ext cx="73532" cy="73532"/>
                          </a:xfrm>
                          <a:prstGeom prst="rect">
                            <a:avLst/>
                          </a:prstGeom>
                        </pic:spPr>
                      </pic:pic>
                      <pic:pic>
                        <pic:nvPicPr>
                          <pic:cNvPr id="62" name="Image 62"/>
                          <pic:cNvPicPr/>
                        </pic:nvPicPr>
                        <pic:blipFill>
                          <a:blip r:embed="rId9" cstate="print"/>
                          <a:stretch>
                            <a:fillRect/>
                          </a:stretch>
                        </pic:blipFill>
                        <pic:spPr>
                          <a:xfrm>
                            <a:off x="2005520" y="1200848"/>
                            <a:ext cx="73532" cy="73532"/>
                          </a:xfrm>
                          <a:prstGeom prst="rect">
                            <a:avLst/>
                          </a:prstGeom>
                        </pic:spPr>
                      </pic:pic>
                      <pic:pic>
                        <pic:nvPicPr>
                          <pic:cNvPr id="63" name="Image 63"/>
                          <pic:cNvPicPr/>
                        </pic:nvPicPr>
                        <pic:blipFill>
                          <a:blip r:embed="rId10" cstate="print"/>
                          <a:stretch>
                            <a:fillRect/>
                          </a:stretch>
                        </pic:blipFill>
                        <pic:spPr>
                          <a:xfrm>
                            <a:off x="2365184" y="1115504"/>
                            <a:ext cx="73533" cy="73532"/>
                          </a:xfrm>
                          <a:prstGeom prst="rect">
                            <a:avLst/>
                          </a:prstGeom>
                        </pic:spPr>
                      </pic:pic>
                      <pic:pic>
                        <pic:nvPicPr>
                          <pic:cNvPr id="64" name="Image 64"/>
                          <pic:cNvPicPr/>
                        </pic:nvPicPr>
                        <pic:blipFill>
                          <a:blip r:embed="rId9" cstate="print"/>
                          <a:stretch>
                            <a:fillRect/>
                          </a:stretch>
                        </pic:blipFill>
                        <pic:spPr>
                          <a:xfrm>
                            <a:off x="2724848" y="1039304"/>
                            <a:ext cx="73533" cy="73532"/>
                          </a:xfrm>
                          <a:prstGeom prst="rect">
                            <a:avLst/>
                          </a:prstGeom>
                        </pic:spPr>
                      </pic:pic>
                      <pic:pic>
                        <pic:nvPicPr>
                          <pic:cNvPr id="65" name="Image 65"/>
                          <pic:cNvPicPr/>
                        </pic:nvPicPr>
                        <pic:blipFill>
                          <a:blip r:embed="rId8" cstate="print"/>
                          <a:stretch>
                            <a:fillRect/>
                          </a:stretch>
                        </pic:blipFill>
                        <pic:spPr>
                          <a:xfrm>
                            <a:off x="3086036" y="955484"/>
                            <a:ext cx="73533" cy="73533"/>
                          </a:xfrm>
                          <a:prstGeom prst="rect">
                            <a:avLst/>
                          </a:prstGeom>
                        </pic:spPr>
                      </pic:pic>
                      <pic:pic>
                        <pic:nvPicPr>
                          <pic:cNvPr id="66" name="Image 66"/>
                          <pic:cNvPicPr/>
                        </pic:nvPicPr>
                        <pic:blipFill>
                          <a:blip r:embed="rId8" cstate="print"/>
                          <a:stretch>
                            <a:fillRect/>
                          </a:stretch>
                        </pic:blipFill>
                        <pic:spPr>
                          <a:xfrm>
                            <a:off x="3445700" y="870140"/>
                            <a:ext cx="73533" cy="73532"/>
                          </a:xfrm>
                          <a:prstGeom prst="rect">
                            <a:avLst/>
                          </a:prstGeom>
                        </pic:spPr>
                      </pic:pic>
                      <pic:pic>
                        <pic:nvPicPr>
                          <pic:cNvPr id="67" name="Image 67"/>
                          <pic:cNvPicPr/>
                        </pic:nvPicPr>
                        <pic:blipFill>
                          <a:blip r:embed="rId11" cstate="print"/>
                          <a:stretch>
                            <a:fillRect/>
                          </a:stretch>
                        </pic:blipFill>
                        <pic:spPr>
                          <a:xfrm>
                            <a:off x="3805364" y="784796"/>
                            <a:ext cx="73532" cy="73533"/>
                          </a:xfrm>
                          <a:prstGeom prst="rect">
                            <a:avLst/>
                          </a:prstGeom>
                        </pic:spPr>
                      </pic:pic>
                      <pic:pic>
                        <pic:nvPicPr>
                          <pic:cNvPr id="68" name="Image 68"/>
                          <pic:cNvPicPr/>
                        </pic:nvPicPr>
                        <pic:blipFill>
                          <a:blip r:embed="rId8" cstate="print"/>
                          <a:stretch>
                            <a:fillRect/>
                          </a:stretch>
                        </pic:blipFill>
                        <pic:spPr>
                          <a:xfrm>
                            <a:off x="4165028" y="708596"/>
                            <a:ext cx="73532" cy="73533"/>
                          </a:xfrm>
                          <a:prstGeom prst="rect">
                            <a:avLst/>
                          </a:prstGeom>
                        </pic:spPr>
                      </pic:pic>
                      <pic:pic>
                        <pic:nvPicPr>
                          <pic:cNvPr id="69" name="Image 69"/>
                          <pic:cNvPicPr/>
                        </pic:nvPicPr>
                        <pic:blipFill>
                          <a:blip r:embed="rId9" cstate="print"/>
                          <a:stretch>
                            <a:fillRect/>
                          </a:stretch>
                        </pic:blipFill>
                        <pic:spPr>
                          <a:xfrm>
                            <a:off x="4524692" y="624776"/>
                            <a:ext cx="73532" cy="73532"/>
                          </a:xfrm>
                          <a:prstGeom prst="rect">
                            <a:avLst/>
                          </a:prstGeom>
                        </pic:spPr>
                      </pic:pic>
                      <pic:pic>
                        <pic:nvPicPr>
                          <pic:cNvPr id="70" name="Image 70"/>
                          <pic:cNvPicPr/>
                        </pic:nvPicPr>
                        <pic:blipFill>
                          <a:blip r:embed="rId10" cstate="print"/>
                          <a:stretch>
                            <a:fillRect/>
                          </a:stretch>
                        </pic:blipFill>
                        <pic:spPr>
                          <a:xfrm>
                            <a:off x="4884356" y="539432"/>
                            <a:ext cx="73533" cy="73533"/>
                          </a:xfrm>
                          <a:prstGeom prst="rect">
                            <a:avLst/>
                          </a:prstGeom>
                        </pic:spPr>
                      </pic:pic>
                      <wps:wsp>
                        <wps:cNvPr id="71" name="Graphic 71"/>
                        <wps:cNvSpPr/>
                        <wps:spPr>
                          <a:xfrm>
                            <a:off x="963041" y="1151636"/>
                            <a:ext cx="1440180" cy="186690"/>
                          </a:xfrm>
                          <a:custGeom>
                            <a:avLst/>
                            <a:gdLst/>
                            <a:ahLst/>
                            <a:cxnLst/>
                            <a:rect l="l" t="t" r="r" b="b"/>
                            <a:pathLst>
                              <a:path w="1440180" h="186690">
                                <a:moveTo>
                                  <a:pt x="0" y="186309"/>
                                </a:moveTo>
                                <a:lnTo>
                                  <a:pt x="360426" y="59309"/>
                                </a:lnTo>
                                <a:lnTo>
                                  <a:pt x="720090" y="0"/>
                                </a:lnTo>
                                <a:lnTo>
                                  <a:pt x="1079754" y="16637"/>
                                </a:lnTo>
                                <a:lnTo>
                                  <a:pt x="1439671" y="63881"/>
                                </a:lnTo>
                              </a:path>
                            </a:pathLst>
                          </a:custGeom>
                          <a:ln w="28575">
                            <a:solidFill>
                              <a:srgbClr val="EC7C30"/>
                            </a:solidFill>
                            <a:prstDash val="solid"/>
                          </a:ln>
                        </wps:spPr>
                        <wps:bodyPr wrap="square" lIns="0" tIns="0" rIns="0" bIns="0" rtlCol="0">
                          <a:prstTxWarp prst="textNoShape">
                            <a:avLst/>
                          </a:prstTxWarp>
                          <a:noAutofit/>
                        </wps:bodyPr>
                      </wps:wsp>
                      <pic:pic>
                        <pic:nvPicPr>
                          <pic:cNvPr id="72" name="Image 72"/>
                          <pic:cNvPicPr/>
                        </pic:nvPicPr>
                        <pic:blipFill>
                          <a:blip r:embed="rId13" cstate="print"/>
                          <a:stretch>
                            <a:fillRect/>
                          </a:stretch>
                        </pic:blipFill>
                        <pic:spPr>
                          <a:xfrm>
                            <a:off x="912812" y="1289240"/>
                            <a:ext cx="97917" cy="97916"/>
                          </a:xfrm>
                          <a:prstGeom prst="rect">
                            <a:avLst/>
                          </a:prstGeom>
                        </pic:spPr>
                      </pic:pic>
                      <pic:pic>
                        <pic:nvPicPr>
                          <pic:cNvPr id="73" name="Image 73"/>
                          <pic:cNvPicPr/>
                        </pic:nvPicPr>
                        <pic:blipFill>
                          <a:blip r:embed="rId19" cstate="print"/>
                          <a:stretch>
                            <a:fillRect/>
                          </a:stretch>
                        </pic:blipFill>
                        <pic:spPr>
                          <a:xfrm>
                            <a:off x="1274000" y="1162748"/>
                            <a:ext cx="97917" cy="97917"/>
                          </a:xfrm>
                          <a:prstGeom prst="rect">
                            <a:avLst/>
                          </a:prstGeom>
                        </pic:spPr>
                      </pic:pic>
                      <pic:pic>
                        <pic:nvPicPr>
                          <pic:cNvPr id="74" name="Image 74"/>
                          <pic:cNvPicPr/>
                        </pic:nvPicPr>
                        <pic:blipFill>
                          <a:blip r:embed="rId12" cstate="print"/>
                          <a:stretch>
                            <a:fillRect/>
                          </a:stretch>
                        </pic:blipFill>
                        <pic:spPr>
                          <a:xfrm>
                            <a:off x="1633664" y="1103312"/>
                            <a:ext cx="97917" cy="97916"/>
                          </a:xfrm>
                          <a:prstGeom prst="rect">
                            <a:avLst/>
                          </a:prstGeom>
                        </pic:spPr>
                      </pic:pic>
                      <pic:pic>
                        <pic:nvPicPr>
                          <pic:cNvPr id="75" name="Image 75"/>
                          <pic:cNvPicPr/>
                        </pic:nvPicPr>
                        <pic:blipFill>
                          <a:blip r:embed="rId19" cstate="print"/>
                          <a:stretch>
                            <a:fillRect/>
                          </a:stretch>
                        </pic:blipFill>
                        <pic:spPr>
                          <a:xfrm>
                            <a:off x="1993328" y="1120076"/>
                            <a:ext cx="97917" cy="97917"/>
                          </a:xfrm>
                          <a:prstGeom prst="rect">
                            <a:avLst/>
                          </a:prstGeom>
                        </pic:spPr>
                      </pic:pic>
                      <wps:wsp>
                        <wps:cNvPr id="76" name="Graphic 76"/>
                        <wps:cNvSpPr/>
                        <wps:spPr>
                          <a:xfrm>
                            <a:off x="2357754" y="1172083"/>
                            <a:ext cx="88900" cy="88900"/>
                          </a:xfrm>
                          <a:custGeom>
                            <a:avLst/>
                            <a:gdLst/>
                            <a:ahLst/>
                            <a:cxnLst/>
                            <a:rect l="l" t="t" r="r" b="b"/>
                            <a:pathLst>
                              <a:path w="88900" h="88900">
                                <a:moveTo>
                                  <a:pt x="44195" y="0"/>
                                </a:moveTo>
                                <a:lnTo>
                                  <a:pt x="0" y="44196"/>
                                </a:lnTo>
                                <a:lnTo>
                                  <a:pt x="44195" y="88392"/>
                                </a:lnTo>
                                <a:lnTo>
                                  <a:pt x="88391" y="44196"/>
                                </a:lnTo>
                                <a:lnTo>
                                  <a:pt x="44195" y="0"/>
                                </a:lnTo>
                                <a:close/>
                              </a:path>
                            </a:pathLst>
                          </a:custGeom>
                          <a:solidFill>
                            <a:srgbClr val="EC7C30"/>
                          </a:solidFill>
                        </wps:spPr>
                        <wps:bodyPr wrap="square" lIns="0" tIns="0" rIns="0" bIns="0" rtlCol="0">
                          <a:prstTxWarp prst="textNoShape">
                            <a:avLst/>
                          </a:prstTxWarp>
                          <a:noAutofit/>
                        </wps:bodyPr>
                      </wps:wsp>
                      <wps:wsp>
                        <wps:cNvPr id="77" name="Graphic 77"/>
                        <wps:cNvSpPr/>
                        <wps:spPr>
                          <a:xfrm>
                            <a:off x="2357754" y="1172083"/>
                            <a:ext cx="88900" cy="88900"/>
                          </a:xfrm>
                          <a:custGeom>
                            <a:avLst/>
                            <a:gdLst/>
                            <a:ahLst/>
                            <a:cxnLst/>
                            <a:rect l="l" t="t" r="r" b="b"/>
                            <a:pathLst>
                              <a:path w="88900" h="88900">
                                <a:moveTo>
                                  <a:pt x="44195" y="0"/>
                                </a:moveTo>
                                <a:lnTo>
                                  <a:pt x="88391" y="44196"/>
                                </a:lnTo>
                                <a:lnTo>
                                  <a:pt x="44195" y="88392"/>
                                </a:lnTo>
                                <a:lnTo>
                                  <a:pt x="0" y="44196"/>
                                </a:lnTo>
                                <a:lnTo>
                                  <a:pt x="44195" y="0"/>
                                </a:lnTo>
                                <a:close/>
                              </a:path>
                            </a:pathLst>
                          </a:custGeom>
                          <a:ln w="9525">
                            <a:solidFill>
                              <a:srgbClr val="EC7C30"/>
                            </a:solidFill>
                            <a:prstDash val="solid"/>
                          </a:ln>
                        </wps:spPr>
                        <wps:bodyPr wrap="square" lIns="0" tIns="0" rIns="0" bIns="0" rtlCol="0">
                          <a:prstTxWarp prst="textNoShape">
                            <a:avLst/>
                          </a:prstTxWarp>
                          <a:noAutofit/>
                        </wps:bodyPr>
                      </wps:wsp>
                      <pic:pic>
                        <pic:nvPicPr>
                          <pic:cNvPr id="78" name="Image 78"/>
                          <pic:cNvPicPr/>
                        </pic:nvPicPr>
                        <pic:blipFill>
                          <a:blip r:embed="rId15" cstate="print"/>
                          <a:stretch>
                            <a:fillRect/>
                          </a:stretch>
                        </pic:blipFill>
                        <pic:spPr>
                          <a:xfrm>
                            <a:off x="553656" y="1331150"/>
                            <a:ext cx="97917" cy="97917"/>
                          </a:xfrm>
                          <a:prstGeom prst="rect">
                            <a:avLst/>
                          </a:prstGeom>
                        </pic:spPr>
                      </pic:pic>
                      <wps:wsp>
                        <wps:cNvPr id="79" name="Graphic 79"/>
                        <wps:cNvSpPr/>
                        <wps:spPr>
                          <a:xfrm>
                            <a:off x="2402713" y="967486"/>
                            <a:ext cx="360045" cy="323215"/>
                          </a:xfrm>
                          <a:custGeom>
                            <a:avLst/>
                            <a:gdLst/>
                            <a:ahLst/>
                            <a:cxnLst/>
                            <a:rect l="l" t="t" r="r" b="b"/>
                            <a:pathLst>
                              <a:path w="360045" h="323215">
                                <a:moveTo>
                                  <a:pt x="0" y="184150"/>
                                </a:moveTo>
                                <a:lnTo>
                                  <a:pt x="47752" y="101346"/>
                                </a:lnTo>
                              </a:path>
                              <a:path w="360045" h="323215">
                                <a:moveTo>
                                  <a:pt x="359918" y="107950"/>
                                </a:moveTo>
                                <a:lnTo>
                                  <a:pt x="359918" y="0"/>
                                </a:lnTo>
                              </a:path>
                              <a:path w="360045" h="323215">
                                <a:moveTo>
                                  <a:pt x="0" y="247396"/>
                                </a:moveTo>
                                <a:lnTo>
                                  <a:pt x="124841" y="322707"/>
                                </a:lnTo>
                              </a:path>
                            </a:pathLst>
                          </a:custGeom>
                          <a:ln w="9525">
                            <a:solidFill>
                              <a:srgbClr val="A6A6A6"/>
                            </a:solidFill>
                            <a:prstDash val="solid"/>
                          </a:ln>
                        </wps:spPr>
                        <wps:bodyPr wrap="square" lIns="0" tIns="0" rIns="0" bIns="0" rtlCol="0">
                          <a:prstTxWarp prst="textNoShape">
                            <a:avLst/>
                          </a:prstTxWarp>
                          <a:noAutofit/>
                        </wps:bodyPr>
                      </wps:wsp>
                      <pic:pic>
                        <pic:nvPicPr>
                          <pic:cNvPr id="80" name="Image 80"/>
                          <pic:cNvPicPr/>
                        </pic:nvPicPr>
                        <pic:blipFill>
                          <a:blip r:embed="rId20" cstate="print"/>
                          <a:stretch>
                            <a:fillRect/>
                          </a:stretch>
                        </pic:blipFill>
                        <pic:spPr>
                          <a:xfrm>
                            <a:off x="1013460" y="2201354"/>
                            <a:ext cx="243840" cy="73532"/>
                          </a:xfrm>
                          <a:prstGeom prst="rect">
                            <a:avLst/>
                          </a:prstGeom>
                        </pic:spPr>
                      </pic:pic>
                      <pic:pic>
                        <pic:nvPicPr>
                          <pic:cNvPr id="81" name="Image 81"/>
                          <pic:cNvPicPr/>
                        </pic:nvPicPr>
                        <pic:blipFill>
                          <a:blip r:embed="rId21" cstate="print"/>
                          <a:stretch>
                            <a:fillRect/>
                          </a:stretch>
                        </pic:blipFill>
                        <pic:spPr>
                          <a:xfrm>
                            <a:off x="2275585" y="2201354"/>
                            <a:ext cx="243839" cy="73532"/>
                          </a:xfrm>
                          <a:prstGeom prst="rect">
                            <a:avLst/>
                          </a:prstGeom>
                        </pic:spPr>
                      </pic:pic>
                      <pic:pic>
                        <pic:nvPicPr>
                          <pic:cNvPr id="82" name="Image 82"/>
                          <pic:cNvPicPr/>
                        </pic:nvPicPr>
                        <pic:blipFill>
                          <a:blip r:embed="rId22" cstate="print"/>
                          <a:stretch>
                            <a:fillRect/>
                          </a:stretch>
                        </pic:blipFill>
                        <pic:spPr>
                          <a:xfrm>
                            <a:off x="3518534" y="2201354"/>
                            <a:ext cx="243839" cy="73532"/>
                          </a:xfrm>
                          <a:prstGeom prst="rect">
                            <a:avLst/>
                          </a:prstGeom>
                        </pic:spPr>
                      </pic:pic>
                      <wps:wsp>
                        <wps:cNvPr id="83" name="Graphic 83"/>
                        <wps:cNvSpPr/>
                        <wps:spPr>
                          <a:xfrm>
                            <a:off x="3175" y="3175"/>
                            <a:ext cx="5238750" cy="2419350"/>
                          </a:xfrm>
                          <a:custGeom>
                            <a:avLst/>
                            <a:gdLst/>
                            <a:ahLst/>
                            <a:cxnLst/>
                            <a:rect l="l" t="t" r="r" b="b"/>
                            <a:pathLst>
                              <a:path w="5238750" h="2419350">
                                <a:moveTo>
                                  <a:pt x="0" y="2419349"/>
                                </a:moveTo>
                                <a:lnTo>
                                  <a:pt x="5238750" y="2419349"/>
                                </a:lnTo>
                                <a:lnTo>
                                  <a:pt x="5238750" y="0"/>
                                </a:lnTo>
                                <a:lnTo>
                                  <a:pt x="0" y="0"/>
                                </a:lnTo>
                                <a:lnTo>
                                  <a:pt x="0" y="2419349"/>
                                </a:lnTo>
                                <a:close/>
                              </a:path>
                            </a:pathLst>
                          </a:custGeom>
                          <a:ln w="6350">
                            <a:solidFill>
                              <a:srgbClr val="A6A6A6"/>
                            </a:solidFill>
                            <a:prstDash val="solid"/>
                          </a:ln>
                        </wps:spPr>
                        <wps:bodyPr wrap="square" lIns="0" tIns="0" rIns="0" bIns="0" rtlCol="0">
                          <a:prstTxWarp prst="textNoShape">
                            <a:avLst/>
                          </a:prstTxWarp>
                          <a:noAutofit/>
                        </wps:bodyPr>
                      </wps:wsp>
                      <wps:wsp>
                        <wps:cNvPr id="84" name="Textbox 84"/>
                        <wps:cNvSpPr txBox="1"/>
                        <wps:spPr>
                          <a:xfrm>
                            <a:off x="3789045" y="2186330"/>
                            <a:ext cx="501015" cy="114935"/>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5"/>
                                  <w:sz w:val="18"/>
                                </w:rPr>
                                <w:t> </w:t>
                              </w:r>
                              <w:r>
                                <w:rPr>
                                  <w:rFonts w:ascii="Calibri" w:hAnsi="Calibri"/>
                                  <w:color w:val="585858"/>
                                  <w:spacing w:val="-4"/>
                                  <w:sz w:val="18"/>
                                </w:rPr>
                                <w:t>base</w:t>
                              </w:r>
                            </w:p>
                          </w:txbxContent>
                        </wps:txbx>
                        <wps:bodyPr wrap="square" lIns="0" tIns="0" rIns="0" bIns="0" rtlCol="0">
                          <a:noAutofit/>
                        </wps:bodyPr>
                      </wps:wsp>
                      <wps:wsp>
                        <wps:cNvPr id="85" name="Textbox 85"/>
                        <wps:cNvSpPr txBox="1"/>
                        <wps:spPr>
                          <a:xfrm>
                            <a:off x="2545714" y="2186330"/>
                            <a:ext cx="802005" cy="114935"/>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6"/>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86" name="Textbox 86"/>
                        <wps:cNvSpPr txBox="1"/>
                        <wps:spPr>
                          <a:xfrm>
                            <a:off x="1283588" y="2186330"/>
                            <a:ext cx="819785" cy="114935"/>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5"/>
                                  <w:sz w:val="18"/>
                                </w:rPr>
                                <w:t> </w:t>
                              </w:r>
                              <w:r>
                                <w:rPr>
                                  <w:rFonts w:ascii="Calibri"/>
                                  <w:color w:val="585858"/>
                                  <w:spacing w:val="-10"/>
                                  <w:sz w:val="18"/>
                                </w:rPr>
                                <w:t>%</w:t>
                              </w:r>
                            </w:p>
                          </w:txbxContent>
                        </wps:txbx>
                        <wps:bodyPr wrap="square" lIns="0" tIns="0" rIns="0" bIns="0" rtlCol="0">
                          <a:noAutofit/>
                        </wps:bodyPr>
                      </wps:wsp>
                      <wps:wsp>
                        <wps:cNvPr id="87" name="Textbox 87"/>
                        <wps:cNvSpPr txBox="1"/>
                        <wps:spPr>
                          <a:xfrm>
                            <a:off x="487680" y="1933575"/>
                            <a:ext cx="4564380" cy="114300"/>
                          </a:xfrm>
                          <a:prstGeom prst="rect">
                            <a:avLst/>
                          </a:prstGeom>
                        </wps:spPr>
                        <wps:txbx>
                          <w:txbxContent>
                            <w:p>
                              <w:pPr>
                                <w:tabs>
                                  <w:tab w:pos="566" w:val="left" w:leader="none"/>
                                  <w:tab w:pos="1133" w:val="left" w:leader="none"/>
                                  <w:tab w:pos="1700" w:val="left" w:leader="none"/>
                                  <w:tab w:pos="2267" w:val="left" w:leader="none"/>
                                  <w:tab w:pos="2834" w:val="left" w:leader="none"/>
                                  <w:tab w:pos="3401" w:val="left" w:leader="none"/>
                                  <w:tab w:pos="3968" w:val="left" w:leader="none"/>
                                  <w:tab w:pos="4534" w:val="left" w:leader="none"/>
                                  <w:tab w:pos="5101" w:val="left" w:leader="none"/>
                                  <w:tab w:pos="5668" w:val="left" w:leader="none"/>
                                  <w:tab w:pos="6236" w:val="left" w:leader="none"/>
                                  <w:tab w:pos="6802"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wps:txbx>
                        <wps:bodyPr wrap="square" lIns="0" tIns="0" rIns="0" bIns="0" rtlCol="0">
                          <a:noAutofit/>
                        </wps:bodyPr>
                      </wps:wsp>
                      <wps:wsp>
                        <wps:cNvPr id="88" name="Textbox 88"/>
                        <wps:cNvSpPr txBox="1"/>
                        <wps:spPr>
                          <a:xfrm>
                            <a:off x="85978" y="1779041"/>
                            <a:ext cx="233045" cy="127000"/>
                          </a:xfrm>
                          <a:prstGeom prst="rect">
                            <a:avLst/>
                          </a:prstGeom>
                        </wps:spPr>
                        <wps:txbx>
                          <w:txbxContent>
                            <w:p>
                              <w:pPr>
                                <w:spacing w:line="200" w:lineRule="exact" w:before="0"/>
                                <w:ind w:left="0" w:right="0" w:firstLine="0"/>
                                <w:jc w:val="left"/>
                                <w:rPr>
                                  <w:rFonts w:ascii="Calibri"/>
                                  <w:sz w:val="20"/>
                                </w:rPr>
                              </w:pPr>
                              <w:r>
                                <w:rPr>
                                  <w:rFonts w:ascii="Calibri"/>
                                  <w:spacing w:val="-5"/>
                                  <w:sz w:val="20"/>
                                </w:rPr>
                                <w:t>70%</w:t>
                              </w:r>
                            </w:p>
                          </w:txbxContent>
                        </wps:txbx>
                        <wps:bodyPr wrap="square" lIns="0" tIns="0" rIns="0" bIns="0" rtlCol="0">
                          <a:noAutofit/>
                        </wps:bodyPr>
                      </wps:wsp>
                      <wps:wsp>
                        <wps:cNvPr id="89" name="Textbox 89"/>
                        <wps:cNvSpPr txBox="1"/>
                        <wps:spPr>
                          <a:xfrm>
                            <a:off x="839724" y="1395602"/>
                            <a:ext cx="1027430" cy="150495"/>
                          </a:xfrm>
                          <a:prstGeom prst="rect">
                            <a:avLst/>
                          </a:prstGeom>
                        </wps:spPr>
                        <wps:txbx>
                          <w:txbxContent>
                            <w:p>
                              <w:pPr>
                                <w:spacing w:line="237" w:lineRule="exact" w:before="0"/>
                                <w:ind w:left="0" w:right="0" w:firstLine="0"/>
                                <w:jc w:val="left"/>
                                <w:rPr>
                                  <w:rFonts w:ascii="Calibri"/>
                                  <w:b/>
                                  <w:position w:val="4"/>
                                  <w:sz w:val="20"/>
                                </w:rPr>
                              </w:pPr>
                              <w:r>
                                <w:rPr>
                                  <w:rFonts w:ascii="Calibri"/>
                                  <w:b/>
                                  <w:color w:val="A4A4A4"/>
                                  <w:sz w:val="20"/>
                                </w:rPr>
                                <w:t>75.8%</w:t>
                              </w:r>
                              <w:r>
                                <w:rPr>
                                  <w:rFonts w:ascii="Calibri"/>
                                  <w:b/>
                                  <w:color w:val="A4A4A4"/>
                                  <w:spacing w:val="-17"/>
                                  <w:sz w:val="20"/>
                                </w:rPr>
                                <w:t> </w:t>
                              </w:r>
                              <w:r>
                                <w:rPr>
                                  <w:rFonts w:ascii="Calibri"/>
                                  <w:b/>
                                  <w:color w:val="A4A4A4"/>
                                  <w:position w:val="1"/>
                                  <w:sz w:val="20"/>
                                </w:rPr>
                                <w:t>76.0%</w:t>
                              </w:r>
                              <w:r>
                                <w:rPr>
                                  <w:rFonts w:ascii="Calibri"/>
                                  <w:b/>
                                  <w:color w:val="A4A4A4"/>
                                  <w:spacing w:val="3"/>
                                  <w:position w:val="1"/>
                                  <w:sz w:val="20"/>
                                </w:rPr>
                                <w:t> </w:t>
                              </w:r>
                              <w:r>
                                <w:rPr>
                                  <w:rFonts w:ascii="Calibri"/>
                                  <w:b/>
                                  <w:color w:val="A4A4A4"/>
                                  <w:spacing w:val="-2"/>
                                  <w:position w:val="4"/>
                                  <w:sz w:val="20"/>
                                </w:rPr>
                                <w:t>76.1%</w:t>
                              </w:r>
                            </w:p>
                          </w:txbxContent>
                        </wps:txbx>
                        <wps:bodyPr wrap="square" lIns="0" tIns="0" rIns="0" bIns="0" rtlCol="0">
                          <a:noAutofit/>
                        </wps:bodyPr>
                      </wps:wsp>
                      <wps:wsp>
                        <wps:cNvPr id="90" name="Textbox 90"/>
                        <wps:cNvSpPr txBox="1"/>
                        <wps:spPr>
                          <a:xfrm>
                            <a:off x="85978" y="1440688"/>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74%</w:t>
                              </w:r>
                            </w:p>
                          </w:txbxContent>
                        </wps:txbx>
                        <wps:bodyPr wrap="square" lIns="0" tIns="0" rIns="0" bIns="0" rtlCol="0">
                          <a:noAutofit/>
                        </wps:bodyPr>
                      </wps:wsp>
                      <wps:wsp>
                        <wps:cNvPr id="91" name="Textbox 91"/>
                        <wps:cNvSpPr txBox="1"/>
                        <wps:spPr>
                          <a:xfrm>
                            <a:off x="2368676" y="1335786"/>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2"/>
                                  <w:sz w:val="20"/>
                                </w:rPr>
                                <w:t>77.4%</w:t>
                              </w:r>
                            </w:p>
                          </w:txbxContent>
                        </wps:txbx>
                        <wps:bodyPr wrap="square" lIns="0" tIns="0" rIns="0" bIns="0" rtlCol="0">
                          <a:noAutofit/>
                        </wps:bodyPr>
                      </wps:wsp>
                      <wps:wsp>
                        <wps:cNvPr id="92" name="Textbox 92"/>
                        <wps:cNvSpPr txBox="1"/>
                        <wps:spPr>
                          <a:xfrm>
                            <a:off x="1919604" y="1298066"/>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77.1%</w:t>
                              </w:r>
                            </w:p>
                          </w:txbxContent>
                        </wps:txbx>
                        <wps:bodyPr wrap="square" lIns="0" tIns="0" rIns="0" bIns="0" rtlCol="0">
                          <a:noAutofit/>
                        </wps:bodyPr>
                      </wps:wsp>
                      <wps:wsp>
                        <wps:cNvPr id="93" name="Textbox 93"/>
                        <wps:cNvSpPr txBox="1"/>
                        <wps:spPr>
                          <a:xfrm>
                            <a:off x="443865" y="1047241"/>
                            <a:ext cx="1111250" cy="241935"/>
                          </a:xfrm>
                          <a:prstGeom prst="rect">
                            <a:avLst/>
                          </a:prstGeom>
                        </wps:spPr>
                        <wps:txbx>
                          <w:txbxContent>
                            <w:p>
                              <w:pPr>
                                <w:spacing w:line="162" w:lineRule="exact" w:before="0"/>
                                <w:ind w:left="1228" w:right="0" w:firstLine="0"/>
                                <w:jc w:val="left"/>
                                <w:rPr>
                                  <w:rFonts w:ascii="Calibri"/>
                                  <w:b/>
                                  <w:sz w:val="20"/>
                                </w:rPr>
                              </w:pPr>
                              <w:r>
                                <w:rPr>
                                  <w:rFonts w:ascii="Calibri"/>
                                  <w:b/>
                                  <w:color w:val="EC7C30"/>
                                  <w:spacing w:val="-2"/>
                                  <w:sz w:val="20"/>
                                </w:rPr>
                                <w:t>77.4%</w:t>
                              </w:r>
                            </w:p>
                            <w:p>
                              <w:pPr>
                                <w:spacing w:line="219" w:lineRule="exact" w:before="0"/>
                                <w:ind w:left="0" w:right="0" w:firstLine="0"/>
                                <w:jc w:val="left"/>
                                <w:rPr>
                                  <w:rFonts w:ascii="Calibri"/>
                                  <w:b/>
                                  <w:sz w:val="20"/>
                                </w:rPr>
                              </w:pPr>
                              <w:r>
                                <w:rPr>
                                  <w:rFonts w:ascii="Calibri"/>
                                  <w:b/>
                                  <w:color w:val="4471C4"/>
                                  <w:position w:val="2"/>
                                  <w:sz w:val="20"/>
                                </w:rPr>
                                <w:t>75.4%</w:t>
                              </w:r>
                              <w:r>
                                <w:rPr>
                                  <w:rFonts w:ascii="Calibri"/>
                                  <w:b/>
                                  <w:color w:val="4471C4"/>
                                  <w:spacing w:val="40"/>
                                  <w:position w:val="2"/>
                                  <w:sz w:val="20"/>
                                </w:rPr>
                                <w:t> </w:t>
                              </w:r>
                              <w:r>
                                <w:rPr>
                                  <w:rFonts w:ascii="Calibri"/>
                                  <w:b/>
                                  <w:color w:val="EC7C30"/>
                                  <w:spacing w:val="-2"/>
                                  <w:sz w:val="20"/>
                                </w:rPr>
                                <w:t>75.9%</w:t>
                              </w:r>
                            </w:p>
                          </w:txbxContent>
                        </wps:txbx>
                        <wps:bodyPr wrap="square" lIns="0" tIns="0" rIns="0" bIns="0" rtlCol="0">
                          <a:noAutofit/>
                        </wps:bodyPr>
                      </wps:wsp>
                      <wps:wsp>
                        <wps:cNvPr id="94" name="Textbox 94"/>
                        <wps:cNvSpPr txBox="1"/>
                        <wps:spPr>
                          <a:xfrm>
                            <a:off x="85978" y="1102105"/>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78%</w:t>
                              </w:r>
                            </w:p>
                          </w:txbxContent>
                        </wps:txbx>
                        <wps:bodyPr wrap="square" lIns="0" tIns="0" rIns="0" bIns="0" rtlCol="0">
                          <a:noAutofit/>
                        </wps:bodyPr>
                      </wps:wsp>
                      <wps:wsp>
                        <wps:cNvPr id="95" name="Textbox 95"/>
                        <wps:cNvSpPr txBox="1"/>
                        <wps:spPr>
                          <a:xfrm>
                            <a:off x="1536572" y="921258"/>
                            <a:ext cx="1085850" cy="198755"/>
                          </a:xfrm>
                          <a:prstGeom prst="rect">
                            <a:avLst/>
                          </a:prstGeom>
                        </wps:spPr>
                        <wps:txbx>
                          <w:txbxContent>
                            <w:p>
                              <w:pPr>
                                <w:spacing w:line="187" w:lineRule="auto" w:before="0"/>
                                <w:ind w:left="0" w:right="0" w:firstLine="0"/>
                                <w:jc w:val="left"/>
                                <w:rPr>
                                  <w:rFonts w:ascii="Calibri"/>
                                  <w:b/>
                                  <w:sz w:val="20"/>
                                </w:rPr>
                              </w:pPr>
                              <w:r>
                                <w:rPr>
                                  <w:rFonts w:ascii="Calibri"/>
                                  <w:b/>
                                  <w:color w:val="EC7C30"/>
                                  <w:position w:val="-7"/>
                                  <w:sz w:val="20"/>
                                </w:rPr>
                                <w:t>78.1%</w:t>
                              </w:r>
                              <w:r>
                                <w:rPr>
                                  <w:rFonts w:ascii="Calibri"/>
                                  <w:b/>
                                  <w:color w:val="EC7C30"/>
                                  <w:spacing w:val="65"/>
                                  <w:position w:val="-7"/>
                                  <w:sz w:val="20"/>
                                </w:rPr>
                                <w:t> </w:t>
                              </w:r>
                              <w:r>
                                <w:rPr>
                                  <w:rFonts w:ascii="Calibri"/>
                                  <w:b/>
                                  <w:color w:val="EC7C30"/>
                                  <w:position w:val="-10"/>
                                  <w:sz w:val="20"/>
                                </w:rPr>
                                <w:t>77.9%</w:t>
                              </w:r>
                              <w:r>
                                <w:rPr>
                                  <w:rFonts w:ascii="Calibri"/>
                                  <w:b/>
                                  <w:color w:val="EC7C30"/>
                                  <w:spacing w:val="12"/>
                                  <w:position w:val="-10"/>
                                  <w:sz w:val="20"/>
                                </w:rPr>
                                <w:t> </w:t>
                              </w:r>
                              <w:r>
                                <w:rPr>
                                  <w:rFonts w:ascii="Calibri"/>
                                  <w:b/>
                                  <w:color w:val="A4A4A4"/>
                                  <w:spacing w:val="-2"/>
                                  <w:sz w:val="20"/>
                                </w:rPr>
                                <w:t>78.1%</w:t>
                              </w:r>
                            </w:p>
                          </w:txbxContent>
                        </wps:txbx>
                        <wps:bodyPr wrap="square" lIns="0" tIns="0" rIns="0" bIns="0" rtlCol="0">
                          <a:noAutofit/>
                        </wps:bodyPr>
                      </wps:wsp>
                      <wps:wsp>
                        <wps:cNvPr id="96" name="Textbox 96"/>
                        <wps:cNvSpPr txBox="1"/>
                        <wps:spPr>
                          <a:xfrm>
                            <a:off x="2963545" y="688720"/>
                            <a:ext cx="691515" cy="211454"/>
                          </a:xfrm>
                          <a:prstGeom prst="rect">
                            <a:avLst/>
                          </a:prstGeom>
                        </wps:spPr>
                        <wps:txbx>
                          <w:txbxContent>
                            <w:p>
                              <w:pPr>
                                <w:spacing w:line="187" w:lineRule="auto" w:before="0"/>
                                <w:ind w:left="0" w:right="0" w:firstLine="0"/>
                                <w:jc w:val="left"/>
                                <w:rPr>
                                  <w:rFonts w:ascii="Calibri"/>
                                  <w:b/>
                                  <w:sz w:val="20"/>
                                </w:rPr>
                              </w:pPr>
                              <w:r>
                                <w:rPr>
                                  <w:rFonts w:ascii="Calibri"/>
                                  <w:b/>
                                  <w:color w:val="A4A4A4"/>
                                  <w:position w:val="-12"/>
                                  <w:sz w:val="20"/>
                                </w:rPr>
                                <w:t>80.0%</w:t>
                              </w:r>
                              <w:r>
                                <w:rPr>
                                  <w:rFonts w:ascii="Calibri"/>
                                  <w:b/>
                                  <w:color w:val="A4A4A4"/>
                                  <w:spacing w:val="11"/>
                                  <w:position w:val="-12"/>
                                  <w:sz w:val="20"/>
                                </w:rPr>
                                <w:t> </w:t>
                              </w:r>
                              <w:r>
                                <w:rPr>
                                  <w:rFonts w:ascii="Calibri"/>
                                  <w:b/>
                                  <w:color w:val="A4A4A4"/>
                                  <w:spacing w:val="-4"/>
                                  <w:sz w:val="20"/>
                                </w:rPr>
                                <w:t>81.0%</w:t>
                              </w:r>
                            </w:p>
                          </w:txbxContent>
                        </wps:txbx>
                        <wps:bodyPr wrap="square" lIns="0" tIns="0" rIns="0" bIns="0" rtlCol="0">
                          <a:noAutofit/>
                        </wps:bodyPr>
                      </wps:wsp>
                      <wps:wsp>
                        <wps:cNvPr id="97" name="Textbox 97"/>
                        <wps:cNvSpPr txBox="1"/>
                        <wps:spPr>
                          <a:xfrm>
                            <a:off x="2603626" y="819785"/>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79.0%</w:t>
                              </w:r>
                            </w:p>
                          </w:txbxContent>
                        </wps:txbx>
                        <wps:bodyPr wrap="square" lIns="0" tIns="0" rIns="0" bIns="0" rtlCol="0">
                          <a:noAutofit/>
                        </wps:bodyPr>
                      </wps:wsp>
                      <wps:wsp>
                        <wps:cNvPr id="98" name="Textbox 98"/>
                        <wps:cNvSpPr txBox="1"/>
                        <wps:spPr>
                          <a:xfrm>
                            <a:off x="85978" y="763397"/>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82%</w:t>
                              </w:r>
                            </w:p>
                          </w:txbxContent>
                        </wps:txbx>
                        <wps:bodyPr wrap="square" lIns="0" tIns="0" rIns="0" bIns="0" rtlCol="0">
                          <a:noAutofit/>
                        </wps:bodyPr>
                      </wps:wsp>
                      <wps:wsp>
                        <wps:cNvPr id="99" name="Textbox 99"/>
                        <wps:cNvSpPr txBox="1"/>
                        <wps:spPr>
                          <a:xfrm>
                            <a:off x="4403725" y="358393"/>
                            <a:ext cx="690880" cy="211454"/>
                          </a:xfrm>
                          <a:prstGeom prst="rect">
                            <a:avLst/>
                          </a:prstGeom>
                        </wps:spPr>
                        <wps:txbx>
                          <w:txbxContent>
                            <w:p>
                              <w:pPr>
                                <w:spacing w:line="148" w:lineRule="exact" w:before="0"/>
                                <w:ind w:left="567" w:right="0" w:firstLine="0"/>
                                <w:jc w:val="left"/>
                                <w:rPr>
                                  <w:rFonts w:ascii="Calibri"/>
                                  <w:b/>
                                  <w:sz w:val="20"/>
                                </w:rPr>
                              </w:pPr>
                              <w:r>
                                <w:rPr>
                                  <w:rFonts w:ascii="Calibri"/>
                                  <w:b/>
                                  <w:color w:val="A4A4A4"/>
                                  <w:spacing w:val="-2"/>
                                  <w:sz w:val="20"/>
                                </w:rPr>
                                <w:t>84.9%</w:t>
                              </w:r>
                            </w:p>
                            <w:p>
                              <w:pPr>
                                <w:spacing w:line="185" w:lineRule="exact" w:before="0"/>
                                <w:ind w:left="0" w:right="0" w:firstLine="0"/>
                                <w:jc w:val="left"/>
                                <w:rPr>
                                  <w:rFonts w:ascii="Calibri"/>
                                  <w:b/>
                                  <w:sz w:val="20"/>
                                </w:rPr>
                              </w:pPr>
                              <w:r>
                                <w:rPr>
                                  <w:rFonts w:ascii="Calibri"/>
                                  <w:b/>
                                  <w:color w:val="A4A4A4"/>
                                  <w:spacing w:val="-2"/>
                                  <w:sz w:val="20"/>
                                </w:rPr>
                                <w:t>83.9%</w:t>
                              </w:r>
                            </w:p>
                          </w:txbxContent>
                        </wps:txbx>
                        <wps:bodyPr wrap="square" lIns="0" tIns="0" rIns="0" bIns="0" rtlCol="0">
                          <a:noAutofit/>
                        </wps:bodyPr>
                      </wps:wsp>
                      <wps:wsp>
                        <wps:cNvPr id="100" name="Textbox 100"/>
                        <wps:cNvSpPr txBox="1"/>
                        <wps:spPr>
                          <a:xfrm>
                            <a:off x="3683889" y="527812"/>
                            <a:ext cx="690880" cy="203200"/>
                          </a:xfrm>
                          <a:prstGeom prst="rect">
                            <a:avLst/>
                          </a:prstGeom>
                        </wps:spPr>
                        <wps:txbx>
                          <w:txbxContent>
                            <w:p>
                              <w:pPr>
                                <w:spacing w:line="187" w:lineRule="auto" w:before="0"/>
                                <w:ind w:left="0" w:right="0" w:firstLine="0"/>
                                <w:jc w:val="left"/>
                                <w:rPr>
                                  <w:rFonts w:ascii="Calibri"/>
                                  <w:b/>
                                  <w:sz w:val="20"/>
                                </w:rPr>
                              </w:pPr>
                              <w:r>
                                <w:rPr>
                                  <w:rFonts w:ascii="Calibri"/>
                                  <w:b/>
                                  <w:color w:val="A4A4A4"/>
                                  <w:position w:val="-11"/>
                                  <w:sz w:val="20"/>
                                </w:rPr>
                                <w:t>82.0%</w:t>
                              </w:r>
                              <w:r>
                                <w:rPr>
                                  <w:rFonts w:ascii="Calibri"/>
                                  <w:b/>
                                  <w:color w:val="A4A4A4"/>
                                  <w:spacing w:val="11"/>
                                  <w:position w:val="-11"/>
                                  <w:sz w:val="20"/>
                                </w:rPr>
                                <w:t> </w:t>
                              </w:r>
                              <w:r>
                                <w:rPr>
                                  <w:rFonts w:ascii="Calibri"/>
                                  <w:b/>
                                  <w:color w:val="A4A4A4"/>
                                  <w:spacing w:val="-4"/>
                                  <w:sz w:val="20"/>
                                </w:rPr>
                                <w:t>82.9%</w:t>
                              </w:r>
                            </w:p>
                          </w:txbxContent>
                        </wps:txbx>
                        <wps:bodyPr wrap="square" lIns="0" tIns="0" rIns="0" bIns="0" rtlCol="0">
                          <a:noAutofit/>
                        </wps:bodyPr>
                      </wps:wsp>
                      <wps:wsp>
                        <wps:cNvPr id="101" name="Textbox 101"/>
                        <wps:cNvSpPr txBox="1"/>
                        <wps:spPr>
                          <a:xfrm>
                            <a:off x="85978" y="86106"/>
                            <a:ext cx="233045" cy="465455"/>
                          </a:xfrm>
                          <a:prstGeom prst="rect">
                            <a:avLst/>
                          </a:prstGeom>
                        </wps:spPr>
                        <wps:txbx>
                          <w:txbxContent>
                            <w:p>
                              <w:pPr>
                                <w:spacing w:line="203" w:lineRule="exact" w:before="0"/>
                                <w:ind w:left="0" w:right="0" w:firstLine="0"/>
                                <w:jc w:val="left"/>
                                <w:rPr>
                                  <w:rFonts w:ascii="Calibri"/>
                                  <w:sz w:val="20"/>
                                </w:rPr>
                              </w:pPr>
                              <w:r>
                                <w:rPr>
                                  <w:rFonts w:ascii="Calibri"/>
                                  <w:spacing w:val="-5"/>
                                  <w:sz w:val="20"/>
                                </w:rPr>
                                <w:t>90%</w:t>
                              </w:r>
                            </w:p>
                            <w:p>
                              <w:pPr>
                                <w:spacing w:line="240" w:lineRule="auto" w:before="45"/>
                                <w:rPr>
                                  <w:rFonts w:ascii="Calibri"/>
                                  <w:sz w:val="20"/>
                                </w:rPr>
                              </w:pPr>
                            </w:p>
                            <w:p>
                              <w:pPr>
                                <w:spacing w:line="240" w:lineRule="exact" w:before="0"/>
                                <w:ind w:left="0" w:right="0" w:firstLine="0"/>
                                <w:jc w:val="left"/>
                                <w:rPr>
                                  <w:rFonts w:ascii="Calibri"/>
                                  <w:sz w:val="20"/>
                                </w:rPr>
                              </w:pPr>
                              <w:r>
                                <w:rPr>
                                  <w:rFonts w:ascii="Calibri"/>
                                  <w:spacing w:val="-5"/>
                                  <w:sz w:val="20"/>
                                </w:rPr>
                                <w:t>86%</w:t>
                              </w:r>
                            </w:p>
                          </w:txbxContent>
                        </wps:txbx>
                        <wps:bodyPr wrap="square" lIns="0" tIns="0" rIns="0" bIns="0" rtlCol="0">
                          <a:noAutofit/>
                        </wps:bodyPr>
                      </wps:wsp>
                    </wpg:wgp>
                  </a:graphicData>
                </a:graphic>
              </wp:anchor>
            </w:drawing>
          </mc:Choice>
          <mc:Fallback>
            <w:pict>
              <v:group style="position:absolute;margin-left:91.150002pt;margin-top:10.334160pt;width:413pt;height:191pt;mso-position-horizontal-relative:page;mso-position-vertical-relative:paragraph;z-index:-15727104;mso-wrap-distance-left:0;mso-wrap-distance-right:0" id="docshapegroup52" coordorigin="1823,207" coordsize="8260,3820">
                <v:shape style="position:absolute;left:2425;top:433;width:64;height:2667" id="docshape53" coordorigin="2426,434" coordsize="64,2667" path="m2489,3100l2489,434m2426,3100l2489,3100m2426,2567l2489,2567m2426,2034l2489,2034m2426,1499l2489,1499m2426,966l2489,966m2426,434l2489,434e" filled="false" stroked="true" strokeweight=".5pt" strokecolor="#888888">
                  <v:path arrowok="t"/>
                  <v:stroke dashstyle="solid"/>
                </v:shape>
                <v:shape style="position:absolute;left:2489;top:3100;width:7369;height:57" id="docshape54" coordorigin="2489,3100" coordsize="7369,57" path="m2489,3100l9858,3100m2489,3100l2489,3157m3055,3100l3055,3157m3624,3100l3624,3157m4190,3100l4190,3157m4757,3100l4757,3157m5323,3100l5323,3157m5890,3100l5890,3157m6456,3100l6456,3157m7025,3100l7025,3157m7591,3100l7591,3157m8158,3100l8158,3157m8724,3100l8724,3157m9290,3100l9290,3157m9858,3100l9858,3157e" filled="false" stroked="true" strokeweight=".75pt" strokecolor="#d9d9d9">
                  <v:path arrowok="t"/>
                  <v:stroke dashstyle="solid"/>
                </v:shape>
                <v:shape style="position:absolute;left:3339;top:1113;width:6235;height:1214" id="docshape55" coordorigin="3340,1114" coordsize="6235,1214" path="m3340,2327l3907,2301,4474,2286,5040,2154,5606,2020,6173,1900,6742,1768,7308,1634,7874,1499,8441,1379,9007,1247,9575,1114e" filled="false" stroked="true" strokeweight="2.25pt" strokecolor="#a4a4a4">
                  <v:path arrowok="t"/>
                  <v:stroke dashstyle="solid"/>
                </v:shape>
                <v:shape style="position:absolute;left:3279;top:2270;width:116;height:116" type="#_x0000_t75" id="docshape56" stroked="false">
                  <v:imagedata r:id="rId9" o:title=""/>
                </v:shape>
                <v:shape style="position:absolute;left:3848;top:2244;width:116;height:116" type="#_x0000_t75" id="docshape57" stroked="false">
                  <v:imagedata r:id="rId11" o:title=""/>
                </v:shape>
                <v:shape style="position:absolute;left:4414;top:2229;width:116;height:116" type="#_x0000_t75" id="docshape58" stroked="false">
                  <v:imagedata r:id="rId8" o:title=""/>
                </v:shape>
                <v:shape style="position:absolute;left:4981;top:2097;width:116;height:116" type="#_x0000_t75" id="docshape59" stroked="false">
                  <v:imagedata r:id="rId9" o:title=""/>
                </v:shape>
                <v:shape style="position:absolute;left:5547;top:1963;width:116;height:116" type="#_x0000_t75" id="docshape60" stroked="false">
                  <v:imagedata r:id="rId10" o:title=""/>
                </v:shape>
                <v:shape style="position:absolute;left:6114;top:1843;width:116;height:116" type="#_x0000_t75" id="docshape61" stroked="false">
                  <v:imagedata r:id="rId9" o:title=""/>
                </v:shape>
                <v:shape style="position:absolute;left:6682;top:1711;width:116;height:116" type="#_x0000_t75" id="docshape62" stroked="false">
                  <v:imagedata r:id="rId8" o:title=""/>
                </v:shape>
                <v:shape style="position:absolute;left:7249;top:1576;width:116;height:116" type="#_x0000_t75" id="docshape63" stroked="false">
                  <v:imagedata r:id="rId8" o:title=""/>
                </v:shape>
                <v:shape style="position:absolute;left:7815;top:1442;width:116;height:116" type="#_x0000_t75" id="docshape64" stroked="false">
                  <v:imagedata r:id="rId11" o:title=""/>
                </v:shape>
                <v:shape style="position:absolute;left:8382;top:1322;width:116;height:116" type="#_x0000_t75" id="docshape65" stroked="false">
                  <v:imagedata r:id="rId8" o:title=""/>
                </v:shape>
                <v:shape style="position:absolute;left:8948;top:1190;width:116;height:116" type="#_x0000_t75" id="docshape66" stroked="false">
                  <v:imagedata r:id="rId9" o:title=""/>
                </v:shape>
                <v:shape style="position:absolute;left:9514;top:1056;width:116;height:116" type="#_x0000_t75" id="docshape67" stroked="false">
                  <v:imagedata r:id="rId10" o:title=""/>
                </v:shape>
                <v:shape style="position:absolute;left:3339;top:2020;width:2268;height:294" id="docshape68" coordorigin="3340,2020" coordsize="2268,294" path="m3340,2314l3907,2114,4474,2020,5040,2046,5607,2121e" filled="false" stroked="true" strokeweight="2.25pt" strokecolor="#ec7c30">
                  <v:path arrowok="t"/>
                  <v:stroke dashstyle="solid"/>
                </v:shape>
                <v:shape style="position:absolute;left:3260;top:2236;width:155;height:155" type="#_x0000_t75" id="docshape69" stroked="false">
                  <v:imagedata r:id="rId13" o:title=""/>
                </v:shape>
                <v:shape style="position:absolute;left:3829;top:2037;width:155;height:155" type="#_x0000_t75" id="docshape70" stroked="false">
                  <v:imagedata r:id="rId19" o:title=""/>
                </v:shape>
                <v:shape style="position:absolute;left:4395;top:1944;width:155;height:155" type="#_x0000_t75" id="docshape71" stroked="false">
                  <v:imagedata r:id="rId12" o:title=""/>
                </v:shape>
                <v:shape style="position:absolute;left:4962;top:1970;width:155;height:155" type="#_x0000_t75" id="docshape72" stroked="false">
                  <v:imagedata r:id="rId19" o:title=""/>
                </v:shape>
                <v:shape style="position:absolute;left:5536;top:2052;width:140;height:140" id="docshape73" coordorigin="5536,2052" coordsize="140,140" path="m5606,2052l5536,2122,5606,2192,5675,2122,5606,2052xe" filled="true" fillcolor="#ec7c30" stroked="false">
                  <v:path arrowok="t"/>
                  <v:fill type="solid"/>
                </v:shape>
                <v:shape style="position:absolute;left:5536;top:2052;width:140;height:140" id="docshape74" coordorigin="5536,2052" coordsize="140,140" path="m5606,2052l5675,2122,5606,2192,5536,2122,5606,2052xe" filled="false" stroked="true" strokeweight=".75pt" strokecolor="#ec7c30">
                  <v:path arrowok="t"/>
                  <v:stroke dashstyle="solid"/>
                </v:shape>
                <v:shape style="position:absolute;left:2694;top:2302;width:155;height:155" type="#_x0000_t75" id="docshape75" stroked="false">
                  <v:imagedata r:id="rId15" o:title=""/>
                </v:shape>
                <v:shape style="position:absolute;left:5606;top:1730;width:567;height:509" id="docshape76" coordorigin="5607,1730" coordsize="567,509" path="m5607,2020l5682,1890m6174,1900l6174,1730m5607,2120l5803,2238e" filled="false" stroked="true" strokeweight=".75pt" strokecolor="#a6a6a6">
                  <v:path arrowok="t"/>
                  <v:stroke dashstyle="solid"/>
                </v:shape>
                <v:shape style="position:absolute;left:3419;top:3673;width:384;height:116" type="#_x0000_t75" id="docshape77" stroked="false">
                  <v:imagedata r:id="rId20" o:title=""/>
                </v:shape>
                <v:shape style="position:absolute;left:5406;top:3673;width:384;height:116" type="#_x0000_t75" id="docshape78" stroked="false">
                  <v:imagedata r:id="rId21" o:title=""/>
                </v:shape>
                <v:shape style="position:absolute;left:7364;top:3673;width:384;height:116" type="#_x0000_t75" id="docshape79" stroked="false">
                  <v:imagedata r:id="rId22" o:title=""/>
                </v:shape>
                <v:rect style="position:absolute;left:1828;top:211;width:8250;height:3810" id="docshape80" filled="false" stroked="true" strokeweight=".5pt" strokecolor="#a6a6a6">
                  <v:stroke dashstyle="solid"/>
                </v:rect>
                <v:shape style="position:absolute;left:7790;top:3649;width:789;height:181" type="#_x0000_t202" id="docshape81"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5"/>
                            <w:sz w:val="18"/>
                          </w:rPr>
                          <w:t> </w:t>
                        </w:r>
                        <w:r>
                          <w:rPr>
                            <w:rFonts w:ascii="Calibri" w:hAnsi="Calibri"/>
                            <w:color w:val="585858"/>
                            <w:spacing w:val="-4"/>
                            <w:sz w:val="18"/>
                          </w:rPr>
                          <w:t>base</w:t>
                        </w:r>
                      </w:p>
                    </w:txbxContent>
                  </v:textbox>
                  <w10:wrap type="none"/>
                </v:shape>
                <v:shape style="position:absolute;left:5832;top:3649;width:1263;height:181" type="#_x0000_t202" id="docshape82"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6"/>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3844;top:3649;width:1291;height:181" type="#_x0000_t202" id="docshape83"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5"/>
                            <w:sz w:val="18"/>
                          </w:rPr>
                          <w:t> </w:t>
                        </w:r>
                        <w:r>
                          <w:rPr>
                            <w:rFonts w:ascii="Calibri"/>
                            <w:color w:val="585858"/>
                            <w:spacing w:val="-10"/>
                            <w:sz w:val="18"/>
                          </w:rPr>
                          <w:t>%</w:t>
                        </w:r>
                      </w:p>
                    </w:txbxContent>
                  </v:textbox>
                  <w10:wrap type="none"/>
                </v:shape>
                <v:shape style="position:absolute;left:2591;top:3251;width:7188;height:180" type="#_x0000_t202" id="docshape84" filled="false" stroked="false">
                  <v:textbox inset="0,0,0,0">
                    <w:txbxContent>
                      <w:p>
                        <w:pPr>
                          <w:tabs>
                            <w:tab w:pos="566" w:val="left" w:leader="none"/>
                            <w:tab w:pos="1133" w:val="left" w:leader="none"/>
                            <w:tab w:pos="1700" w:val="left" w:leader="none"/>
                            <w:tab w:pos="2267" w:val="left" w:leader="none"/>
                            <w:tab w:pos="2834" w:val="left" w:leader="none"/>
                            <w:tab w:pos="3401" w:val="left" w:leader="none"/>
                            <w:tab w:pos="3968" w:val="left" w:leader="none"/>
                            <w:tab w:pos="4534" w:val="left" w:leader="none"/>
                            <w:tab w:pos="5101" w:val="left" w:leader="none"/>
                            <w:tab w:pos="5668" w:val="left" w:leader="none"/>
                            <w:tab w:pos="6236" w:val="left" w:leader="none"/>
                            <w:tab w:pos="6802"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v:textbox>
                  <w10:wrap type="none"/>
                </v:shape>
                <v:shape style="position:absolute;left:1958;top:3008;width:367;height:200" type="#_x0000_t202" id="docshape85" filled="false" stroked="false">
                  <v:textbox inset="0,0,0,0">
                    <w:txbxContent>
                      <w:p>
                        <w:pPr>
                          <w:spacing w:line="200" w:lineRule="exact" w:before="0"/>
                          <w:ind w:left="0" w:right="0" w:firstLine="0"/>
                          <w:jc w:val="left"/>
                          <w:rPr>
                            <w:rFonts w:ascii="Calibri"/>
                            <w:sz w:val="20"/>
                          </w:rPr>
                        </w:pPr>
                        <w:r>
                          <w:rPr>
                            <w:rFonts w:ascii="Calibri"/>
                            <w:spacing w:val="-5"/>
                            <w:sz w:val="20"/>
                          </w:rPr>
                          <w:t>70%</w:t>
                        </w:r>
                      </w:p>
                    </w:txbxContent>
                  </v:textbox>
                  <w10:wrap type="none"/>
                </v:shape>
                <v:shape style="position:absolute;left:3145;top:2404;width:1618;height:237" type="#_x0000_t202" id="docshape86" filled="false" stroked="false">
                  <v:textbox inset="0,0,0,0">
                    <w:txbxContent>
                      <w:p>
                        <w:pPr>
                          <w:spacing w:line="237" w:lineRule="exact" w:before="0"/>
                          <w:ind w:left="0" w:right="0" w:firstLine="0"/>
                          <w:jc w:val="left"/>
                          <w:rPr>
                            <w:rFonts w:ascii="Calibri"/>
                            <w:b/>
                            <w:position w:val="4"/>
                            <w:sz w:val="20"/>
                          </w:rPr>
                        </w:pPr>
                        <w:r>
                          <w:rPr>
                            <w:rFonts w:ascii="Calibri"/>
                            <w:b/>
                            <w:color w:val="A4A4A4"/>
                            <w:sz w:val="20"/>
                          </w:rPr>
                          <w:t>75.8%</w:t>
                        </w:r>
                        <w:r>
                          <w:rPr>
                            <w:rFonts w:ascii="Calibri"/>
                            <w:b/>
                            <w:color w:val="A4A4A4"/>
                            <w:spacing w:val="-17"/>
                            <w:sz w:val="20"/>
                          </w:rPr>
                          <w:t> </w:t>
                        </w:r>
                        <w:r>
                          <w:rPr>
                            <w:rFonts w:ascii="Calibri"/>
                            <w:b/>
                            <w:color w:val="A4A4A4"/>
                            <w:position w:val="1"/>
                            <w:sz w:val="20"/>
                          </w:rPr>
                          <w:t>76.0%</w:t>
                        </w:r>
                        <w:r>
                          <w:rPr>
                            <w:rFonts w:ascii="Calibri"/>
                            <w:b/>
                            <w:color w:val="A4A4A4"/>
                            <w:spacing w:val="3"/>
                            <w:position w:val="1"/>
                            <w:sz w:val="20"/>
                          </w:rPr>
                          <w:t> </w:t>
                        </w:r>
                        <w:r>
                          <w:rPr>
                            <w:rFonts w:ascii="Calibri"/>
                            <w:b/>
                            <w:color w:val="A4A4A4"/>
                            <w:spacing w:val="-2"/>
                            <w:position w:val="4"/>
                            <w:sz w:val="20"/>
                          </w:rPr>
                          <w:t>76.1%</w:t>
                        </w:r>
                      </w:p>
                    </w:txbxContent>
                  </v:textbox>
                  <w10:wrap type="none"/>
                </v:shape>
                <v:shape style="position:absolute;left:1958;top:2475;width:367;height:200" type="#_x0000_t202" id="docshape87" filled="false" stroked="false">
                  <v:textbox inset="0,0,0,0">
                    <w:txbxContent>
                      <w:p>
                        <w:pPr>
                          <w:spacing w:line="199" w:lineRule="exact" w:before="0"/>
                          <w:ind w:left="0" w:right="0" w:firstLine="0"/>
                          <w:jc w:val="left"/>
                          <w:rPr>
                            <w:rFonts w:ascii="Calibri"/>
                            <w:sz w:val="20"/>
                          </w:rPr>
                        </w:pPr>
                        <w:r>
                          <w:rPr>
                            <w:rFonts w:ascii="Calibri"/>
                            <w:spacing w:val="-5"/>
                            <w:sz w:val="20"/>
                          </w:rPr>
                          <w:t>74%</w:t>
                        </w:r>
                      </w:p>
                    </w:txbxContent>
                  </v:textbox>
                  <w10:wrap type="none"/>
                </v:shape>
                <v:shape style="position:absolute;left:5553;top:2310;width:521;height:200" type="#_x0000_t202" id="docshape88" filled="false" stroked="false">
                  <v:textbox inset="0,0,0,0">
                    <w:txbxContent>
                      <w:p>
                        <w:pPr>
                          <w:spacing w:line="199" w:lineRule="exact" w:before="0"/>
                          <w:ind w:left="0" w:right="0" w:firstLine="0"/>
                          <w:jc w:val="left"/>
                          <w:rPr>
                            <w:rFonts w:ascii="Calibri"/>
                            <w:b/>
                            <w:sz w:val="20"/>
                          </w:rPr>
                        </w:pPr>
                        <w:r>
                          <w:rPr>
                            <w:rFonts w:ascii="Calibri"/>
                            <w:b/>
                            <w:color w:val="EC7C30"/>
                            <w:spacing w:val="-2"/>
                            <w:sz w:val="20"/>
                          </w:rPr>
                          <w:t>77.4%</w:t>
                        </w:r>
                      </w:p>
                    </w:txbxContent>
                  </v:textbox>
                  <w10:wrap type="none"/>
                </v:shape>
                <v:shape style="position:absolute;left:4846;top:2250;width:521;height:200" type="#_x0000_t202" id="docshape89"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77.1%</w:t>
                        </w:r>
                      </w:p>
                    </w:txbxContent>
                  </v:textbox>
                  <w10:wrap type="none"/>
                </v:shape>
                <v:shape style="position:absolute;left:2522;top:1855;width:1750;height:381" type="#_x0000_t202" id="docshape90" filled="false" stroked="false">
                  <v:textbox inset="0,0,0,0">
                    <w:txbxContent>
                      <w:p>
                        <w:pPr>
                          <w:spacing w:line="162" w:lineRule="exact" w:before="0"/>
                          <w:ind w:left="1228" w:right="0" w:firstLine="0"/>
                          <w:jc w:val="left"/>
                          <w:rPr>
                            <w:rFonts w:ascii="Calibri"/>
                            <w:b/>
                            <w:sz w:val="20"/>
                          </w:rPr>
                        </w:pPr>
                        <w:r>
                          <w:rPr>
                            <w:rFonts w:ascii="Calibri"/>
                            <w:b/>
                            <w:color w:val="EC7C30"/>
                            <w:spacing w:val="-2"/>
                            <w:sz w:val="20"/>
                          </w:rPr>
                          <w:t>77.4%</w:t>
                        </w:r>
                      </w:p>
                      <w:p>
                        <w:pPr>
                          <w:spacing w:line="219" w:lineRule="exact" w:before="0"/>
                          <w:ind w:left="0" w:right="0" w:firstLine="0"/>
                          <w:jc w:val="left"/>
                          <w:rPr>
                            <w:rFonts w:ascii="Calibri"/>
                            <w:b/>
                            <w:sz w:val="20"/>
                          </w:rPr>
                        </w:pPr>
                        <w:r>
                          <w:rPr>
                            <w:rFonts w:ascii="Calibri"/>
                            <w:b/>
                            <w:color w:val="4471C4"/>
                            <w:position w:val="2"/>
                            <w:sz w:val="20"/>
                          </w:rPr>
                          <w:t>75.4%</w:t>
                        </w:r>
                        <w:r>
                          <w:rPr>
                            <w:rFonts w:ascii="Calibri"/>
                            <w:b/>
                            <w:color w:val="4471C4"/>
                            <w:spacing w:val="40"/>
                            <w:position w:val="2"/>
                            <w:sz w:val="20"/>
                          </w:rPr>
                          <w:t> </w:t>
                        </w:r>
                        <w:r>
                          <w:rPr>
                            <w:rFonts w:ascii="Calibri"/>
                            <w:b/>
                            <w:color w:val="EC7C30"/>
                            <w:spacing w:val="-2"/>
                            <w:sz w:val="20"/>
                          </w:rPr>
                          <w:t>75.9%</w:t>
                        </w:r>
                      </w:p>
                    </w:txbxContent>
                  </v:textbox>
                  <w10:wrap type="none"/>
                </v:shape>
                <v:shape style="position:absolute;left:1958;top:1942;width:367;height:200" type="#_x0000_t202" id="docshape91" filled="false" stroked="false">
                  <v:textbox inset="0,0,0,0">
                    <w:txbxContent>
                      <w:p>
                        <w:pPr>
                          <w:spacing w:line="199" w:lineRule="exact" w:before="0"/>
                          <w:ind w:left="0" w:right="0" w:firstLine="0"/>
                          <w:jc w:val="left"/>
                          <w:rPr>
                            <w:rFonts w:ascii="Calibri"/>
                            <w:sz w:val="20"/>
                          </w:rPr>
                        </w:pPr>
                        <w:r>
                          <w:rPr>
                            <w:rFonts w:ascii="Calibri"/>
                            <w:spacing w:val="-5"/>
                            <w:sz w:val="20"/>
                          </w:rPr>
                          <w:t>78%</w:t>
                        </w:r>
                      </w:p>
                    </w:txbxContent>
                  </v:textbox>
                  <w10:wrap type="none"/>
                </v:shape>
                <v:shape style="position:absolute;left:4242;top:1657;width:1710;height:313" type="#_x0000_t202" id="docshape92" filled="false" stroked="false">
                  <v:textbox inset="0,0,0,0">
                    <w:txbxContent>
                      <w:p>
                        <w:pPr>
                          <w:spacing w:line="187" w:lineRule="auto" w:before="0"/>
                          <w:ind w:left="0" w:right="0" w:firstLine="0"/>
                          <w:jc w:val="left"/>
                          <w:rPr>
                            <w:rFonts w:ascii="Calibri"/>
                            <w:b/>
                            <w:sz w:val="20"/>
                          </w:rPr>
                        </w:pPr>
                        <w:r>
                          <w:rPr>
                            <w:rFonts w:ascii="Calibri"/>
                            <w:b/>
                            <w:color w:val="EC7C30"/>
                            <w:position w:val="-7"/>
                            <w:sz w:val="20"/>
                          </w:rPr>
                          <w:t>78.1%</w:t>
                        </w:r>
                        <w:r>
                          <w:rPr>
                            <w:rFonts w:ascii="Calibri"/>
                            <w:b/>
                            <w:color w:val="EC7C30"/>
                            <w:spacing w:val="65"/>
                            <w:position w:val="-7"/>
                            <w:sz w:val="20"/>
                          </w:rPr>
                          <w:t> </w:t>
                        </w:r>
                        <w:r>
                          <w:rPr>
                            <w:rFonts w:ascii="Calibri"/>
                            <w:b/>
                            <w:color w:val="EC7C30"/>
                            <w:position w:val="-10"/>
                            <w:sz w:val="20"/>
                          </w:rPr>
                          <w:t>77.9%</w:t>
                        </w:r>
                        <w:r>
                          <w:rPr>
                            <w:rFonts w:ascii="Calibri"/>
                            <w:b/>
                            <w:color w:val="EC7C30"/>
                            <w:spacing w:val="12"/>
                            <w:position w:val="-10"/>
                            <w:sz w:val="20"/>
                          </w:rPr>
                          <w:t> </w:t>
                        </w:r>
                        <w:r>
                          <w:rPr>
                            <w:rFonts w:ascii="Calibri"/>
                            <w:b/>
                            <w:color w:val="A4A4A4"/>
                            <w:spacing w:val="-2"/>
                            <w:sz w:val="20"/>
                          </w:rPr>
                          <w:t>78.1%</w:t>
                        </w:r>
                      </w:p>
                    </w:txbxContent>
                  </v:textbox>
                  <w10:wrap type="none"/>
                </v:shape>
                <v:shape style="position:absolute;left:6490;top:1291;width:1089;height:333" type="#_x0000_t202" id="docshape93" filled="false" stroked="false">
                  <v:textbox inset="0,0,0,0">
                    <w:txbxContent>
                      <w:p>
                        <w:pPr>
                          <w:spacing w:line="187" w:lineRule="auto" w:before="0"/>
                          <w:ind w:left="0" w:right="0" w:firstLine="0"/>
                          <w:jc w:val="left"/>
                          <w:rPr>
                            <w:rFonts w:ascii="Calibri"/>
                            <w:b/>
                            <w:sz w:val="20"/>
                          </w:rPr>
                        </w:pPr>
                        <w:r>
                          <w:rPr>
                            <w:rFonts w:ascii="Calibri"/>
                            <w:b/>
                            <w:color w:val="A4A4A4"/>
                            <w:position w:val="-12"/>
                            <w:sz w:val="20"/>
                          </w:rPr>
                          <w:t>80.0%</w:t>
                        </w:r>
                        <w:r>
                          <w:rPr>
                            <w:rFonts w:ascii="Calibri"/>
                            <w:b/>
                            <w:color w:val="A4A4A4"/>
                            <w:spacing w:val="11"/>
                            <w:position w:val="-12"/>
                            <w:sz w:val="20"/>
                          </w:rPr>
                          <w:t> </w:t>
                        </w:r>
                        <w:r>
                          <w:rPr>
                            <w:rFonts w:ascii="Calibri"/>
                            <w:b/>
                            <w:color w:val="A4A4A4"/>
                            <w:spacing w:val="-4"/>
                            <w:sz w:val="20"/>
                          </w:rPr>
                          <w:t>81.0%</w:t>
                        </w:r>
                      </w:p>
                    </w:txbxContent>
                  </v:textbox>
                  <w10:wrap type="none"/>
                </v:shape>
                <v:shape style="position:absolute;left:5923;top:1497;width:521;height:200" type="#_x0000_t202" id="docshape94"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79.0%</w:t>
                        </w:r>
                      </w:p>
                    </w:txbxContent>
                  </v:textbox>
                  <w10:wrap type="none"/>
                </v:shape>
                <v:shape style="position:absolute;left:1958;top:1408;width:367;height:200" type="#_x0000_t202" id="docshape95" filled="false" stroked="false">
                  <v:textbox inset="0,0,0,0">
                    <w:txbxContent>
                      <w:p>
                        <w:pPr>
                          <w:spacing w:line="199" w:lineRule="exact" w:before="0"/>
                          <w:ind w:left="0" w:right="0" w:firstLine="0"/>
                          <w:jc w:val="left"/>
                          <w:rPr>
                            <w:rFonts w:ascii="Calibri"/>
                            <w:sz w:val="20"/>
                          </w:rPr>
                        </w:pPr>
                        <w:r>
                          <w:rPr>
                            <w:rFonts w:ascii="Calibri"/>
                            <w:spacing w:val="-5"/>
                            <w:sz w:val="20"/>
                          </w:rPr>
                          <w:t>82%</w:t>
                        </w:r>
                      </w:p>
                    </w:txbxContent>
                  </v:textbox>
                  <w10:wrap type="none"/>
                </v:shape>
                <v:shape style="position:absolute;left:8758;top:771;width:1088;height:333" type="#_x0000_t202" id="docshape96" filled="false" stroked="false">
                  <v:textbox inset="0,0,0,0">
                    <w:txbxContent>
                      <w:p>
                        <w:pPr>
                          <w:spacing w:line="148" w:lineRule="exact" w:before="0"/>
                          <w:ind w:left="567" w:right="0" w:firstLine="0"/>
                          <w:jc w:val="left"/>
                          <w:rPr>
                            <w:rFonts w:ascii="Calibri"/>
                            <w:b/>
                            <w:sz w:val="20"/>
                          </w:rPr>
                        </w:pPr>
                        <w:r>
                          <w:rPr>
                            <w:rFonts w:ascii="Calibri"/>
                            <w:b/>
                            <w:color w:val="A4A4A4"/>
                            <w:spacing w:val="-2"/>
                            <w:sz w:val="20"/>
                          </w:rPr>
                          <w:t>84.9%</w:t>
                        </w:r>
                      </w:p>
                      <w:p>
                        <w:pPr>
                          <w:spacing w:line="185" w:lineRule="exact" w:before="0"/>
                          <w:ind w:left="0" w:right="0" w:firstLine="0"/>
                          <w:jc w:val="left"/>
                          <w:rPr>
                            <w:rFonts w:ascii="Calibri"/>
                            <w:b/>
                            <w:sz w:val="20"/>
                          </w:rPr>
                        </w:pPr>
                        <w:r>
                          <w:rPr>
                            <w:rFonts w:ascii="Calibri"/>
                            <w:b/>
                            <w:color w:val="A4A4A4"/>
                            <w:spacing w:val="-2"/>
                            <w:sz w:val="20"/>
                          </w:rPr>
                          <w:t>83.9%</w:t>
                        </w:r>
                      </w:p>
                    </w:txbxContent>
                  </v:textbox>
                  <w10:wrap type="none"/>
                </v:shape>
                <v:shape style="position:absolute;left:7624;top:1037;width:1088;height:320" type="#_x0000_t202" id="docshape97" filled="false" stroked="false">
                  <v:textbox inset="0,0,0,0">
                    <w:txbxContent>
                      <w:p>
                        <w:pPr>
                          <w:spacing w:line="187" w:lineRule="auto" w:before="0"/>
                          <w:ind w:left="0" w:right="0" w:firstLine="0"/>
                          <w:jc w:val="left"/>
                          <w:rPr>
                            <w:rFonts w:ascii="Calibri"/>
                            <w:b/>
                            <w:sz w:val="20"/>
                          </w:rPr>
                        </w:pPr>
                        <w:r>
                          <w:rPr>
                            <w:rFonts w:ascii="Calibri"/>
                            <w:b/>
                            <w:color w:val="A4A4A4"/>
                            <w:position w:val="-11"/>
                            <w:sz w:val="20"/>
                          </w:rPr>
                          <w:t>82.0%</w:t>
                        </w:r>
                        <w:r>
                          <w:rPr>
                            <w:rFonts w:ascii="Calibri"/>
                            <w:b/>
                            <w:color w:val="A4A4A4"/>
                            <w:spacing w:val="11"/>
                            <w:position w:val="-11"/>
                            <w:sz w:val="20"/>
                          </w:rPr>
                          <w:t> </w:t>
                        </w:r>
                        <w:r>
                          <w:rPr>
                            <w:rFonts w:ascii="Calibri"/>
                            <w:b/>
                            <w:color w:val="A4A4A4"/>
                            <w:spacing w:val="-4"/>
                            <w:sz w:val="20"/>
                          </w:rPr>
                          <w:t>82.9%</w:t>
                        </w:r>
                      </w:p>
                    </w:txbxContent>
                  </v:textbox>
                  <w10:wrap type="none"/>
                </v:shape>
                <v:shape style="position:absolute;left:1958;top:342;width:367;height:733" type="#_x0000_t202" id="docshape98" filled="false" stroked="false">
                  <v:textbox inset="0,0,0,0">
                    <w:txbxContent>
                      <w:p>
                        <w:pPr>
                          <w:spacing w:line="203" w:lineRule="exact" w:before="0"/>
                          <w:ind w:left="0" w:right="0" w:firstLine="0"/>
                          <w:jc w:val="left"/>
                          <w:rPr>
                            <w:rFonts w:ascii="Calibri"/>
                            <w:sz w:val="20"/>
                          </w:rPr>
                        </w:pPr>
                        <w:r>
                          <w:rPr>
                            <w:rFonts w:ascii="Calibri"/>
                            <w:spacing w:val="-5"/>
                            <w:sz w:val="20"/>
                          </w:rPr>
                          <w:t>90%</w:t>
                        </w:r>
                      </w:p>
                      <w:p>
                        <w:pPr>
                          <w:spacing w:line="240" w:lineRule="auto" w:before="45"/>
                          <w:rPr>
                            <w:rFonts w:ascii="Calibri"/>
                            <w:sz w:val="20"/>
                          </w:rPr>
                        </w:pPr>
                      </w:p>
                      <w:p>
                        <w:pPr>
                          <w:spacing w:line="240" w:lineRule="exact" w:before="0"/>
                          <w:ind w:left="0" w:right="0" w:firstLine="0"/>
                          <w:jc w:val="left"/>
                          <w:rPr>
                            <w:rFonts w:ascii="Calibri"/>
                            <w:sz w:val="20"/>
                          </w:rPr>
                        </w:pPr>
                        <w:r>
                          <w:rPr>
                            <w:rFonts w:ascii="Calibri"/>
                            <w:spacing w:val="-5"/>
                            <w:sz w:val="20"/>
                          </w:rPr>
                          <w:t>86%</w:t>
                        </w:r>
                      </w:p>
                    </w:txbxContent>
                  </v:textbox>
                  <w10:wrap type="none"/>
                </v:shape>
                <w10:wrap type="topAndBottom"/>
              </v:group>
            </w:pict>
          </mc:Fallback>
        </mc:AlternateContent>
      </w:r>
    </w:p>
    <w:p>
      <w:pPr>
        <w:spacing w:line="328" w:lineRule="auto" w:before="216"/>
        <w:ind w:left="143" w:right="5492" w:firstLine="0"/>
        <w:jc w:val="left"/>
        <w:rPr>
          <w:sz w:val="16"/>
        </w:rPr>
      </w:pPr>
      <w:r>
        <w:rPr>
          <w:sz w:val="16"/>
        </w:rPr>
        <w:t>Fuente:</w:t>
      </w:r>
      <w:r>
        <w:rPr>
          <w:spacing w:val="-9"/>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spacing w:line="328" w:lineRule="auto" w:before="172"/>
        <w:ind w:left="143" w:right="707" w:firstLine="0"/>
        <w:jc w:val="both"/>
        <w:rPr>
          <w:sz w:val="24"/>
        </w:rPr>
      </w:pPr>
      <w:r>
        <w:rPr>
          <w:sz w:val="24"/>
        </w:rPr>
        <w:t>El indicador “</w:t>
      </w:r>
      <w:r>
        <w:rPr>
          <w:rFonts w:ascii="Arial" w:hAnsi="Arial"/>
          <w:i/>
          <w:sz w:val="24"/>
        </w:rPr>
        <w:t>Proporción de mujeres con demanda insatisfecha de planificación familiar”</w:t>
      </w:r>
      <w:r>
        <w:rPr>
          <w:rFonts w:ascii="Arial" w:hAnsi="Arial"/>
          <w:i/>
          <w:spacing w:val="-6"/>
          <w:sz w:val="24"/>
        </w:rPr>
        <w:t> </w:t>
      </w:r>
      <w:r>
        <w:rPr>
          <w:sz w:val="24"/>
        </w:rPr>
        <w:t>tiene</w:t>
      </w:r>
      <w:r>
        <w:rPr>
          <w:spacing w:val="-6"/>
          <w:sz w:val="24"/>
        </w:rPr>
        <w:t> </w:t>
      </w:r>
      <w:r>
        <w:rPr>
          <w:sz w:val="24"/>
        </w:rPr>
        <w:t>como</w:t>
      </w:r>
      <w:r>
        <w:rPr>
          <w:spacing w:val="-5"/>
          <w:sz w:val="24"/>
        </w:rPr>
        <w:t> </w:t>
      </w:r>
      <w:r>
        <w:rPr>
          <w:sz w:val="24"/>
        </w:rPr>
        <w:t>fuente</w:t>
      </w:r>
      <w:r>
        <w:rPr>
          <w:spacing w:val="-7"/>
          <w:sz w:val="24"/>
        </w:rPr>
        <w:t> </w:t>
      </w:r>
      <w:r>
        <w:rPr>
          <w:sz w:val="24"/>
        </w:rPr>
        <w:t>de</w:t>
      </w:r>
      <w:r>
        <w:rPr>
          <w:spacing w:val="-7"/>
          <w:sz w:val="24"/>
        </w:rPr>
        <w:t> </w:t>
      </w:r>
      <w:r>
        <w:rPr>
          <w:sz w:val="24"/>
        </w:rPr>
        <w:t>datos</w:t>
      </w:r>
      <w:r>
        <w:rPr>
          <w:spacing w:val="-6"/>
          <w:sz w:val="24"/>
        </w:rPr>
        <w:t> </w:t>
      </w:r>
      <w:r>
        <w:rPr>
          <w:sz w:val="24"/>
        </w:rPr>
        <w:t>es</w:t>
      </w:r>
      <w:r>
        <w:rPr>
          <w:spacing w:val="-4"/>
          <w:sz w:val="24"/>
        </w:rPr>
        <w:t> </w:t>
      </w:r>
      <w:r>
        <w:rPr>
          <w:sz w:val="24"/>
        </w:rPr>
        <w:t>la</w:t>
      </w:r>
      <w:r>
        <w:rPr>
          <w:spacing w:val="-7"/>
          <w:sz w:val="24"/>
        </w:rPr>
        <w:t> </w:t>
      </w:r>
      <w:r>
        <w:rPr>
          <w:sz w:val="24"/>
        </w:rPr>
        <w:t>ENDES.</w:t>
      </w:r>
      <w:r>
        <w:rPr>
          <w:spacing w:val="-7"/>
          <w:sz w:val="24"/>
        </w:rPr>
        <w:t> </w:t>
      </w:r>
      <w:r>
        <w:rPr>
          <w:sz w:val="24"/>
        </w:rPr>
        <w:t>Asimismo,</w:t>
      </w:r>
      <w:r>
        <w:rPr>
          <w:spacing w:val="-6"/>
          <w:sz w:val="24"/>
        </w:rPr>
        <w:t> </w:t>
      </w:r>
      <w:r>
        <w:rPr>
          <w:sz w:val="24"/>
        </w:rPr>
        <w:t>el</w:t>
      </w:r>
      <w:r>
        <w:rPr>
          <w:spacing w:val="-6"/>
          <w:sz w:val="24"/>
        </w:rPr>
        <w:t> </w:t>
      </w:r>
      <w:r>
        <w:rPr>
          <w:sz w:val="24"/>
        </w:rPr>
        <w:t>responsable</w:t>
      </w:r>
      <w:r>
        <w:rPr>
          <w:spacing w:val="-7"/>
          <w:sz w:val="24"/>
        </w:rPr>
        <w:t> </w:t>
      </w:r>
      <w:r>
        <w:rPr>
          <w:sz w:val="24"/>
        </w:rPr>
        <w:t>del</w:t>
      </w:r>
    </w:p>
    <w:p>
      <w:pPr>
        <w:spacing w:after="0" w:line="328" w:lineRule="auto"/>
        <w:jc w:val="both"/>
        <w:rPr>
          <w:sz w:val="24"/>
        </w:rPr>
        <w:sectPr>
          <w:pgSz w:w="11910" w:h="16840"/>
          <w:pgMar w:header="713" w:footer="1000" w:top="1420" w:bottom="1200" w:left="1559" w:right="992"/>
        </w:sectPr>
      </w:pPr>
    </w:p>
    <w:p>
      <w:pPr>
        <w:pStyle w:val="BodyText"/>
        <w:spacing w:line="324" w:lineRule="auto" w:before="126"/>
        <w:ind w:left="143" w:right="704"/>
        <w:jc w:val="both"/>
      </w:pPr>
      <w:r>
        <w:rPr/>
        <w:t>indicador</w:t>
      </w:r>
      <w:r>
        <w:rPr>
          <w:spacing w:val="-6"/>
        </w:rPr>
        <w:t> </w:t>
      </w:r>
      <w:r>
        <w:rPr/>
        <w:t>es</w:t>
      </w:r>
      <w:r>
        <w:rPr>
          <w:spacing w:val="-4"/>
        </w:rPr>
        <w:t> </w:t>
      </w:r>
      <w:r>
        <w:rPr/>
        <w:t>el</w:t>
      </w:r>
      <w:r>
        <w:rPr>
          <w:spacing w:val="-6"/>
        </w:rPr>
        <w:t> </w:t>
      </w:r>
      <w:r>
        <w:rPr/>
        <w:t>MINSA.</w:t>
      </w:r>
      <w:r>
        <w:rPr>
          <w:spacing w:val="-6"/>
        </w:rPr>
        <w:t> </w:t>
      </w:r>
      <w:r>
        <w:rPr/>
        <w:t>Este</w:t>
      </w:r>
      <w:r>
        <w:rPr>
          <w:spacing w:val="-6"/>
        </w:rPr>
        <w:t> </w:t>
      </w:r>
      <w:r>
        <w:rPr/>
        <w:t>indicador</w:t>
      </w:r>
      <w:r>
        <w:rPr>
          <w:spacing w:val="-6"/>
        </w:rPr>
        <w:t> </w:t>
      </w:r>
      <w:r>
        <w:rPr/>
        <w:t>tiene</w:t>
      </w:r>
      <w:r>
        <w:rPr>
          <w:spacing w:val="-6"/>
        </w:rPr>
        <w:t> </w:t>
      </w:r>
      <w:r>
        <w:rPr/>
        <w:t>un</w:t>
      </w:r>
      <w:r>
        <w:rPr>
          <w:spacing w:val="-7"/>
        </w:rPr>
        <w:t> </w:t>
      </w:r>
      <w:r>
        <w:rPr/>
        <w:t>sentido</w:t>
      </w:r>
      <w:r>
        <w:rPr>
          <w:spacing w:val="-3"/>
        </w:rPr>
        <w:t> </w:t>
      </w:r>
      <w:r>
        <w:rPr/>
        <w:t>descendente</w:t>
      </w:r>
      <w:r>
        <w:rPr>
          <w:spacing w:val="-6"/>
        </w:rPr>
        <w:t> </w:t>
      </w:r>
      <w:r>
        <w:rPr/>
        <w:t>y</w:t>
      </w:r>
      <w:r>
        <w:rPr>
          <w:spacing w:val="-6"/>
        </w:rPr>
        <w:t> </w:t>
      </w:r>
      <w:r>
        <w:rPr/>
        <w:t>se</w:t>
      </w:r>
      <w:r>
        <w:rPr>
          <w:spacing w:val="-6"/>
        </w:rPr>
        <w:t> </w:t>
      </w:r>
      <w:r>
        <w:rPr/>
        <w:t>espera que su valor decrezca cada año. Al respecto:</w:t>
      </w:r>
    </w:p>
    <w:p>
      <w:pPr>
        <w:pStyle w:val="ListParagraph"/>
        <w:numPr>
          <w:ilvl w:val="0"/>
          <w:numId w:val="11"/>
        </w:numPr>
        <w:tabs>
          <w:tab w:pos="862" w:val="left" w:leader="none"/>
        </w:tabs>
        <w:spacing w:line="326" w:lineRule="auto" w:before="164" w:after="0"/>
        <w:ind w:left="862" w:right="703" w:hanging="360"/>
        <w:jc w:val="both"/>
        <w:rPr>
          <w:sz w:val="24"/>
        </w:rPr>
      </w:pPr>
      <w:r>
        <w:rPr>
          <w:sz w:val="24"/>
        </w:rPr>
        <w:t>En el año 2023 el indicador arrojó un valor de 5.2% de mujeres con demanda</w:t>
      </w:r>
      <w:r>
        <w:rPr>
          <w:spacing w:val="-3"/>
          <w:sz w:val="24"/>
        </w:rPr>
        <w:t> </w:t>
      </w:r>
      <w:r>
        <w:rPr>
          <w:sz w:val="24"/>
        </w:rPr>
        <w:t>insatisfecha</w:t>
      </w:r>
      <w:r>
        <w:rPr>
          <w:spacing w:val="-6"/>
          <w:sz w:val="24"/>
        </w:rPr>
        <w:t> </w:t>
      </w:r>
      <w:r>
        <w:rPr>
          <w:sz w:val="24"/>
        </w:rPr>
        <w:t>de planificación</w:t>
      </w:r>
      <w:r>
        <w:rPr>
          <w:spacing w:val="-3"/>
          <w:sz w:val="24"/>
        </w:rPr>
        <w:t> </w:t>
      </w:r>
      <w:r>
        <w:rPr>
          <w:sz w:val="24"/>
        </w:rPr>
        <w:t>familiar,</w:t>
      </w:r>
      <w:r>
        <w:rPr>
          <w:spacing w:val="-2"/>
          <w:sz w:val="24"/>
        </w:rPr>
        <w:t> </w:t>
      </w:r>
      <w:r>
        <w:rPr>
          <w:sz w:val="24"/>
        </w:rPr>
        <w:t>lo</w:t>
      </w:r>
      <w:r>
        <w:rPr>
          <w:spacing w:val="-2"/>
          <w:sz w:val="24"/>
        </w:rPr>
        <w:t> </w:t>
      </w:r>
      <w:r>
        <w:rPr>
          <w:sz w:val="24"/>
        </w:rPr>
        <w:t>cual</w:t>
      </w:r>
      <w:r>
        <w:rPr>
          <w:spacing w:val="-2"/>
          <w:sz w:val="24"/>
        </w:rPr>
        <w:t> </w:t>
      </w:r>
      <w:r>
        <w:rPr>
          <w:sz w:val="24"/>
        </w:rPr>
        <w:t>muestra</w:t>
      </w:r>
      <w:r>
        <w:rPr>
          <w:spacing w:val="-3"/>
          <w:sz w:val="24"/>
        </w:rPr>
        <w:t> </w:t>
      </w:r>
      <w:r>
        <w:rPr>
          <w:sz w:val="24"/>
        </w:rPr>
        <w:t>que</w:t>
      </w:r>
      <w:r>
        <w:rPr>
          <w:spacing w:val="-3"/>
          <w:sz w:val="24"/>
        </w:rPr>
        <w:t> </w:t>
      </w:r>
      <w:r>
        <w:rPr>
          <w:sz w:val="24"/>
        </w:rPr>
        <w:t>no</w:t>
      </w:r>
      <w:r>
        <w:rPr>
          <w:spacing w:val="-2"/>
          <w:sz w:val="24"/>
        </w:rPr>
        <w:t> </w:t>
      </w:r>
      <w:r>
        <w:rPr>
          <w:sz w:val="24"/>
        </w:rPr>
        <w:t>se ha superado la meta programada del año: (4.6%).</w:t>
      </w:r>
    </w:p>
    <w:p>
      <w:pPr>
        <w:pStyle w:val="ListParagraph"/>
        <w:numPr>
          <w:ilvl w:val="0"/>
          <w:numId w:val="11"/>
        </w:numPr>
        <w:tabs>
          <w:tab w:pos="862" w:val="left" w:leader="none"/>
        </w:tabs>
        <w:spacing w:line="326" w:lineRule="auto" w:before="1" w:after="0"/>
        <w:ind w:left="862" w:right="706" w:hanging="360"/>
        <w:jc w:val="both"/>
        <w:rPr>
          <w:sz w:val="24"/>
        </w:rPr>
      </w:pPr>
      <w:r>
        <w:rPr>
          <w:sz w:val="24"/>
        </w:rPr>
        <w:t>Asimismo,</w:t>
      </w:r>
      <w:r>
        <w:rPr>
          <w:spacing w:val="-17"/>
          <w:sz w:val="24"/>
        </w:rPr>
        <w:t> </w:t>
      </w:r>
      <w:r>
        <w:rPr>
          <w:sz w:val="24"/>
        </w:rPr>
        <w:t>el</w:t>
      </w:r>
      <w:r>
        <w:rPr>
          <w:spacing w:val="-17"/>
          <w:sz w:val="24"/>
        </w:rPr>
        <w:t> </w:t>
      </w:r>
      <w:r>
        <w:rPr>
          <w:sz w:val="24"/>
        </w:rPr>
        <w:t>nivel</w:t>
      </w:r>
      <w:r>
        <w:rPr>
          <w:spacing w:val="-16"/>
          <w:sz w:val="24"/>
        </w:rPr>
        <w:t> </w:t>
      </w:r>
      <w:r>
        <w:rPr>
          <w:sz w:val="24"/>
        </w:rPr>
        <w:t>de</w:t>
      </w:r>
      <w:r>
        <w:rPr>
          <w:spacing w:val="-17"/>
          <w:sz w:val="24"/>
        </w:rPr>
        <w:t> </w:t>
      </w:r>
      <w:r>
        <w:rPr>
          <w:sz w:val="24"/>
        </w:rPr>
        <w:t>avance</w:t>
      </w:r>
      <w:r>
        <w:rPr>
          <w:spacing w:val="-17"/>
          <w:sz w:val="24"/>
        </w:rPr>
        <w:t> </w:t>
      </w:r>
      <w:r>
        <w:rPr>
          <w:sz w:val="24"/>
        </w:rPr>
        <w:t>del</w:t>
      </w:r>
      <w:r>
        <w:rPr>
          <w:spacing w:val="-17"/>
          <w:sz w:val="24"/>
        </w:rPr>
        <w:t> </w:t>
      </w:r>
      <w:r>
        <w:rPr>
          <w:sz w:val="24"/>
        </w:rPr>
        <w:t>año</w:t>
      </w:r>
      <w:r>
        <w:rPr>
          <w:spacing w:val="-16"/>
          <w:sz w:val="24"/>
        </w:rPr>
        <w:t> </w:t>
      </w:r>
      <w:r>
        <w:rPr>
          <w:sz w:val="24"/>
        </w:rPr>
        <w:t>2023</w:t>
      </w:r>
      <w:r>
        <w:rPr>
          <w:spacing w:val="-17"/>
          <w:sz w:val="24"/>
        </w:rPr>
        <w:t> </w:t>
      </w:r>
      <w:r>
        <w:rPr>
          <w:sz w:val="24"/>
        </w:rPr>
        <w:t>correspondió</w:t>
      </w:r>
      <w:r>
        <w:rPr>
          <w:spacing w:val="-17"/>
          <w:sz w:val="24"/>
        </w:rPr>
        <w:t> </w:t>
      </w:r>
      <w:r>
        <w:rPr>
          <w:sz w:val="24"/>
        </w:rPr>
        <w:t>a</w:t>
      </w:r>
      <w:r>
        <w:rPr>
          <w:spacing w:val="-16"/>
          <w:sz w:val="24"/>
        </w:rPr>
        <w:t> </w:t>
      </w:r>
      <w:r>
        <w:rPr>
          <w:sz w:val="24"/>
        </w:rPr>
        <w:t>88.5%</w:t>
      </w:r>
      <w:r>
        <w:rPr>
          <w:spacing w:val="-17"/>
          <w:sz w:val="24"/>
        </w:rPr>
        <w:t> </w:t>
      </w:r>
      <w:r>
        <w:rPr>
          <w:sz w:val="24"/>
        </w:rPr>
        <w:t>respecto a la meta programada, lo cual es considerado como un nivel de cumplimiento medio, cifra mayor al nivel de avance identificado en 2022 (85.0%) pero menor respecto al identificado en el 2021(98.8%).</w:t>
      </w:r>
    </w:p>
    <w:p>
      <w:pPr>
        <w:pStyle w:val="ListParagraph"/>
        <w:numPr>
          <w:ilvl w:val="0"/>
          <w:numId w:val="11"/>
        </w:numPr>
        <w:tabs>
          <w:tab w:pos="862" w:val="left" w:leader="none"/>
        </w:tabs>
        <w:spacing w:line="326" w:lineRule="auto" w:before="3" w:after="0"/>
        <w:ind w:left="862" w:right="704" w:hanging="360"/>
        <w:jc w:val="both"/>
        <w:rPr>
          <w:sz w:val="24"/>
        </w:rPr>
      </w:pPr>
      <w:r>
        <w:rPr>
          <w:sz w:val="24"/>
        </w:rPr>
        <w:t>En</w:t>
      </w:r>
      <w:r>
        <w:rPr>
          <w:spacing w:val="-6"/>
          <w:sz w:val="24"/>
        </w:rPr>
        <w:t> </w:t>
      </w:r>
      <w:r>
        <w:rPr>
          <w:sz w:val="24"/>
        </w:rPr>
        <w:t>esa</w:t>
      </w:r>
      <w:r>
        <w:rPr>
          <w:spacing w:val="-6"/>
          <w:sz w:val="24"/>
        </w:rPr>
        <w:t> </w:t>
      </w:r>
      <w:r>
        <w:rPr>
          <w:sz w:val="24"/>
        </w:rPr>
        <w:t>línea,</w:t>
      </w:r>
      <w:r>
        <w:rPr>
          <w:spacing w:val="-8"/>
          <w:sz w:val="24"/>
        </w:rPr>
        <w:t> </w:t>
      </w:r>
      <w:r>
        <w:rPr>
          <w:sz w:val="24"/>
        </w:rPr>
        <w:t>dado</w:t>
      </w:r>
      <w:r>
        <w:rPr>
          <w:spacing w:val="-5"/>
          <w:sz w:val="24"/>
        </w:rPr>
        <w:t> </w:t>
      </w:r>
      <w:r>
        <w:rPr>
          <w:sz w:val="24"/>
        </w:rPr>
        <w:t>que</w:t>
      </w:r>
      <w:r>
        <w:rPr>
          <w:spacing w:val="-9"/>
          <w:sz w:val="24"/>
        </w:rPr>
        <w:t> </w:t>
      </w:r>
      <w:r>
        <w:rPr>
          <w:sz w:val="24"/>
        </w:rPr>
        <w:t>el</w:t>
      </w:r>
      <w:r>
        <w:rPr>
          <w:spacing w:val="-5"/>
          <w:sz w:val="24"/>
        </w:rPr>
        <w:t> </w:t>
      </w:r>
      <w:r>
        <w:rPr>
          <w:sz w:val="24"/>
        </w:rPr>
        <w:t>valor</w:t>
      </w:r>
      <w:r>
        <w:rPr>
          <w:spacing w:val="-5"/>
          <w:sz w:val="24"/>
        </w:rPr>
        <w:t> </w:t>
      </w:r>
      <w:r>
        <w:rPr>
          <w:sz w:val="24"/>
        </w:rPr>
        <w:t>obtenido</w:t>
      </w:r>
      <w:r>
        <w:rPr>
          <w:spacing w:val="-5"/>
          <w:sz w:val="24"/>
        </w:rPr>
        <w:t> </w:t>
      </w:r>
      <w:r>
        <w:rPr>
          <w:sz w:val="24"/>
        </w:rPr>
        <w:t>en</w:t>
      </w:r>
      <w:r>
        <w:rPr>
          <w:spacing w:val="-9"/>
          <w:sz w:val="24"/>
        </w:rPr>
        <w:t> </w:t>
      </w:r>
      <w:r>
        <w:rPr>
          <w:sz w:val="24"/>
        </w:rPr>
        <w:t>el</w:t>
      </w:r>
      <w:r>
        <w:rPr>
          <w:spacing w:val="-8"/>
          <w:sz w:val="24"/>
        </w:rPr>
        <w:t> </w:t>
      </w:r>
      <w:r>
        <w:rPr>
          <w:sz w:val="24"/>
        </w:rPr>
        <w:t>2023</w:t>
      </w:r>
      <w:r>
        <w:rPr>
          <w:spacing w:val="-2"/>
          <w:sz w:val="24"/>
        </w:rPr>
        <w:t> </w:t>
      </w:r>
      <w:r>
        <w:rPr>
          <w:sz w:val="24"/>
        </w:rPr>
        <w:t>disminuyo</w:t>
      </w:r>
      <w:r>
        <w:rPr>
          <w:spacing w:val="-5"/>
          <w:sz w:val="24"/>
        </w:rPr>
        <w:t> </w:t>
      </w:r>
      <w:r>
        <w:rPr>
          <w:sz w:val="24"/>
        </w:rPr>
        <w:t>en</w:t>
      </w:r>
      <w:r>
        <w:rPr>
          <w:spacing w:val="-5"/>
          <w:sz w:val="24"/>
        </w:rPr>
        <w:t> </w:t>
      </w:r>
      <w:r>
        <w:rPr>
          <w:sz w:val="24"/>
        </w:rPr>
        <w:t>0.7</w:t>
      </w:r>
      <w:r>
        <w:rPr>
          <w:spacing w:val="-6"/>
          <w:sz w:val="24"/>
        </w:rPr>
        <w:t> </w:t>
      </w:r>
      <w:r>
        <w:rPr>
          <w:sz w:val="24"/>
        </w:rPr>
        <w:t>p.p. respecto del 2022 (5.9%), y en 0.3 p.p. respecto del valor obtenido para el año 2021</w:t>
      </w:r>
      <w:r>
        <w:rPr>
          <w:spacing w:val="-1"/>
          <w:sz w:val="24"/>
        </w:rPr>
        <w:t> </w:t>
      </w:r>
      <w:r>
        <w:rPr>
          <w:sz w:val="24"/>
        </w:rPr>
        <w:t>(5.5%), se puede inferir que el indicador tiene una tendencia decreciente similar a la esperada en las metas programadas.</w:t>
      </w:r>
    </w:p>
    <w:p>
      <w:pPr>
        <w:pStyle w:val="BodyText"/>
      </w:pPr>
    </w:p>
    <w:p>
      <w:pPr>
        <w:pStyle w:val="BodyText"/>
        <w:spacing w:before="14"/>
      </w:pPr>
    </w:p>
    <w:p>
      <w:pPr>
        <w:spacing w:before="0"/>
        <w:ind w:left="627" w:right="0" w:firstLine="0"/>
        <w:jc w:val="left"/>
        <w:rPr>
          <w:sz w:val="20"/>
        </w:rPr>
      </w:pPr>
      <w:r>
        <w:rPr>
          <w:color w:val="44536A"/>
          <w:sz w:val="20"/>
        </w:rPr>
        <w:t>Gráfico</w:t>
      </w:r>
      <w:r>
        <w:rPr>
          <w:color w:val="44536A"/>
          <w:spacing w:val="-1"/>
          <w:sz w:val="20"/>
        </w:rPr>
        <w:t> </w:t>
      </w:r>
      <w:r>
        <w:rPr>
          <w:color w:val="44536A"/>
          <w:sz w:val="20"/>
        </w:rPr>
        <w:t>3.</w:t>
      </w:r>
      <w:r>
        <w:rPr>
          <w:color w:val="44536A"/>
          <w:spacing w:val="-2"/>
          <w:sz w:val="20"/>
        </w:rPr>
        <w:t> </w:t>
      </w:r>
      <w:r>
        <w:rPr>
          <w:color w:val="44536A"/>
          <w:sz w:val="20"/>
        </w:rPr>
        <w:t>Proporción</w:t>
      </w:r>
      <w:r>
        <w:rPr>
          <w:color w:val="44536A"/>
          <w:spacing w:val="-1"/>
          <w:sz w:val="20"/>
        </w:rPr>
        <w:t> </w:t>
      </w:r>
      <w:r>
        <w:rPr>
          <w:color w:val="44536A"/>
          <w:sz w:val="20"/>
        </w:rPr>
        <w:t>de</w:t>
      </w:r>
      <w:r>
        <w:rPr>
          <w:color w:val="44536A"/>
          <w:spacing w:val="-2"/>
          <w:sz w:val="20"/>
        </w:rPr>
        <w:t> </w:t>
      </w:r>
      <w:r>
        <w:rPr>
          <w:color w:val="44536A"/>
          <w:sz w:val="20"/>
        </w:rPr>
        <w:t>mujeres</w:t>
      </w:r>
      <w:r>
        <w:rPr>
          <w:color w:val="44536A"/>
          <w:spacing w:val="-1"/>
          <w:sz w:val="20"/>
        </w:rPr>
        <w:t> </w:t>
      </w:r>
      <w:r>
        <w:rPr>
          <w:color w:val="44536A"/>
          <w:sz w:val="20"/>
        </w:rPr>
        <w:t>con</w:t>
      </w:r>
      <w:r>
        <w:rPr>
          <w:color w:val="44536A"/>
          <w:spacing w:val="-2"/>
          <w:sz w:val="20"/>
        </w:rPr>
        <w:t> </w:t>
      </w:r>
      <w:r>
        <w:rPr>
          <w:color w:val="44536A"/>
          <w:sz w:val="20"/>
        </w:rPr>
        <w:t>demanda</w:t>
      </w:r>
      <w:r>
        <w:rPr>
          <w:color w:val="44536A"/>
          <w:spacing w:val="4"/>
          <w:sz w:val="20"/>
        </w:rPr>
        <w:t> </w:t>
      </w:r>
      <w:r>
        <w:rPr>
          <w:color w:val="44536A"/>
          <w:sz w:val="20"/>
        </w:rPr>
        <w:t>insatisfecha</w:t>
      </w:r>
      <w:r>
        <w:rPr>
          <w:color w:val="44536A"/>
          <w:spacing w:val="-2"/>
          <w:sz w:val="20"/>
        </w:rPr>
        <w:t> </w:t>
      </w:r>
      <w:r>
        <w:rPr>
          <w:color w:val="44536A"/>
          <w:sz w:val="20"/>
        </w:rPr>
        <w:t>de</w:t>
      </w:r>
      <w:r>
        <w:rPr>
          <w:color w:val="44536A"/>
          <w:spacing w:val="-1"/>
          <w:sz w:val="20"/>
        </w:rPr>
        <w:t> </w:t>
      </w:r>
      <w:r>
        <w:rPr>
          <w:color w:val="44536A"/>
          <w:sz w:val="20"/>
        </w:rPr>
        <w:t>planificación</w:t>
      </w:r>
      <w:r>
        <w:rPr>
          <w:color w:val="44536A"/>
          <w:spacing w:val="-2"/>
          <w:sz w:val="20"/>
        </w:rPr>
        <w:t> familiar</w:t>
      </w:r>
    </w:p>
    <w:p>
      <w:pPr>
        <w:pStyle w:val="BodyText"/>
        <w:spacing w:before="11"/>
        <w:rPr>
          <w:sz w:val="15"/>
        </w:rPr>
      </w:pPr>
      <w:r>
        <w:rPr>
          <w:sz w:val="15"/>
        </w:rPr>
        <mc:AlternateContent>
          <mc:Choice Requires="wps">
            <w:drawing>
              <wp:anchor distT="0" distB="0" distL="0" distR="0" allowOverlap="1" layoutInCell="1" locked="0" behindDoc="1" simplePos="0" relativeHeight="487589888">
                <wp:simplePos x="0" y="0"/>
                <wp:positionH relativeFrom="page">
                  <wp:posOffset>1076960</wp:posOffset>
                </wp:positionH>
                <wp:positionV relativeFrom="paragraph">
                  <wp:posOffset>131843</wp:posOffset>
                </wp:positionV>
                <wp:extent cx="5406390" cy="2533650"/>
                <wp:effectExtent l="0" t="0" r="0" b="0"/>
                <wp:wrapTopAndBottom/>
                <wp:docPr id="102" name="Group 102"/>
                <wp:cNvGraphicFramePr>
                  <a:graphicFrameLocks/>
                </wp:cNvGraphicFramePr>
                <a:graphic>
                  <a:graphicData uri="http://schemas.microsoft.com/office/word/2010/wordprocessingGroup">
                    <wpg:wgp>
                      <wpg:cNvPr id="102" name="Group 102"/>
                      <wpg:cNvGrpSpPr/>
                      <wpg:grpSpPr>
                        <a:xfrm>
                          <a:off x="0" y="0"/>
                          <a:ext cx="5406390" cy="2533650"/>
                          <a:chExt cx="5406390" cy="2533650"/>
                        </a:xfrm>
                      </wpg:grpSpPr>
                      <wps:wsp>
                        <wps:cNvPr id="103" name="Graphic 103"/>
                        <wps:cNvSpPr/>
                        <wps:spPr>
                          <a:xfrm>
                            <a:off x="382777" y="144145"/>
                            <a:ext cx="40640" cy="1801495"/>
                          </a:xfrm>
                          <a:custGeom>
                            <a:avLst/>
                            <a:gdLst/>
                            <a:ahLst/>
                            <a:cxnLst/>
                            <a:rect l="l" t="t" r="r" b="b"/>
                            <a:pathLst>
                              <a:path w="40640" h="1801495">
                                <a:moveTo>
                                  <a:pt x="40386" y="1801114"/>
                                </a:moveTo>
                                <a:lnTo>
                                  <a:pt x="40386" y="0"/>
                                </a:lnTo>
                              </a:path>
                              <a:path w="40640" h="1801495">
                                <a:moveTo>
                                  <a:pt x="0" y="1801114"/>
                                </a:moveTo>
                                <a:lnTo>
                                  <a:pt x="40386" y="1801114"/>
                                </a:lnTo>
                              </a:path>
                              <a:path w="40640" h="1801495">
                                <a:moveTo>
                                  <a:pt x="0" y="1351534"/>
                                </a:moveTo>
                                <a:lnTo>
                                  <a:pt x="40386" y="1351534"/>
                                </a:lnTo>
                              </a:path>
                              <a:path w="40640" h="1801495">
                                <a:moveTo>
                                  <a:pt x="0" y="900429"/>
                                </a:moveTo>
                                <a:lnTo>
                                  <a:pt x="40386" y="900429"/>
                                </a:lnTo>
                              </a:path>
                              <a:path w="40640" h="1801495">
                                <a:moveTo>
                                  <a:pt x="0" y="450850"/>
                                </a:moveTo>
                                <a:lnTo>
                                  <a:pt x="40386" y="450850"/>
                                </a:lnTo>
                              </a:path>
                              <a:path w="40640" h="1801495">
                                <a:moveTo>
                                  <a:pt x="0" y="0"/>
                                </a:moveTo>
                                <a:lnTo>
                                  <a:pt x="40386" y="0"/>
                                </a:lnTo>
                              </a:path>
                            </a:pathLst>
                          </a:custGeom>
                          <a:ln w="6350">
                            <a:solidFill>
                              <a:srgbClr val="888888"/>
                            </a:solidFill>
                            <a:prstDash val="solid"/>
                          </a:ln>
                        </wps:spPr>
                        <wps:bodyPr wrap="square" lIns="0" tIns="0" rIns="0" bIns="0" rtlCol="0">
                          <a:prstTxWarp prst="textNoShape">
                            <a:avLst/>
                          </a:prstTxWarp>
                          <a:noAutofit/>
                        </wps:bodyPr>
                      </wps:wsp>
                      <wps:wsp>
                        <wps:cNvPr id="104" name="Graphic 104"/>
                        <wps:cNvSpPr/>
                        <wps:spPr>
                          <a:xfrm>
                            <a:off x="423163" y="1945258"/>
                            <a:ext cx="4840605" cy="36830"/>
                          </a:xfrm>
                          <a:custGeom>
                            <a:avLst/>
                            <a:gdLst/>
                            <a:ahLst/>
                            <a:cxnLst/>
                            <a:rect l="l" t="t" r="r" b="b"/>
                            <a:pathLst>
                              <a:path w="4840605" h="36830">
                                <a:moveTo>
                                  <a:pt x="0" y="0"/>
                                </a:moveTo>
                                <a:lnTo>
                                  <a:pt x="4840351" y="0"/>
                                </a:lnTo>
                              </a:path>
                              <a:path w="4840605" h="36830">
                                <a:moveTo>
                                  <a:pt x="0" y="0"/>
                                </a:moveTo>
                                <a:lnTo>
                                  <a:pt x="0" y="36322"/>
                                </a:lnTo>
                              </a:path>
                              <a:path w="4840605" h="36830">
                                <a:moveTo>
                                  <a:pt x="372871" y="0"/>
                                </a:moveTo>
                                <a:lnTo>
                                  <a:pt x="372871" y="36322"/>
                                </a:lnTo>
                              </a:path>
                              <a:path w="4840605" h="36830">
                                <a:moveTo>
                                  <a:pt x="744727" y="0"/>
                                </a:moveTo>
                                <a:lnTo>
                                  <a:pt x="744727" y="36322"/>
                                </a:lnTo>
                              </a:path>
                              <a:path w="4840605" h="36830">
                                <a:moveTo>
                                  <a:pt x="1116583" y="0"/>
                                </a:moveTo>
                                <a:lnTo>
                                  <a:pt x="1116583" y="36322"/>
                                </a:lnTo>
                              </a:path>
                              <a:path w="4840605" h="36830">
                                <a:moveTo>
                                  <a:pt x="1489964" y="0"/>
                                </a:moveTo>
                                <a:lnTo>
                                  <a:pt x="1489964" y="36322"/>
                                </a:lnTo>
                              </a:path>
                              <a:path w="4840605" h="36830">
                                <a:moveTo>
                                  <a:pt x="1861820" y="0"/>
                                </a:moveTo>
                                <a:lnTo>
                                  <a:pt x="1861820" y="36322"/>
                                </a:lnTo>
                              </a:path>
                              <a:path w="4840605" h="36830">
                                <a:moveTo>
                                  <a:pt x="2233676" y="0"/>
                                </a:moveTo>
                                <a:lnTo>
                                  <a:pt x="2233676" y="36322"/>
                                </a:lnTo>
                              </a:path>
                              <a:path w="4840605" h="36830">
                                <a:moveTo>
                                  <a:pt x="2607055" y="0"/>
                                </a:moveTo>
                                <a:lnTo>
                                  <a:pt x="2607055" y="36322"/>
                                </a:lnTo>
                              </a:path>
                              <a:path w="4840605" h="36830">
                                <a:moveTo>
                                  <a:pt x="2978912" y="0"/>
                                </a:moveTo>
                                <a:lnTo>
                                  <a:pt x="2978912" y="36322"/>
                                </a:lnTo>
                              </a:path>
                              <a:path w="4840605" h="36830">
                                <a:moveTo>
                                  <a:pt x="3350767" y="0"/>
                                </a:moveTo>
                                <a:lnTo>
                                  <a:pt x="3350767" y="36322"/>
                                </a:lnTo>
                              </a:path>
                              <a:path w="4840605" h="36830">
                                <a:moveTo>
                                  <a:pt x="3722624" y="0"/>
                                </a:moveTo>
                                <a:lnTo>
                                  <a:pt x="3722624" y="36322"/>
                                </a:lnTo>
                              </a:path>
                              <a:path w="4840605" h="36830">
                                <a:moveTo>
                                  <a:pt x="4096004" y="0"/>
                                </a:moveTo>
                                <a:lnTo>
                                  <a:pt x="4096004" y="36322"/>
                                </a:lnTo>
                              </a:path>
                              <a:path w="4840605" h="36830">
                                <a:moveTo>
                                  <a:pt x="4467860" y="0"/>
                                </a:moveTo>
                                <a:lnTo>
                                  <a:pt x="4467860" y="36322"/>
                                </a:lnTo>
                              </a:path>
                              <a:path w="4840605" h="36830">
                                <a:moveTo>
                                  <a:pt x="4840351" y="0"/>
                                </a:moveTo>
                                <a:lnTo>
                                  <a:pt x="4840351" y="36322"/>
                                </a:lnTo>
                              </a:path>
                            </a:pathLst>
                          </a:custGeom>
                          <a:ln w="9525">
                            <a:solidFill>
                              <a:srgbClr val="D9D9D9"/>
                            </a:solidFill>
                            <a:prstDash val="solid"/>
                          </a:ln>
                        </wps:spPr>
                        <wps:bodyPr wrap="square" lIns="0" tIns="0" rIns="0" bIns="0" rtlCol="0">
                          <a:prstTxWarp prst="textNoShape">
                            <a:avLst/>
                          </a:prstTxWarp>
                          <a:noAutofit/>
                        </wps:bodyPr>
                      </wps:wsp>
                      <wps:wsp>
                        <wps:cNvPr id="105" name="Graphic 105"/>
                        <wps:cNvSpPr/>
                        <wps:spPr>
                          <a:xfrm>
                            <a:off x="981583" y="1405000"/>
                            <a:ext cx="4095750" cy="387350"/>
                          </a:xfrm>
                          <a:custGeom>
                            <a:avLst/>
                            <a:gdLst/>
                            <a:ahLst/>
                            <a:cxnLst/>
                            <a:rect l="l" t="t" r="r" b="b"/>
                            <a:pathLst>
                              <a:path w="4095750" h="387350">
                                <a:moveTo>
                                  <a:pt x="0" y="0"/>
                                </a:moveTo>
                                <a:lnTo>
                                  <a:pt x="372237" y="26670"/>
                                </a:lnTo>
                                <a:lnTo>
                                  <a:pt x="744093" y="51054"/>
                                </a:lnTo>
                                <a:lnTo>
                                  <a:pt x="1117473" y="87630"/>
                                </a:lnTo>
                                <a:lnTo>
                                  <a:pt x="1489329" y="125730"/>
                                </a:lnTo>
                                <a:lnTo>
                                  <a:pt x="1861184" y="162306"/>
                                </a:lnTo>
                                <a:lnTo>
                                  <a:pt x="2234565" y="197358"/>
                                </a:lnTo>
                                <a:lnTo>
                                  <a:pt x="2606421" y="243078"/>
                                </a:lnTo>
                                <a:lnTo>
                                  <a:pt x="2978277" y="279654"/>
                                </a:lnTo>
                                <a:lnTo>
                                  <a:pt x="3351656" y="314706"/>
                                </a:lnTo>
                                <a:lnTo>
                                  <a:pt x="3723512" y="351282"/>
                                </a:lnTo>
                                <a:lnTo>
                                  <a:pt x="4095750" y="387223"/>
                                </a:lnTo>
                              </a:path>
                            </a:pathLst>
                          </a:custGeom>
                          <a:ln w="28575">
                            <a:solidFill>
                              <a:srgbClr val="A4A4A4"/>
                            </a:solidFill>
                            <a:prstDash val="solid"/>
                          </a:ln>
                        </wps:spPr>
                        <wps:bodyPr wrap="square" lIns="0" tIns="0" rIns="0" bIns="0" rtlCol="0">
                          <a:prstTxWarp prst="textNoShape">
                            <a:avLst/>
                          </a:prstTxWarp>
                          <a:noAutofit/>
                        </wps:bodyPr>
                      </wps:wsp>
                      <pic:pic>
                        <pic:nvPicPr>
                          <pic:cNvPr id="106" name="Image 106"/>
                          <pic:cNvPicPr/>
                        </pic:nvPicPr>
                        <pic:blipFill>
                          <a:blip r:embed="rId8" cstate="print"/>
                          <a:stretch>
                            <a:fillRect/>
                          </a:stretch>
                        </pic:blipFill>
                        <pic:spPr>
                          <a:xfrm>
                            <a:off x="944816" y="1366964"/>
                            <a:ext cx="73533" cy="73533"/>
                          </a:xfrm>
                          <a:prstGeom prst="rect">
                            <a:avLst/>
                          </a:prstGeom>
                        </pic:spPr>
                      </pic:pic>
                      <pic:pic>
                        <pic:nvPicPr>
                          <pic:cNvPr id="107" name="Image 107"/>
                          <pic:cNvPicPr/>
                        </pic:nvPicPr>
                        <pic:blipFill>
                          <a:blip r:embed="rId10" cstate="print"/>
                          <a:stretch>
                            <a:fillRect/>
                          </a:stretch>
                        </pic:blipFill>
                        <pic:spPr>
                          <a:xfrm>
                            <a:off x="1316672" y="1394396"/>
                            <a:ext cx="73532" cy="73533"/>
                          </a:xfrm>
                          <a:prstGeom prst="rect">
                            <a:avLst/>
                          </a:prstGeom>
                        </pic:spPr>
                      </pic:pic>
                      <pic:pic>
                        <pic:nvPicPr>
                          <pic:cNvPr id="108" name="Image 108"/>
                          <pic:cNvPicPr/>
                        </pic:nvPicPr>
                        <pic:blipFill>
                          <a:blip r:embed="rId10" cstate="print"/>
                          <a:stretch>
                            <a:fillRect/>
                          </a:stretch>
                        </pic:blipFill>
                        <pic:spPr>
                          <a:xfrm>
                            <a:off x="1688528" y="1418780"/>
                            <a:ext cx="73532" cy="73532"/>
                          </a:xfrm>
                          <a:prstGeom prst="rect">
                            <a:avLst/>
                          </a:prstGeom>
                        </pic:spPr>
                      </pic:pic>
                      <pic:pic>
                        <pic:nvPicPr>
                          <pic:cNvPr id="109" name="Image 109"/>
                          <pic:cNvPicPr/>
                        </pic:nvPicPr>
                        <pic:blipFill>
                          <a:blip r:embed="rId9" cstate="print"/>
                          <a:stretch>
                            <a:fillRect/>
                          </a:stretch>
                        </pic:blipFill>
                        <pic:spPr>
                          <a:xfrm>
                            <a:off x="2061908" y="1455356"/>
                            <a:ext cx="73532" cy="73532"/>
                          </a:xfrm>
                          <a:prstGeom prst="rect">
                            <a:avLst/>
                          </a:prstGeom>
                        </pic:spPr>
                      </pic:pic>
                      <pic:pic>
                        <pic:nvPicPr>
                          <pic:cNvPr id="110" name="Image 110"/>
                          <pic:cNvPicPr/>
                        </pic:nvPicPr>
                        <pic:blipFill>
                          <a:blip r:embed="rId9" cstate="print"/>
                          <a:stretch>
                            <a:fillRect/>
                          </a:stretch>
                        </pic:blipFill>
                        <pic:spPr>
                          <a:xfrm>
                            <a:off x="2433764" y="1493456"/>
                            <a:ext cx="73533" cy="73532"/>
                          </a:xfrm>
                          <a:prstGeom prst="rect">
                            <a:avLst/>
                          </a:prstGeom>
                        </pic:spPr>
                      </pic:pic>
                      <pic:pic>
                        <pic:nvPicPr>
                          <pic:cNvPr id="111" name="Image 111"/>
                          <pic:cNvPicPr/>
                        </pic:nvPicPr>
                        <pic:blipFill>
                          <a:blip r:embed="rId11" cstate="print"/>
                          <a:stretch>
                            <a:fillRect/>
                          </a:stretch>
                        </pic:blipFill>
                        <pic:spPr>
                          <a:xfrm>
                            <a:off x="2805620" y="1530032"/>
                            <a:ext cx="73533" cy="73533"/>
                          </a:xfrm>
                          <a:prstGeom prst="rect">
                            <a:avLst/>
                          </a:prstGeom>
                        </pic:spPr>
                      </pic:pic>
                      <pic:pic>
                        <pic:nvPicPr>
                          <pic:cNvPr id="112" name="Image 112"/>
                          <pic:cNvPicPr/>
                        </pic:nvPicPr>
                        <pic:blipFill>
                          <a:blip r:embed="rId10" cstate="print"/>
                          <a:stretch>
                            <a:fillRect/>
                          </a:stretch>
                        </pic:blipFill>
                        <pic:spPr>
                          <a:xfrm>
                            <a:off x="3179000" y="1565084"/>
                            <a:ext cx="73532" cy="73533"/>
                          </a:xfrm>
                          <a:prstGeom prst="rect">
                            <a:avLst/>
                          </a:prstGeom>
                        </pic:spPr>
                      </pic:pic>
                      <pic:pic>
                        <pic:nvPicPr>
                          <pic:cNvPr id="113" name="Image 113"/>
                          <pic:cNvPicPr/>
                        </pic:nvPicPr>
                        <pic:blipFill>
                          <a:blip r:embed="rId8" cstate="print"/>
                          <a:stretch>
                            <a:fillRect/>
                          </a:stretch>
                        </pic:blipFill>
                        <pic:spPr>
                          <a:xfrm>
                            <a:off x="3550856" y="1610804"/>
                            <a:ext cx="73533" cy="73532"/>
                          </a:xfrm>
                          <a:prstGeom prst="rect">
                            <a:avLst/>
                          </a:prstGeom>
                        </pic:spPr>
                      </pic:pic>
                      <pic:pic>
                        <pic:nvPicPr>
                          <pic:cNvPr id="114" name="Image 114"/>
                          <pic:cNvPicPr/>
                        </pic:nvPicPr>
                        <pic:blipFill>
                          <a:blip r:embed="rId10" cstate="print"/>
                          <a:stretch>
                            <a:fillRect/>
                          </a:stretch>
                        </pic:blipFill>
                        <pic:spPr>
                          <a:xfrm>
                            <a:off x="3922712" y="1647380"/>
                            <a:ext cx="73532" cy="73532"/>
                          </a:xfrm>
                          <a:prstGeom prst="rect">
                            <a:avLst/>
                          </a:prstGeom>
                        </pic:spPr>
                      </pic:pic>
                      <pic:pic>
                        <pic:nvPicPr>
                          <pic:cNvPr id="115" name="Image 115"/>
                          <pic:cNvPicPr/>
                        </pic:nvPicPr>
                        <pic:blipFill>
                          <a:blip r:embed="rId11" cstate="print"/>
                          <a:stretch>
                            <a:fillRect/>
                          </a:stretch>
                        </pic:blipFill>
                        <pic:spPr>
                          <a:xfrm>
                            <a:off x="4296092" y="1682432"/>
                            <a:ext cx="73533" cy="73533"/>
                          </a:xfrm>
                          <a:prstGeom prst="rect">
                            <a:avLst/>
                          </a:prstGeom>
                        </pic:spPr>
                      </pic:pic>
                      <pic:pic>
                        <pic:nvPicPr>
                          <pic:cNvPr id="116" name="Image 116"/>
                          <pic:cNvPicPr/>
                        </pic:nvPicPr>
                        <pic:blipFill>
                          <a:blip r:embed="rId9" cstate="print"/>
                          <a:stretch>
                            <a:fillRect/>
                          </a:stretch>
                        </pic:blipFill>
                        <pic:spPr>
                          <a:xfrm>
                            <a:off x="4667948" y="1719008"/>
                            <a:ext cx="73532" cy="73533"/>
                          </a:xfrm>
                          <a:prstGeom prst="rect">
                            <a:avLst/>
                          </a:prstGeom>
                        </pic:spPr>
                      </pic:pic>
                      <pic:pic>
                        <pic:nvPicPr>
                          <pic:cNvPr id="117" name="Image 117"/>
                          <pic:cNvPicPr/>
                        </pic:nvPicPr>
                        <pic:blipFill>
                          <a:blip r:embed="rId9" cstate="print"/>
                          <a:stretch>
                            <a:fillRect/>
                          </a:stretch>
                        </pic:blipFill>
                        <pic:spPr>
                          <a:xfrm>
                            <a:off x="5039804" y="1755584"/>
                            <a:ext cx="73533" cy="73533"/>
                          </a:xfrm>
                          <a:prstGeom prst="rect">
                            <a:avLst/>
                          </a:prstGeom>
                        </pic:spPr>
                      </pic:pic>
                      <wps:wsp>
                        <wps:cNvPr id="118" name="Graphic 118"/>
                        <wps:cNvSpPr/>
                        <wps:spPr>
                          <a:xfrm>
                            <a:off x="981583" y="1395983"/>
                            <a:ext cx="1489710" cy="81280"/>
                          </a:xfrm>
                          <a:custGeom>
                            <a:avLst/>
                            <a:gdLst/>
                            <a:ahLst/>
                            <a:cxnLst/>
                            <a:rect l="l" t="t" r="r" b="b"/>
                            <a:pathLst>
                              <a:path w="1489710" h="81280">
                                <a:moveTo>
                                  <a:pt x="0" y="0"/>
                                </a:moveTo>
                                <a:lnTo>
                                  <a:pt x="372237" y="0"/>
                                </a:lnTo>
                                <a:lnTo>
                                  <a:pt x="744093" y="53975"/>
                                </a:lnTo>
                                <a:lnTo>
                                  <a:pt x="1117473" y="17399"/>
                                </a:lnTo>
                                <a:lnTo>
                                  <a:pt x="1489329" y="81025"/>
                                </a:lnTo>
                              </a:path>
                            </a:pathLst>
                          </a:custGeom>
                          <a:ln w="28575">
                            <a:solidFill>
                              <a:srgbClr val="EC7C30"/>
                            </a:solidFill>
                            <a:prstDash val="solid"/>
                          </a:ln>
                        </wps:spPr>
                        <wps:bodyPr wrap="square" lIns="0" tIns="0" rIns="0" bIns="0" rtlCol="0">
                          <a:prstTxWarp prst="textNoShape">
                            <a:avLst/>
                          </a:prstTxWarp>
                          <a:noAutofit/>
                        </wps:bodyPr>
                      </wps:wsp>
                      <pic:pic>
                        <pic:nvPicPr>
                          <pic:cNvPr id="119" name="Image 119"/>
                          <pic:cNvPicPr/>
                        </pic:nvPicPr>
                        <pic:blipFill>
                          <a:blip r:embed="rId14" cstate="print"/>
                          <a:stretch>
                            <a:fillRect/>
                          </a:stretch>
                        </pic:blipFill>
                        <pic:spPr>
                          <a:xfrm>
                            <a:off x="932624" y="1347152"/>
                            <a:ext cx="97916" cy="97917"/>
                          </a:xfrm>
                          <a:prstGeom prst="rect">
                            <a:avLst/>
                          </a:prstGeom>
                        </pic:spPr>
                      </pic:pic>
                      <pic:pic>
                        <pic:nvPicPr>
                          <pic:cNvPr id="120" name="Image 120"/>
                          <pic:cNvPicPr/>
                        </pic:nvPicPr>
                        <pic:blipFill>
                          <a:blip r:embed="rId14" cstate="print"/>
                          <a:stretch>
                            <a:fillRect/>
                          </a:stretch>
                        </pic:blipFill>
                        <pic:spPr>
                          <a:xfrm>
                            <a:off x="1304480" y="1347152"/>
                            <a:ext cx="97917" cy="97917"/>
                          </a:xfrm>
                          <a:prstGeom prst="rect">
                            <a:avLst/>
                          </a:prstGeom>
                        </pic:spPr>
                      </pic:pic>
                      <pic:pic>
                        <pic:nvPicPr>
                          <pic:cNvPr id="121" name="Image 121"/>
                          <pic:cNvPicPr/>
                        </pic:nvPicPr>
                        <pic:blipFill>
                          <a:blip r:embed="rId12" cstate="print"/>
                          <a:stretch>
                            <a:fillRect/>
                          </a:stretch>
                        </pic:blipFill>
                        <pic:spPr>
                          <a:xfrm>
                            <a:off x="1676336" y="1400492"/>
                            <a:ext cx="97917" cy="97916"/>
                          </a:xfrm>
                          <a:prstGeom prst="rect">
                            <a:avLst/>
                          </a:prstGeom>
                        </pic:spPr>
                      </pic:pic>
                      <pic:pic>
                        <pic:nvPicPr>
                          <pic:cNvPr id="122" name="Image 122"/>
                          <pic:cNvPicPr/>
                        </pic:nvPicPr>
                        <pic:blipFill>
                          <a:blip r:embed="rId13" cstate="print"/>
                          <a:stretch>
                            <a:fillRect/>
                          </a:stretch>
                        </pic:blipFill>
                        <pic:spPr>
                          <a:xfrm>
                            <a:off x="2049716" y="1363916"/>
                            <a:ext cx="97917" cy="97916"/>
                          </a:xfrm>
                          <a:prstGeom prst="rect">
                            <a:avLst/>
                          </a:prstGeom>
                        </pic:spPr>
                      </pic:pic>
                      <pic:pic>
                        <pic:nvPicPr>
                          <pic:cNvPr id="123" name="Image 123"/>
                          <pic:cNvPicPr/>
                        </pic:nvPicPr>
                        <pic:blipFill>
                          <a:blip r:embed="rId19" cstate="print"/>
                          <a:stretch>
                            <a:fillRect/>
                          </a:stretch>
                        </pic:blipFill>
                        <pic:spPr>
                          <a:xfrm>
                            <a:off x="2421572" y="1427924"/>
                            <a:ext cx="97916" cy="97917"/>
                          </a:xfrm>
                          <a:prstGeom prst="rect">
                            <a:avLst/>
                          </a:prstGeom>
                        </pic:spPr>
                      </pic:pic>
                      <pic:pic>
                        <pic:nvPicPr>
                          <pic:cNvPr id="124" name="Image 124"/>
                          <pic:cNvPicPr/>
                        </pic:nvPicPr>
                        <pic:blipFill>
                          <a:blip r:embed="rId23" cstate="print"/>
                          <a:stretch>
                            <a:fillRect/>
                          </a:stretch>
                        </pic:blipFill>
                        <pic:spPr>
                          <a:xfrm>
                            <a:off x="559625" y="1309560"/>
                            <a:ext cx="97916" cy="97916"/>
                          </a:xfrm>
                          <a:prstGeom prst="rect">
                            <a:avLst/>
                          </a:prstGeom>
                        </pic:spPr>
                      </pic:pic>
                      <pic:pic>
                        <pic:nvPicPr>
                          <pic:cNvPr id="125" name="Image 125"/>
                          <pic:cNvPicPr/>
                        </pic:nvPicPr>
                        <pic:blipFill>
                          <a:blip r:embed="rId20" cstate="print"/>
                          <a:stretch>
                            <a:fillRect/>
                          </a:stretch>
                        </pic:blipFill>
                        <pic:spPr>
                          <a:xfrm>
                            <a:off x="1094105" y="2309304"/>
                            <a:ext cx="243840" cy="73532"/>
                          </a:xfrm>
                          <a:prstGeom prst="rect">
                            <a:avLst/>
                          </a:prstGeom>
                        </pic:spPr>
                      </pic:pic>
                      <pic:pic>
                        <pic:nvPicPr>
                          <pic:cNvPr id="126" name="Image 126"/>
                          <pic:cNvPicPr/>
                        </pic:nvPicPr>
                        <pic:blipFill>
                          <a:blip r:embed="rId21" cstate="print"/>
                          <a:stretch>
                            <a:fillRect/>
                          </a:stretch>
                        </pic:blipFill>
                        <pic:spPr>
                          <a:xfrm>
                            <a:off x="2356230" y="2309304"/>
                            <a:ext cx="243839" cy="73532"/>
                          </a:xfrm>
                          <a:prstGeom prst="rect">
                            <a:avLst/>
                          </a:prstGeom>
                        </pic:spPr>
                      </pic:pic>
                      <pic:pic>
                        <pic:nvPicPr>
                          <pic:cNvPr id="127" name="Image 127"/>
                          <pic:cNvPicPr/>
                        </pic:nvPicPr>
                        <pic:blipFill>
                          <a:blip r:embed="rId22" cstate="print"/>
                          <a:stretch>
                            <a:fillRect/>
                          </a:stretch>
                        </pic:blipFill>
                        <pic:spPr>
                          <a:xfrm>
                            <a:off x="3599179" y="2309304"/>
                            <a:ext cx="243839" cy="73532"/>
                          </a:xfrm>
                          <a:prstGeom prst="rect">
                            <a:avLst/>
                          </a:prstGeom>
                        </pic:spPr>
                      </pic:pic>
                      <wps:wsp>
                        <wps:cNvPr id="128" name="Graphic 128"/>
                        <wps:cNvSpPr/>
                        <wps:spPr>
                          <a:xfrm>
                            <a:off x="3175" y="3175"/>
                            <a:ext cx="5400040" cy="2527300"/>
                          </a:xfrm>
                          <a:custGeom>
                            <a:avLst/>
                            <a:gdLst/>
                            <a:ahLst/>
                            <a:cxnLst/>
                            <a:rect l="l" t="t" r="r" b="b"/>
                            <a:pathLst>
                              <a:path w="5400040" h="2527300">
                                <a:moveTo>
                                  <a:pt x="0" y="2527300"/>
                                </a:moveTo>
                                <a:lnTo>
                                  <a:pt x="5400040" y="2527300"/>
                                </a:lnTo>
                                <a:lnTo>
                                  <a:pt x="5400040" y="0"/>
                                </a:lnTo>
                                <a:lnTo>
                                  <a:pt x="0" y="0"/>
                                </a:lnTo>
                                <a:lnTo>
                                  <a:pt x="0" y="2527300"/>
                                </a:lnTo>
                                <a:close/>
                              </a:path>
                            </a:pathLst>
                          </a:custGeom>
                          <a:ln w="6350">
                            <a:solidFill>
                              <a:srgbClr val="A6A6A6"/>
                            </a:solidFill>
                            <a:prstDash val="solid"/>
                          </a:ln>
                        </wps:spPr>
                        <wps:bodyPr wrap="square" lIns="0" tIns="0" rIns="0" bIns="0" rtlCol="0">
                          <a:prstTxWarp prst="textNoShape">
                            <a:avLst/>
                          </a:prstTxWarp>
                          <a:noAutofit/>
                        </wps:bodyPr>
                      </wps:wsp>
                      <wps:wsp>
                        <wps:cNvPr id="129" name="Textbox 129"/>
                        <wps:cNvSpPr txBox="1"/>
                        <wps:spPr>
                          <a:xfrm>
                            <a:off x="3461765" y="1430655"/>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3.3%</w:t>
                              </w:r>
                            </w:p>
                          </w:txbxContent>
                        </wps:txbx>
                        <wps:bodyPr wrap="square" lIns="0" tIns="0" rIns="0" bIns="0" rtlCol="0">
                          <a:noAutofit/>
                        </wps:bodyPr>
                      </wps:wsp>
                      <wps:wsp>
                        <wps:cNvPr id="130" name="Textbox 130"/>
                        <wps:cNvSpPr txBox="1"/>
                        <wps:spPr>
                          <a:xfrm>
                            <a:off x="3869690" y="2294508"/>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131" name="Textbox 131"/>
                        <wps:cNvSpPr txBox="1"/>
                        <wps:spPr>
                          <a:xfrm>
                            <a:off x="1595500" y="1537335"/>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5.4%</w:t>
                              </w:r>
                            </w:p>
                          </w:txbxContent>
                        </wps:txbx>
                        <wps:bodyPr wrap="square" lIns="0" tIns="0" rIns="0" bIns="0" rtlCol="0">
                          <a:noAutofit/>
                        </wps:bodyPr>
                      </wps:wsp>
                      <wps:wsp>
                        <wps:cNvPr id="132" name="Textbox 132"/>
                        <wps:cNvSpPr txBox="1"/>
                        <wps:spPr>
                          <a:xfrm>
                            <a:off x="1968880" y="1559941"/>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5.0%</w:t>
                              </w:r>
                            </w:p>
                          </w:txbxContent>
                        </wps:txbx>
                        <wps:bodyPr wrap="square" lIns="0" tIns="0" rIns="0" bIns="0" rtlCol="0">
                          <a:noAutofit/>
                        </wps:bodyPr>
                      </wps:wsp>
                      <wps:wsp>
                        <wps:cNvPr id="133" name="Textbox 133"/>
                        <wps:cNvSpPr txBox="1"/>
                        <wps:spPr>
                          <a:xfrm>
                            <a:off x="3834257" y="1466596"/>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2.9%</w:t>
                              </w:r>
                            </w:p>
                          </w:txbxContent>
                        </wps:txbx>
                        <wps:bodyPr wrap="square" lIns="0" tIns="0" rIns="0" bIns="0" rtlCol="0">
                          <a:noAutofit/>
                        </wps:bodyPr>
                      </wps:wsp>
                      <wps:wsp>
                        <wps:cNvPr id="134" name="Textbox 134"/>
                        <wps:cNvSpPr txBox="1"/>
                        <wps:spPr>
                          <a:xfrm>
                            <a:off x="2353310" y="1597660"/>
                            <a:ext cx="2673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4.6%</w:t>
                              </w:r>
                            </w:p>
                          </w:txbxContent>
                        </wps:txbx>
                        <wps:bodyPr wrap="square" lIns="0" tIns="0" rIns="0" bIns="0" rtlCol="0">
                          <a:noAutofit/>
                        </wps:bodyPr>
                      </wps:wsp>
                      <wps:wsp>
                        <wps:cNvPr id="135" name="Textbox 135"/>
                        <wps:cNvSpPr txBox="1"/>
                        <wps:spPr>
                          <a:xfrm>
                            <a:off x="4206747" y="1502663"/>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2.5%</w:t>
                              </w:r>
                            </w:p>
                          </w:txbxContent>
                        </wps:txbx>
                        <wps:bodyPr wrap="square" lIns="0" tIns="0" rIns="0" bIns="0" rtlCol="0">
                          <a:noAutofit/>
                        </wps:bodyPr>
                      </wps:wsp>
                      <wps:wsp>
                        <wps:cNvPr id="136" name="Textbox 136"/>
                        <wps:cNvSpPr txBox="1"/>
                        <wps:spPr>
                          <a:xfrm>
                            <a:off x="4578858" y="1538605"/>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2.1%</w:t>
                              </w:r>
                            </w:p>
                          </w:txbxContent>
                        </wps:txbx>
                        <wps:bodyPr wrap="square" lIns="0" tIns="0" rIns="0" bIns="0" rtlCol="0">
                          <a:noAutofit/>
                        </wps:bodyPr>
                      </wps:wsp>
                      <wps:wsp>
                        <wps:cNvPr id="137" name="Textbox 137"/>
                        <wps:cNvSpPr txBox="1"/>
                        <wps:spPr>
                          <a:xfrm>
                            <a:off x="4951348" y="1574546"/>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1.7%</w:t>
                              </w:r>
                            </w:p>
                          </w:txbxContent>
                        </wps:txbx>
                        <wps:bodyPr wrap="square" lIns="0" tIns="0" rIns="0" bIns="0" rtlCol="0">
                          <a:noAutofit/>
                        </wps:bodyPr>
                      </wps:wsp>
                      <wps:wsp>
                        <wps:cNvPr id="138" name="Textbox 138"/>
                        <wps:cNvSpPr txBox="1"/>
                        <wps:spPr>
                          <a:xfrm>
                            <a:off x="150469" y="1887220"/>
                            <a:ext cx="16764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0%</w:t>
                              </w:r>
                            </w:p>
                          </w:txbxContent>
                        </wps:txbx>
                        <wps:bodyPr wrap="square" lIns="0" tIns="0" rIns="0" bIns="0" rtlCol="0">
                          <a:noAutofit/>
                        </wps:bodyPr>
                      </wps:wsp>
                      <wps:wsp>
                        <wps:cNvPr id="139" name="Textbox 139"/>
                        <wps:cNvSpPr txBox="1"/>
                        <wps:spPr>
                          <a:xfrm>
                            <a:off x="493648" y="2041144"/>
                            <a:ext cx="4713605" cy="114300"/>
                          </a:xfrm>
                          <a:prstGeom prst="rect">
                            <a:avLst/>
                          </a:prstGeom>
                        </wps:spPr>
                        <wps:txbx>
                          <w:txbxContent>
                            <w:p>
                              <w:pPr>
                                <w:tabs>
                                  <w:tab w:pos="586" w:val="left" w:leader="none"/>
                                  <w:tab w:pos="1173" w:val="left" w:leader="none"/>
                                  <w:tab w:pos="1759" w:val="left" w:leader="none"/>
                                  <w:tab w:pos="2345" w:val="left" w:leader="none"/>
                                  <w:tab w:pos="2932" w:val="left" w:leader="none"/>
                                  <w:tab w:pos="3518" w:val="left" w:leader="none"/>
                                  <w:tab w:pos="4105" w:val="left" w:leader="none"/>
                                  <w:tab w:pos="4691" w:val="left" w:leader="none"/>
                                  <w:tab w:pos="5278" w:val="left" w:leader="none"/>
                                  <w:tab w:pos="5864" w:val="left" w:leader="none"/>
                                  <w:tab w:pos="6451" w:val="left" w:leader="none"/>
                                  <w:tab w:pos="7037"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wps:txbx>
                        <wps:bodyPr wrap="square" lIns="0" tIns="0" rIns="0" bIns="0" rtlCol="0">
                          <a:noAutofit/>
                        </wps:bodyPr>
                      </wps:wsp>
                      <wps:wsp>
                        <wps:cNvPr id="140" name="Textbox 140"/>
                        <wps:cNvSpPr txBox="1"/>
                        <wps:spPr>
                          <a:xfrm>
                            <a:off x="1364233" y="2294508"/>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141" name="Textbox 141"/>
                        <wps:cNvSpPr txBox="1"/>
                        <wps:spPr>
                          <a:xfrm>
                            <a:off x="2626360" y="2294508"/>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142" name="Textbox 142"/>
                        <wps:cNvSpPr txBox="1"/>
                        <wps:spPr>
                          <a:xfrm>
                            <a:off x="1232788" y="1522475"/>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5.7%</w:t>
                              </w:r>
                            </w:p>
                          </w:txbxContent>
                        </wps:txbx>
                        <wps:bodyPr wrap="square" lIns="0" tIns="0" rIns="0" bIns="0" rtlCol="0">
                          <a:noAutofit/>
                        </wps:bodyPr>
                      </wps:wsp>
                      <wps:wsp>
                        <wps:cNvPr id="143" name="Textbox 143"/>
                        <wps:cNvSpPr txBox="1"/>
                        <wps:spPr>
                          <a:xfrm>
                            <a:off x="3089401" y="1385569"/>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3.8%</w:t>
                              </w:r>
                            </w:p>
                          </w:txbxContent>
                        </wps:txbx>
                        <wps:bodyPr wrap="square" lIns="0" tIns="0" rIns="0" bIns="0" rtlCol="0">
                          <a:noAutofit/>
                        </wps:bodyPr>
                      </wps:wsp>
                      <wps:wsp>
                        <wps:cNvPr id="144" name="Textbox 144"/>
                        <wps:cNvSpPr txBox="1"/>
                        <wps:spPr>
                          <a:xfrm>
                            <a:off x="851535" y="1483360"/>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6.0%</w:t>
                              </w:r>
                            </w:p>
                          </w:txbxContent>
                        </wps:txbx>
                        <wps:bodyPr wrap="square" lIns="0" tIns="0" rIns="0" bIns="0" rtlCol="0">
                          <a:noAutofit/>
                        </wps:bodyPr>
                      </wps:wsp>
                      <wps:wsp>
                        <wps:cNvPr id="145" name="Textbox 145"/>
                        <wps:cNvSpPr txBox="1"/>
                        <wps:spPr>
                          <a:xfrm>
                            <a:off x="2716910" y="1349628"/>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4.2%</w:t>
                              </w:r>
                            </w:p>
                          </w:txbxContent>
                        </wps:txbx>
                        <wps:bodyPr wrap="square" lIns="0" tIns="0" rIns="0" bIns="0" rtlCol="0">
                          <a:noAutofit/>
                        </wps:bodyPr>
                      </wps:wsp>
                      <wps:wsp>
                        <wps:cNvPr id="146" name="Textbox 146"/>
                        <wps:cNvSpPr txBox="1"/>
                        <wps:spPr>
                          <a:xfrm>
                            <a:off x="150469" y="1436750"/>
                            <a:ext cx="16764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5%</w:t>
                              </w:r>
                            </w:p>
                          </w:txbxContent>
                        </wps:txbx>
                        <wps:bodyPr wrap="square" lIns="0" tIns="0" rIns="0" bIns="0" rtlCol="0">
                          <a:noAutofit/>
                        </wps:bodyPr>
                      </wps:wsp>
                      <wps:wsp>
                        <wps:cNvPr id="147" name="Textbox 147"/>
                        <wps:cNvSpPr txBox="1"/>
                        <wps:spPr>
                          <a:xfrm>
                            <a:off x="2376423" y="1302385"/>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5.2%</w:t>
                              </w:r>
                            </w:p>
                          </w:txbxContent>
                        </wps:txbx>
                        <wps:bodyPr wrap="square" lIns="0" tIns="0" rIns="0" bIns="0" rtlCol="0">
                          <a:noAutofit/>
                        </wps:bodyPr>
                      </wps:wsp>
                      <wps:wsp>
                        <wps:cNvPr id="148" name="Textbox 148"/>
                        <wps:cNvSpPr txBox="1"/>
                        <wps:spPr>
                          <a:xfrm>
                            <a:off x="1981454" y="1233169"/>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5.9%</w:t>
                              </w:r>
                            </w:p>
                          </w:txbxContent>
                        </wps:txbx>
                        <wps:bodyPr wrap="square" lIns="0" tIns="0" rIns="0" bIns="0" rtlCol="0">
                          <a:noAutofit/>
                        </wps:bodyPr>
                      </wps:wsp>
                      <wps:wsp>
                        <wps:cNvPr id="149" name="Textbox 149"/>
                        <wps:cNvSpPr txBox="1"/>
                        <wps:spPr>
                          <a:xfrm>
                            <a:off x="1630552" y="1254760"/>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5.5%</w:t>
                              </w:r>
                            </w:p>
                          </w:txbxContent>
                        </wps:txbx>
                        <wps:bodyPr wrap="square" lIns="0" tIns="0" rIns="0" bIns="0" rtlCol="0">
                          <a:noAutofit/>
                        </wps:bodyPr>
                      </wps:wsp>
                      <wps:wsp>
                        <wps:cNvPr id="150" name="Textbox 150"/>
                        <wps:cNvSpPr txBox="1"/>
                        <wps:spPr>
                          <a:xfrm>
                            <a:off x="833247" y="1215136"/>
                            <a:ext cx="682625" cy="138430"/>
                          </a:xfrm>
                          <a:prstGeom prst="rect">
                            <a:avLst/>
                          </a:prstGeom>
                        </wps:spPr>
                        <wps:txbx>
                          <w:txbxContent>
                            <w:p>
                              <w:pPr>
                                <w:tabs>
                                  <w:tab w:pos="654" w:val="left" w:leader="none"/>
                                </w:tabs>
                                <w:spacing w:line="218" w:lineRule="exact" w:before="0"/>
                                <w:ind w:left="0" w:right="0" w:firstLine="0"/>
                                <w:jc w:val="left"/>
                                <w:rPr>
                                  <w:rFonts w:ascii="Calibri"/>
                                  <w:b/>
                                  <w:sz w:val="20"/>
                                </w:rPr>
                              </w:pPr>
                              <w:r>
                                <w:rPr>
                                  <w:rFonts w:ascii="Calibri"/>
                                  <w:b/>
                                  <w:color w:val="EC7C30"/>
                                  <w:spacing w:val="-4"/>
                                  <w:position w:val="2"/>
                                  <w:sz w:val="20"/>
                                </w:rPr>
                                <w:t>6.1%</w:t>
                              </w:r>
                              <w:r>
                                <w:rPr>
                                  <w:rFonts w:ascii="Calibri"/>
                                  <w:b/>
                                  <w:color w:val="EC7C30"/>
                                  <w:position w:val="2"/>
                                  <w:sz w:val="20"/>
                                </w:rPr>
                                <w:tab/>
                              </w:r>
                              <w:r>
                                <w:rPr>
                                  <w:rFonts w:ascii="Calibri"/>
                                  <w:b/>
                                  <w:color w:val="EC7C30"/>
                                  <w:spacing w:val="-4"/>
                                  <w:sz w:val="20"/>
                                </w:rPr>
                                <w:t>6.1%</w:t>
                              </w:r>
                            </w:p>
                          </w:txbxContent>
                        </wps:txbx>
                        <wps:bodyPr wrap="square" lIns="0" tIns="0" rIns="0" bIns="0" rtlCol="0">
                          <a:noAutofit/>
                        </wps:bodyPr>
                      </wps:wsp>
                      <wps:wsp>
                        <wps:cNvPr id="151" name="Textbox 151"/>
                        <wps:cNvSpPr txBox="1"/>
                        <wps:spPr>
                          <a:xfrm>
                            <a:off x="482726" y="1129538"/>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4471C4"/>
                                  <w:spacing w:val="-4"/>
                                  <w:sz w:val="20"/>
                                </w:rPr>
                                <w:t>6.5%</w:t>
                              </w:r>
                            </w:p>
                          </w:txbxContent>
                        </wps:txbx>
                        <wps:bodyPr wrap="square" lIns="0" tIns="0" rIns="0" bIns="0" rtlCol="0">
                          <a:noAutofit/>
                        </wps:bodyPr>
                      </wps:wsp>
                      <wps:wsp>
                        <wps:cNvPr id="152" name="Textbox 152"/>
                        <wps:cNvSpPr txBox="1"/>
                        <wps:spPr>
                          <a:xfrm>
                            <a:off x="85852" y="986536"/>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10%</w:t>
                              </w:r>
                            </w:p>
                          </w:txbxContent>
                        </wps:txbx>
                        <wps:bodyPr wrap="square" lIns="0" tIns="0" rIns="0" bIns="0" rtlCol="0">
                          <a:noAutofit/>
                        </wps:bodyPr>
                      </wps:wsp>
                      <wps:wsp>
                        <wps:cNvPr id="153" name="Textbox 153"/>
                        <wps:cNvSpPr txBox="1"/>
                        <wps:spPr>
                          <a:xfrm>
                            <a:off x="85852" y="536066"/>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15%</w:t>
                              </w:r>
                            </w:p>
                          </w:txbxContent>
                        </wps:txbx>
                        <wps:bodyPr wrap="square" lIns="0" tIns="0" rIns="0" bIns="0" rtlCol="0">
                          <a:noAutofit/>
                        </wps:bodyPr>
                      </wps:wsp>
                      <wps:wsp>
                        <wps:cNvPr id="154" name="Textbox 154"/>
                        <wps:cNvSpPr txBox="1"/>
                        <wps:spPr>
                          <a:xfrm>
                            <a:off x="85852" y="85852"/>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20%</w:t>
                              </w:r>
                            </w:p>
                          </w:txbxContent>
                        </wps:txbx>
                        <wps:bodyPr wrap="square" lIns="0" tIns="0" rIns="0" bIns="0" rtlCol="0">
                          <a:noAutofit/>
                        </wps:bodyPr>
                      </wps:wsp>
                    </wpg:wgp>
                  </a:graphicData>
                </a:graphic>
              </wp:anchor>
            </w:drawing>
          </mc:Choice>
          <mc:Fallback>
            <w:pict>
              <v:group style="position:absolute;margin-left:84.800003pt;margin-top:10.381348pt;width:425.7pt;height:199.5pt;mso-position-horizontal-relative:page;mso-position-vertical-relative:paragraph;z-index:-15726592;mso-wrap-distance-left:0;mso-wrap-distance-right:0" id="docshapegroup99" coordorigin="1696,208" coordsize="8514,3990">
                <v:shape style="position:absolute;left:2298;top:434;width:64;height:2837" id="docshape100" coordorigin="2299,435" coordsize="64,2837" path="m2362,3271l2362,435m2299,3271l2362,3271m2299,2563l2362,2563m2299,1853l2362,1853m2299,1145l2362,1145m2299,435l2362,435e" filled="false" stroked="true" strokeweight=".5pt" strokecolor="#888888">
                  <v:path arrowok="t"/>
                  <v:stroke dashstyle="solid"/>
                </v:shape>
                <v:shape style="position:absolute;left:2362;top:3271;width:7623;height:58" id="docshape101" coordorigin="2362,3271" coordsize="7623,58" path="m2362,3271l9985,3271m2362,3271l2362,3328m2950,3271l2950,3328m3535,3271l3535,3328m4121,3271l4121,3328m4709,3271l4709,3328m5294,3271l5294,3328m5880,3271l5880,3328m6468,3271l6468,3328m7054,3271l7054,3328m7639,3271l7639,3328m8225,3271l8225,3328m8813,3271l8813,3328m9398,3271l9398,3328m9985,3271l9985,3328e" filled="false" stroked="true" strokeweight=".75pt" strokecolor="#d9d9d9">
                  <v:path arrowok="t"/>
                  <v:stroke dashstyle="solid"/>
                </v:shape>
                <v:shape style="position:absolute;left:3241;top:2420;width:6450;height:610" id="docshape102" coordorigin="3242,2420" coordsize="6450,610" path="m3242,2420l3828,2462,4414,2501,5002,2558,5587,2618,6173,2676,6761,2731,7346,2803,7932,2861,8520,2916,9106,2973,9692,3030e" filled="false" stroked="true" strokeweight="2.25pt" strokecolor="#a4a4a4">
                  <v:path arrowok="t"/>
                  <v:stroke dashstyle="solid"/>
                </v:shape>
                <v:shape style="position:absolute;left:3183;top:2360;width:116;height:116" type="#_x0000_t75" id="docshape103" stroked="false">
                  <v:imagedata r:id="rId8" o:title=""/>
                </v:shape>
                <v:shape style="position:absolute;left:3769;top:2403;width:116;height:116" type="#_x0000_t75" id="docshape104" stroked="false">
                  <v:imagedata r:id="rId10" o:title=""/>
                </v:shape>
                <v:shape style="position:absolute;left:4355;top:2441;width:116;height:116" type="#_x0000_t75" id="docshape105" stroked="false">
                  <v:imagedata r:id="rId10" o:title=""/>
                </v:shape>
                <v:shape style="position:absolute;left:4943;top:2499;width:116;height:116" type="#_x0000_t75" id="docshape106" stroked="false">
                  <v:imagedata r:id="rId9" o:title=""/>
                </v:shape>
                <v:shape style="position:absolute;left:5528;top:2559;width:116;height:116" type="#_x0000_t75" id="docshape107" stroked="false">
                  <v:imagedata r:id="rId9" o:title=""/>
                </v:shape>
                <v:shape style="position:absolute;left:6114;top:2617;width:116;height:116" type="#_x0000_t75" id="docshape108" stroked="false">
                  <v:imagedata r:id="rId11" o:title=""/>
                </v:shape>
                <v:shape style="position:absolute;left:6702;top:2672;width:116;height:116" type="#_x0000_t75" id="docshape109" stroked="false">
                  <v:imagedata r:id="rId10" o:title=""/>
                </v:shape>
                <v:shape style="position:absolute;left:7287;top:2744;width:116;height:116" type="#_x0000_t75" id="docshape110" stroked="false">
                  <v:imagedata r:id="rId8" o:title=""/>
                </v:shape>
                <v:shape style="position:absolute;left:7873;top:2801;width:116;height:116" type="#_x0000_t75" id="docshape111" stroked="false">
                  <v:imagedata r:id="rId10" o:title=""/>
                </v:shape>
                <v:shape style="position:absolute;left:8461;top:2857;width:116;height:116" type="#_x0000_t75" id="docshape112" stroked="false">
                  <v:imagedata r:id="rId11" o:title=""/>
                </v:shape>
                <v:shape style="position:absolute;left:9047;top:2914;width:116;height:116" type="#_x0000_t75" id="docshape113" stroked="false">
                  <v:imagedata r:id="rId9" o:title=""/>
                </v:shape>
                <v:shape style="position:absolute;left:9632;top:2972;width:116;height:116" type="#_x0000_t75" id="docshape114" stroked="false">
                  <v:imagedata r:id="rId9" o:title=""/>
                </v:shape>
                <v:shape style="position:absolute;left:3241;top:2406;width:2346;height:128" id="docshape115" coordorigin="3242,2406" coordsize="2346,128" path="m3242,2406l3828,2406,4414,2491,5002,2433,5587,2534e" filled="false" stroked="true" strokeweight="2.25pt" strokecolor="#ec7c30">
                  <v:path arrowok="t"/>
                  <v:stroke dashstyle="solid"/>
                </v:shape>
                <v:shape style="position:absolute;left:3164;top:2329;width:155;height:155" type="#_x0000_t75" id="docshape116" stroked="false">
                  <v:imagedata r:id="rId14" o:title=""/>
                </v:shape>
                <v:shape style="position:absolute;left:3750;top:2329;width:155;height:155" type="#_x0000_t75" id="docshape117" stroked="false">
                  <v:imagedata r:id="rId14" o:title=""/>
                </v:shape>
                <v:shape style="position:absolute;left:4335;top:2413;width:155;height:155" type="#_x0000_t75" id="docshape118" stroked="false">
                  <v:imagedata r:id="rId12" o:title=""/>
                </v:shape>
                <v:shape style="position:absolute;left:4923;top:2355;width:155;height:155" type="#_x0000_t75" id="docshape119" stroked="false">
                  <v:imagedata r:id="rId13" o:title=""/>
                </v:shape>
                <v:shape style="position:absolute;left:5509;top:2456;width:155;height:155" type="#_x0000_t75" id="docshape120" stroked="false">
                  <v:imagedata r:id="rId19" o:title=""/>
                </v:shape>
                <v:shape style="position:absolute;left:2577;top:2269;width:155;height:155" type="#_x0000_t75" id="docshape121" stroked="false">
                  <v:imagedata r:id="rId23" o:title=""/>
                </v:shape>
                <v:shape style="position:absolute;left:3419;top:3844;width:384;height:116" type="#_x0000_t75" id="docshape122" stroked="false">
                  <v:imagedata r:id="rId20" o:title=""/>
                </v:shape>
                <v:shape style="position:absolute;left:5406;top:3844;width:384;height:116" type="#_x0000_t75" id="docshape123" stroked="false">
                  <v:imagedata r:id="rId21" o:title=""/>
                </v:shape>
                <v:shape style="position:absolute;left:7364;top:3844;width:384;height:116" type="#_x0000_t75" id="docshape124" stroked="false">
                  <v:imagedata r:id="rId22" o:title=""/>
                </v:shape>
                <v:rect style="position:absolute;left:1701;top:212;width:8504;height:3980" id="docshape125" filled="false" stroked="true" strokeweight=".5pt" strokecolor="#a6a6a6">
                  <v:stroke dashstyle="solid"/>
                </v:rect>
                <v:shape style="position:absolute;left:7147;top:2460;width:420;height:200" type="#_x0000_t202" id="docshape126"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3.3%</w:t>
                        </w:r>
                      </w:p>
                    </w:txbxContent>
                  </v:textbox>
                  <w10:wrap type="none"/>
                </v:shape>
                <v:shape style="position:absolute;left:7790;top:3821;width:789;height:180" type="#_x0000_t202" id="docshape127"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4208;top:2628;width:420;height:200" type="#_x0000_t202" id="docshape128"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5.4%</w:t>
                        </w:r>
                      </w:p>
                    </w:txbxContent>
                  </v:textbox>
                  <w10:wrap type="none"/>
                </v:shape>
                <v:shape style="position:absolute;left:4796;top:2664;width:420;height:200" type="#_x0000_t202" id="docshape129"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5.0%</w:t>
                        </w:r>
                      </w:p>
                    </w:txbxContent>
                  </v:textbox>
                  <w10:wrap type="none"/>
                </v:shape>
                <v:shape style="position:absolute;left:7734;top:2517;width:420;height:200" type="#_x0000_t202" id="docshape130"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2.9%</w:t>
                        </w:r>
                      </w:p>
                    </w:txbxContent>
                  </v:textbox>
                  <w10:wrap type="none"/>
                </v:shape>
                <v:shape style="position:absolute;left:5402;top:2723;width:421;height:200" type="#_x0000_t202" id="docshape131"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4.6%</w:t>
                        </w:r>
                      </w:p>
                    </w:txbxContent>
                  </v:textbox>
                  <w10:wrap type="none"/>
                </v:shape>
                <v:shape style="position:absolute;left:8320;top:2574;width:420;height:200" type="#_x0000_t202" id="docshape132"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2.5%</w:t>
                        </w:r>
                      </w:p>
                    </w:txbxContent>
                  </v:textbox>
                  <w10:wrap type="none"/>
                </v:shape>
                <v:shape style="position:absolute;left:8906;top:2630;width:420;height:200" type="#_x0000_t202" id="docshape133"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2.1%</w:t>
                        </w:r>
                      </w:p>
                    </w:txbxContent>
                  </v:textbox>
                  <w10:wrap type="none"/>
                </v:shape>
                <v:shape style="position:absolute;left:9493;top:2687;width:420;height:200" type="#_x0000_t202" id="docshape134"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1.7%</w:t>
                        </w:r>
                      </w:p>
                    </w:txbxContent>
                  </v:textbox>
                  <w10:wrap type="none"/>
                </v:shape>
                <v:shape style="position:absolute;left:1932;top:3179;width:264;height:200" type="#_x0000_t202" id="docshape135" filled="false" stroked="false">
                  <v:textbox inset="0,0,0,0">
                    <w:txbxContent>
                      <w:p>
                        <w:pPr>
                          <w:spacing w:line="199" w:lineRule="exact" w:before="0"/>
                          <w:ind w:left="0" w:right="0" w:firstLine="0"/>
                          <w:jc w:val="left"/>
                          <w:rPr>
                            <w:rFonts w:ascii="Calibri"/>
                            <w:sz w:val="20"/>
                          </w:rPr>
                        </w:pPr>
                        <w:r>
                          <w:rPr>
                            <w:rFonts w:ascii="Calibri"/>
                            <w:spacing w:val="-5"/>
                            <w:sz w:val="20"/>
                          </w:rPr>
                          <w:t>0%</w:t>
                        </w:r>
                      </w:p>
                    </w:txbxContent>
                  </v:textbox>
                  <w10:wrap type="none"/>
                </v:shape>
                <v:shape style="position:absolute;left:2473;top:3422;width:7423;height:180" type="#_x0000_t202" id="docshape136" filled="false" stroked="false">
                  <v:textbox inset="0,0,0,0">
                    <w:txbxContent>
                      <w:p>
                        <w:pPr>
                          <w:tabs>
                            <w:tab w:pos="586" w:val="left" w:leader="none"/>
                            <w:tab w:pos="1173" w:val="left" w:leader="none"/>
                            <w:tab w:pos="1759" w:val="left" w:leader="none"/>
                            <w:tab w:pos="2345" w:val="left" w:leader="none"/>
                            <w:tab w:pos="2932" w:val="left" w:leader="none"/>
                            <w:tab w:pos="3518" w:val="left" w:leader="none"/>
                            <w:tab w:pos="4105" w:val="left" w:leader="none"/>
                            <w:tab w:pos="4691" w:val="left" w:leader="none"/>
                            <w:tab w:pos="5278" w:val="left" w:leader="none"/>
                            <w:tab w:pos="5864" w:val="left" w:leader="none"/>
                            <w:tab w:pos="6451" w:val="left" w:leader="none"/>
                            <w:tab w:pos="7037"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v:textbox>
                  <w10:wrap type="none"/>
                </v:shape>
                <v:shape style="position:absolute;left:3844;top:3821;width:1290;height:180" type="#_x0000_t202" id="docshape137"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5832;top:3821;width:1261;height:180" type="#_x0000_t202" id="docshape138"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3637;top:2605;width:420;height:200" type="#_x0000_t202" id="docshape139"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5.7%</w:t>
                        </w:r>
                      </w:p>
                    </w:txbxContent>
                  </v:textbox>
                  <w10:wrap type="none"/>
                </v:shape>
                <v:shape style="position:absolute;left:6561;top:2389;width:420;height:200" type="#_x0000_t202" id="docshape140"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3.8%</w:t>
                        </w:r>
                      </w:p>
                    </w:txbxContent>
                  </v:textbox>
                  <w10:wrap type="none"/>
                </v:shape>
                <v:shape style="position:absolute;left:3037;top:2543;width:420;height:200" type="#_x0000_t202" id="docshape141"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6.0%</w:t>
                        </w:r>
                      </w:p>
                    </w:txbxContent>
                  </v:textbox>
                  <w10:wrap type="none"/>
                </v:shape>
                <v:shape style="position:absolute;left:5974;top:2333;width:420;height:200" type="#_x0000_t202" id="docshape142"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4.2%</w:t>
                        </w:r>
                      </w:p>
                    </w:txbxContent>
                  </v:textbox>
                  <w10:wrap type="none"/>
                </v:shape>
                <v:shape style="position:absolute;left:1932;top:2470;width:264;height:200" type="#_x0000_t202" id="docshape143" filled="false" stroked="false">
                  <v:textbox inset="0,0,0,0">
                    <w:txbxContent>
                      <w:p>
                        <w:pPr>
                          <w:spacing w:line="199" w:lineRule="exact" w:before="0"/>
                          <w:ind w:left="0" w:right="0" w:firstLine="0"/>
                          <w:jc w:val="left"/>
                          <w:rPr>
                            <w:rFonts w:ascii="Calibri"/>
                            <w:sz w:val="20"/>
                          </w:rPr>
                        </w:pPr>
                        <w:r>
                          <w:rPr>
                            <w:rFonts w:ascii="Calibri"/>
                            <w:spacing w:val="-5"/>
                            <w:sz w:val="20"/>
                          </w:rPr>
                          <w:t>5%</w:t>
                        </w:r>
                      </w:p>
                    </w:txbxContent>
                  </v:textbox>
                  <w10:wrap type="none"/>
                </v:shape>
                <v:shape style="position:absolute;left:5438;top:2258;width:420;height:200" type="#_x0000_t202" id="docshape144"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5.2%</w:t>
                        </w:r>
                      </w:p>
                    </w:txbxContent>
                  </v:textbox>
                  <w10:wrap type="none"/>
                </v:shape>
                <v:shape style="position:absolute;left:4816;top:2149;width:420;height:200" type="#_x0000_t202" id="docshape145"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5.9%</w:t>
                        </w:r>
                      </w:p>
                    </w:txbxContent>
                  </v:textbox>
                  <w10:wrap type="none"/>
                </v:shape>
                <v:shape style="position:absolute;left:4263;top:2183;width:420;height:200" type="#_x0000_t202" id="docshape146"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5.5%</w:t>
                        </w:r>
                      </w:p>
                    </w:txbxContent>
                  </v:textbox>
                  <w10:wrap type="none"/>
                </v:shape>
                <v:shape style="position:absolute;left:3008;top:2121;width:1075;height:218" type="#_x0000_t202" id="docshape147" filled="false" stroked="false">
                  <v:textbox inset="0,0,0,0">
                    <w:txbxContent>
                      <w:p>
                        <w:pPr>
                          <w:tabs>
                            <w:tab w:pos="654" w:val="left" w:leader="none"/>
                          </w:tabs>
                          <w:spacing w:line="218" w:lineRule="exact" w:before="0"/>
                          <w:ind w:left="0" w:right="0" w:firstLine="0"/>
                          <w:jc w:val="left"/>
                          <w:rPr>
                            <w:rFonts w:ascii="Calibri"/>
                            <w:b/>
                            <w:sz w:val="20"/>
                          </w:rPr>
                        </w:pPr>
                        <w:r>
                          <w:rPr>
                            <w:rFonts w:ascii="Calibri"/>
                            <w:b/>
                            <w:color w:val="EC7C30"/>
                            <w:spacing w:val="-4"/>
                            <w:position w:val="2"/>
                            <w:sz w:val="20"/>
                          </w:rPr>
                          <w:t>6.1%</w:t>
                        </w:r>
                        <w:r>
                          <w:rPr>
                            <w:rFonts w:ascii="Calibri"/>
                            <w:b/>
                            <w:color w:val="EC7C30"/>
                            <w:position w:val="2"/>
                            <w:sz w:val="20"/>
                          </w:rPr>
                          <w:tab/>
                        </w:r>
                        <w:r>
                          <w:rPr>
                            <w:rFonts w:ascii="Calibri"/>
                            <w:b/>
                            <w:color w:val="EC7C30"/>
                            <w:spacing w:val="-4"/>
                            <w:sz w:val="20"/>
                          </w:rPr>
                          <w:t>6.1%</w:t>
                        </w:r>
                      </w:p>
                    </w:txbxContent>
                  </v:textbox>
                  <w10:wrap type="none"/>
                </v:shape>
                <v:shape style="position:absolute;left:2456;top:1986;width:420;height:200" type="#_x0000_t202" id="docshape148" filled="false" stroked="false">
                  <v:textbox inset="0,0,0,0">
                    <w:txbxContent>
                      <w:p>
                        <w:pPr>
                          <w:spacing w:line="199" w:lineRule="exact" w:before="0"/>
                          <w:ind w:left="0" w:right="0" w:firstLine="0"/>
                          <w:jc w:val="left"/>
                          <w:rPr>
                            <w:rFonts w:ascii="Calibri"/>
                            <w:b/>
                            <w:sz w:val="20"/>
                          </w:rPr>
                        </w:pPr>
                        <w:r>
                          <w:rPr>
                            <w:rFonts w:ascii="Calibri"/>
                            <w:b/>
                            <w:color w:val="4471C4"/>
                            <w:spacing w:val="-4"/>
                            <w:sz w:val="20"/>
                          </w:rPr>
                          <w:t>6.5%</w:t>
                        </w:r>
                      </w:p>
                    </w:txbxContent>
                  </v:textbox>
                  <w10:wrap type="none"/>
                </v:shape>
                <v:shape style="position:absolute;left:1831;top:1761;width:367;height:200" type="#_x0000_t202" id="docshape149" filled="false" stroked="false">
                  <v:textbox inset="0,0,0,0">
                    <w:txbxContent>
                      <w:p>
                        <w:pPr>
                          <w:spacing w:line="199" w:lineRule="exact" w:before="0"/>
                          <w:ind w:left="0" w:right="0" w:firstLine="0"/>
                          <w:jc w:val="left"/>
                          <w:rPr>
                            <w:rFonts w:ascii="Calibri"/>
                            <w:sz w:val="20"/>
                          </w:rPr>
                        </w:pPr>
                        <w:r>
                          <w:rPr>
                            <w:rFonts w:ascii="Calibri"/>
                            <w:spacing w:val="-5"/>
                            <w:sz w:val="20"/>
                          </w:rPr>
                          <w:t>10%</w:t>
                        </w:r>
                      </w:p>
                    </w:txbxContent>
                  </v:textbox>
                  <w10:wrap type="none"/>
                </v:shape>
                <v:shape style="position:absolute;left:1831;top:1051;width:367;height:200" type="#_x0000_t202" id="docshape150" filled="false" stroked="false">
                  <v:textbox inset="0,0,0,0">
                    <w:txbxContent>
                      <w:p>
                        <w:pPr>
                          <w:spacing w:line="199" w:lineRule="exact" w:before="0"/>
                          <w:ind w:left="0" w:right="0" w:firstLine="0"/>
                          <w:jc w:val="left"/>
                          <w:rPr>
                            <w:rFonts w:ascii="Calibri"/>
                            <w:sz w:val="20"/>
                          </w:rPr>
                        </w:pPr>
                        <w:r>
                          <w:rPr>
                            <w:rFonts w:ascii="Calibri"/>
                            <w:spacing w:val="-5"/>
                            <w:sz w:val="20"/>
                          </w:rPr>
                          <w:t>15%</w:t>
                        </w:r>
                      </w:p>
                    </w:txbxContent>
                  </v:textbox>
                  <w10:wrap type="none"/>
                </v:shape>
                <v:shape style="position:absolute;left:1831;top:342;width:367;height:200" type="#_x0000_t202" id="docshape151" filled="false" stroked="false">
                  <v:textbox inset="0,0,0,0">
                    <w:txbxContent>
                      <w:p>
                        <w:pPr>
                          <w:spacing w:line="199" w:lineRule="exact" w:before="0"/>
                          <w:ind w:left="0" w:right="0" w:firstLine="0"/>
                          <w:jc w:val="left"/>
                          <w:rPr>
                            <w:rFonts w:ascii="Calibri"/>
                            <w:sz w:val="20"/>
                          </w:rPr>
                        </w:pPr>
                        <w:r>
                          <w:rPr>
                            <w:rFonts w:ascii="Calibri"/>
                            <w:spacing w:val="-5"/>
                            <w:sz w:val="20"/>
                          </w:rPr>
                          <w:t>20%</w:t>
                        </w:r>
                      </w:p>
                    </w:txbxContent>
                  </v:textbox>
                  <w10:wrap type="none"/>
                </v:shape>
                <w10:wrap type="topAndBottom"/>
              </v:group>
            </w:pict>
          </mc:Fallback>
        </mc:AlternateContent>
      </w:r>
    </w:p>
    <w:p>
      <w:pPr>
        <w:spacing w:line="326" w:lineRule="auto" w:before="228"/>
        <w:ind w:left="143" w:right="5492" w:firstLine="0"/>
        <w:jc w:val="left"/>
        <w:rPr>
          <w:sz w:val="16"/>
        </w:rPr>
      </w:pPr>
      <w:r>
        <w:rPr>
          <w:sz w:val="16"/>
        </w:rPr>
        <w:t>Fuente:</w:t>
      </w:r>
      <w:r>
        <w:rPr>
          <w:spacing w:val="-9"/>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pStyle w:val="BodyText"/>
        <w:spacing w:line="326" w:lineRule="auto" w:before="173"/>
        <w:ind w:left="143" w:right="705"/>
        <w:jc w:val="both"/>
      </w:pPr>
      <w:r>
        <w:rPr>
          <w:spacing w:val="-2"/>
        </w:rPr>
        <w:t>El</w:t>
      </w:r>
      <w:r>
        <w:rPr>
          <w:spacing w:val="-12"/>
        </w:rPr>
        <w:t> </w:t>
      </w:r>
      <w:r>
        <w:rPr>
          <w:spacing w:val="-2"/>
        </w:rPr>
        <w:t>indicador</w:t>
      </w:r>
      <w:r>
        <w:rPr>
          <w:spacing w:val="-11"/>
        </w:rPr>
        <w:t> </w:t>
      </w:r>
      <w:r>
        <w:rPr>
          <w:spacing w:val="-2"/>
        </w:rPr>
        <w:t>“</w:t>
      </w:r>
      <w:r>
        <w:rPr>
          <w:rFonts w:ascii="Arial" w:hAnsi="Arial"/>
          <w:i/>
          <w:spacing w:val="-2"/>
        </w:rPr>
        <w:t>Porcentaje</w:t>
      </w:r>
      <w:r>
        <w:rPr>
          <w:rFonts w:ascii="Arial" w:hAnsi="Arial"/>
          <w:i/>
          <w:spacing w:val="-13"/>
        </w:rPr>
        <w:t> </w:t>
      </w:r>
      <w:r>
        <w:rPr>
          <w:rFonts w:ascii="Arial" w:hAnsi="Arial"/>
          <w:i/>
          <w:spacing w:val="-2"/>
        </w:rPr>
        <w:t>de</w:t>
      </w:r>
      <w:r>
        <w:rPr>
          <w:rFonts w:ascii="Arial" w:hAnsi="Arial"/>
          <w:i/>
          <w:spacing w:val="-14"/>
        </w:rPr>
        <w:t> </w:t>
      </w:r>
      <w:r>
        <w:rPr>
          <w:rFonts w:ascii="Arial" w:hAnsi="Arial"/>
          <w:i/>
          <w:spacing w:val="-2"/>
        </w:rPr>
        <w:t>embarazo</w:t>
      </w:r>
      <w:r>
        <w:rPr>
          <w:rFonts w:ascii="Arial" w:hAnsi="Arial"/>
          <w:i/>
          <w:spacing w:val="-12"/>
        </w:rPr>
        <w:t> </w:t>
      </w:r>
      <w:r>
        <w:rPr>
          <w:rFonts w:ascii="Arial" w:hAnsi="Arial"/>
          <w:i/>
          <w:spacing w:val="-2"/>
        </w:rPr>
        <w:t>adolescente”</w:t>
      </w:r>
      <w:r>
        <w:rPr>
          <w:rFonts w:ascii="Arial" w:hAnsi="Arial"/>
          <w:i/>
          <w:spacing w:val="-12"/>
        </w:rPr>
        <w:t> </w:t>
      </w:r>
      <w:r>
        <w:rPr>
          <w:spacing w:val="-2"/>
        </w:rPr>
        <w:t>tiene</w:t>
      </w:r>
      <w:r>
        <w:rPr>
          <w:spacing w:val="-14"/>
        </w:rPr>
        <w:t> </w:t>
      </w:r>
      <w:r>
        <w:rPr>
          <w:spacing w:val="-2"/>
        </w:rPr>
        <w:t>como</w:t>
      </w:r>
      <w:r>
        <w:rPr>
          <w:spacing w:val="-10"/>
        </w:rPr>
        <w:t> </w:t>
      </w:r>
      <w:r>
        <w:rPr>
          <w:spacing w:val="-2"/>
        </w:rPr>
        <w:t>fuente</w:t>
      </w:r>
      <w:r>
        <w:rPr>
          <w:spacing w:val="-14"/>
        </w:rPr>
        <w:t> </w:t>
      </w:r>
      <w:r>
        <w:rPr>
          <w:spacing w:val="-2"/>
        </w:rPr>
        <w:t>de</w:t>
      </w:r>
      <w:r>
        <w:rPr>
          <w:spacing w:val="-12"/>
        </w:rPr>
        <w:t> </w:t>
      </w:r>
      <w:r>
        <w:rPr>
          <w:spacing w:val="-2"/>
        </w:rPr>
        <w:t>datos</w:t>
      </w:r>
      <w:r>
        <w:rPr>
          <w:spacing w:val="-11"/>
        </w:rPr>
        <w:t> </w:t>
      </w:r>
      <w:r>
        <w:rPr>
          <w:spacing w:val="-2"/>
        </w:rPr>
        <w:t>es </w:t>
      </w:r>
      <w:r>
        <w:rPr/>
        <w:t>la ENDES. Asimismo, el responsable del indicador es el MINSA. Este indicador tiene un sentido descendente y se espera que su valor decrezca cada año. Al </w:t>
      </w:r>
      <w:r>
        <w:rPr>
          <w:spacing w:val="-2"/>
        </w:rPr>
        <w:t>respecto:</w:t>
      </w:r>
    </w:p>
    <w:p>
      <w:pPr>
        <w:pStyle w:val="ListParagraph"/>
        <w:numPr>
          <w:ilvl w:val="0"/>
          <w:numId w:val="11"/>
        </w:numPr>
        <w:tabs>
          <w:tab w:pos="862" w:val="left" w:leader="none"/>
        </w:tabs>
        <w:spacing w:line="326" w:lineRule="auto" w:before="162" w:after="0"/>
        <w:ind w:left="862" w:right="705" w:hanging="360"/>
        <w:jc w:val="both"/>
        <w:rPr>
          <w:sz w:val="24"/>
        </w:rPr>
      </w:pPr>
      <w:r>
        <w:rPr>
          <w:sz w:val="24"/>
        </w:rPr>
        <w:t>En el año 2023 el indicador arrojó un valor de 8.2% de embarazo adolescente, lo cual muestra que se ha superado la meta programada del año: (11.6%).</w:t>
      </w:r>
    </w:p>
    <w:p>
      <w:pPr>
        <w:pStyle w:val="ListParagraph"/>
        <w:spacing w:after="0" w:line="326" w:lineRule="auto"/>
        <w:jc w:val="both"/>
        <w:rPr>
          <w:sz w:val="24"/>
        </w:rPr>
        <w:sectPr>
          <w:pgSz w:w="11910" w:h="16840"/>
          <w:pgMar w:header="713" w:footer="1000" w:top="1420" w:bottom="1200" w:left="1559" w:right="992"/>
        </w:sectPr>
      </w:pPr>
    </w:p>
    <w:p>
      <w:pPr>
        <w:pStyle w:val="ListParagraph"/>
        <w:numPr>
          <w:ilvl w:val="0"/>
          <w:numId w:val="11"/>
        </w:numPr>
        <w:tabs>
          <w:tab w:pos="862" w:val="left" w:leader="none"/>
        </w:tabs>
        <w:spacing w:line="326" w:lineRule="auto" w:before="126" w:after="0"/>
        <w:ind w:left="862" w:right="706" w:hanging="360"/>
        <w:jc w:val="both"/>
        <w:rPr>
          <w:sz w:val="24"/>
        </w:rPr>
      </w:pPr>
      <w:r>
        <w:rPr>
          <w:sz w:val="24"/>
        </w:rPr>
        <w:t>Asimismo, el nivel de avance del año 2023 correspondió a 141.6% respecto a la meta</w:t>
      </w:r>
      <w:r>
        <w:rPr>
          <w:spacing w:val="-1"/>
          <w:sz w:val="24"/>
        </w:rPr>
        <w:t> </w:t>
      </w:r>
      <w:r>
        <w:rPr>
          <w:sz w:val="24"/>
        </w:rPr>
        <w:t>programada, lo</w:t>
      </w:r>
      <w:r>
        <w:rPr>
          <w:spacing w:val="-2"/>
          <w:sz w:val="24"/>
        </w:rPr>
        <w:t> </w:t>
      </w:r>
      <w:r>
        <w:rPr>
          <w:sz w:val="24"/>
        </w:rPr>
        <w:t>cual es considerado</w:t>
      </w:r>
      <w:r>
        <w:rPr>
          <w:spacing w:val="-2"/>
          <w:sz w:val="24"/>
        </w:rPr>
        <w:t> </w:t>
      </w:r>
      <w:r>
        <w:rPr>
          <w:sz w:val="24"/>
        </w:rPr>
        <w:t>como un nivel de cumplimiento alto, cifra mayor al nivel de avance identificado en 2022 (133.0%) pero ligeramente menor respecto al identificado en el </w:t>
      </w:r>
      <w:r>
        <w:rPr>
          <w:spacing w:val="-2"/>
          <w:sz w:val="24"/>
        </w:rPr>
        <w:t>2021(144.6%).</w:t>
      </w:r>
    </w:p>
    <w:p>
      <w:pPr>
        <w:pStyle w:val="ListParagraph"/>
        <w:numPr>
          <w:ilvl w:val="0"/>
          <w:numId w:val="11"/>
        </w:numPr>
        <w:tabs>
          <w:tab w:pos="862" w:val="left" w:leader="none"/>
        </w:tabs>
        <w:spacing w:line="324" w:lineRule="auto" w:before="1" w:after="0"/>
        <w:ind w:left="862" w:right="704" w:hanging="360"/>
        <w:jc w:val="both"/>
        <w:rPr>
          <w:sz w:val="24"/>
        </w:rPr>
      </w:pPr>
      <w:r>
        <w:rPr>
          <w:sz w:val="24"/>
        </w:rPr>
        <w:t>En esa línea, dado que el valor obtenido en el 2023 disminuyo en 1 p.p. respecto del 2022 (9.2%), y en 0.7 p.p. respecto del valor obtenido para el año 2021</w:t>
      </w:r>
      <w:r>
        <w:rPr>
          <w:spacing w:val="-1"/>
          <w:sz w:val="24"/>
        </w:rPr>
        <w:t> </w:t>
      </w:r>
      <w:r>
        <w:rPr>
          <w:sz w:val="24"/>
        </w:rPr>
        <w:t>(8.9%), se puede inferir que el indicador tiene una tendencia descendente, similar a la esperada en las metas programadas.</w:t>
      </w:r>
    </w:p>
    <w:p>
      <w:pPr>
        <w:pStyle w:val="BodyText"/>
        <w:spacing w:line="326" w:lineRule="auto" w:before="172"/>
        <w:ind w:left="502" w:right="707"/>
        <w:jc w:val="both"/>
      </w:pPr>
      <w:r>
        <w:rPr/>
        <w:t>Cabe precisar que, si bien el indicador muestra un cumplimiento alto en los últimos tres años, a nivel regional el indicador muestra un comportamiento distinto: Amazonas, Loreto y Ucayali registran un porcentaje de embarazo adolescente</w:t>
      </w:r>
      <w:r>
        <w:rPr>
          <w:spacing w:val="-12"/>
        </w:rPr>
        <w:t> </w:t>
      </w:r>
      <w:r>
        <w:rPr/>
        <w:t>mayor</w:t>
      </w:r>
      <w:r>
        <w:rPr>
          <w:spacing w:val="-12"/>
        </w:rPr>
        <w:t> </w:t>
      </w:r>
      <w:r>
        <w:rPr/>
        <w:t>al</w:t>
      </w:r>
      <w:r>
        <w:rPr>
          <w:spacing w:val="-14"/>
        </w:rPr>
        <w:t> </w:t>
      </w:r>
      <w:r>
        <w:rPr/>
        <w:t>20%.</w:t>
      </w:r>
      <w:r>
        <w:rPr>
          <w:spacing w:val="-12"/>
        </w:rPr>
        <w:t> </w:t>
      </w:r>
      <w:r>
        <w:rPr/>
        <w:t>En</w:t>
      </w:r>
      <w:r>
        <w:rPr>
          <w:spacing w:val="-13"/>
        </w:rPr>
        <w:t> </w:t>
      </w:r>
      <w:r>
        <w:rPr/>
        <w:t>ese</w:t>
      </w:r>
      <w:r>
        <w:rPr>
          <w:spacing w:val="-12"/>
        </w:rPr>
        <w:t> </w:t>
      </w:r>
      <w:r>
        <w:rPr/>
        <w:t>sentido,</w:t>
      </w:r>
      <w:r>
        <w:rPr>
          <w:spacing w:val="-7"/>
        </w:rPr>
        <w:t> </w:t>
      </w:r>
      <w:r>
        <w:rPr/>
        <w:t>es</w:t>
      </w:r>
      <w:r>
        <w:rPr>
          <w:spacing w:val="-11"/>
        </w:rPr>
        <w:t> </w:t>
      </w:r>
      <w:r>
        <w:rPr/>
        <w:t>necesario</w:t>
      </w:r>
      <w:r>
        <w:rPr>
          <w:spacing w:val="-11"/>
        </w:rPr>
        <w:t> </w:t>
      </w:r>
      <w:r>
        <w:rPr/>
        <w:t>revisar</w:t>
      </w:r>
      <w:r>
        <w:rPr>
          <w:spacing w:val="-12"/>
        </w:rPr>
        <w:t> </w:t>
      </w:r>
      <w:r>
        <w:rPr/>
        <w:t>con</w:t>
      </w:r>
      <w:r>
        <w:rPr>
          <w:spacing w:val="-12"/>
        </w:rPr>
        <w:t> </w:t>
      </w:r>
      <w:r>
        <w:rPr/>
        <w:t>especial atención las cifras regionales, a fin de focalizar las intervenciones en las regiones que presenten un valor del indicador superior a la meta.</w:t>
      </w:r>
    </w:p>
    <w:p>
      <w:pPr>
        <w:spacing w:before="157"/>
        <w:ind w:left="2267" w:right="0" w:firstLine="0"/>
        <w:jc w:val="left"/>
        <w:rPr>
          <w:sz w:val="20"/>
        </w:rPr>
      </w:pPr>
      <w:r>
        <w:rPr>
          <w:color w:val="44536A"/>
          <w:sz w:val="20"/>
        </w:rPr>
        <w:t>Gráfico</w:t>
      </w:r>
      <w:r>
        <w:rPr>
          <w:color w:val="44536A"/>
          <w:spacing w:val="-6"/>
          <w:sz w:val="20"/>
        </w:rPr>
        <w:t> </w:t>
      </w:r>
      <w:r>
        <w:rPr>
          <w:color w:val="44536A"/>
          <w:sz w:val="20"/>
        </w:rPr>
        <w:t>4.</w:t>
      </w:r>
      <w:r>
        <w:rPr>
          <w:color w:val="44536A"/>
          <w:spacing w:val="-7"/>
          <w:sz w:val="20"/>
        </w:rPr>
        <w:t> </w:t>
      </w:r>
      <w:r>
        <w:rPr>
          <w:color w:val="44536A"/>
          <w:sz w:val="20"/>
        </w:rPr>
        <w:t>Porcentaje</w:t>
      </w:r>
      <w:r>
        <w:rPr>
          <w:color w:val="44536A"/>
          <w:spacing w:val="-8"/>
          <w:sz w:val="20"/>
        </w:rPr>
        <w:t> </w:t>
      </w:r>
      <w:r>
        <w:rPr>
          <w:color w:val="44536A"/>
          <w:sz w:val="20"/>
        </w:rPr>
        <w:t>de</w:t>
      </w:r>
      <w:r>
        <w:rPr>
          <w:color w:val="44536A"/>
          <w:spacing w:val="-7"/>
          <w:sz w:val="20"/>
        </w:rPr>
        <w:t> </w:t>
      </w:r>
      <w:r>
        <w:rPr>
          <w:color w:val="44536A"/>
          <w:sz w:val="20"/>
        </w:rPr>
        <w:t>embarazo</w:t>
      </w:r>
      <w:r>
        <w:rPr>
          <w:color w:val="44536A"/>
          <w:spacing w:val="-8"/>
          <w:sz w:val="20"/>
        </w:rPr>
        <w:t> </w:t>
      </w:r>
      <w:r>
        <w:rPr>
          <w:color w:val="44536A"/>
          <w:spacing w:val="-2"/>
          <w:sz w:val="20"/>
        </w:rPr>
        <w:t>adolescente</w:t>
      </w:r>
    </w:p>
    <w:p>
      <w:pPr>
        <w:pStyle w:val="BodyText"/>
        <w:rPr>
          <w:sz w:val="16"/>
        </w:rPr>
      </w:pPr>
      <w:r>
        <w:rPr>
          <w:sz w:val="16"/>
        </w:rPr>
        <mc:AlternateContent>
          <mc:Choice Requires="wps">
            <w:drawing>
              <wp:anchor distT="0" distB="0" distL="0" distR="0" allowOverlap="1" layoutInCell="1" locked="0" behindDoc="1" simplePos="0" relativeHeight="487590400">
                <wp:simplePos x="0" y="0"/>
                <wp:positionH relativeFrom="page">
                  <wp:posOffset>1076960</wp:posOffset>
                </wp:positionH>
                <wp:positionV relativeFrom="paragraph">
                  <wp:posOffset>132396</wp:posOffset>
                </wp:positionV>
                <wp:extent cx="5406390" cy="2578735"/>
                <wp:effectExtent l="0" t="0" r="0" b="0"/>
                <wp:wrapTopAndBottom/>
                <wp:docPr id="155" name="Group 155"/>
                <wp:cNvGraphicFramePr>
                  <a:graphicFrameLocks/>
                </wp:cNvGraphicFramePr>
                <a:graphic>
                  <a:graphicData uri="http://schemas.microsoft.com/office/word/2010/wordprocessingGroup">
                    <wpg:wgp>
                      <wpg:cNvPr id="155" name="Group 155"/>
                      <wpg:cNvGrpSpPr/>
                      <wpg:grpSpPr>
                        <a:xfrm>
                          <a:off x="0" y="0"/>
                          <a:ext cx="5406390" cy="2578735"/>
                          <a:chExt cx="5406390" cy="2578735"/>
                        </a:xfrm>
                      </wpg:grpSpPr>
                      <wps:wsp>
                        <wps:cNvPr id="156" name="Graphic 156"/>
                        <wps:cNvSpPr/>
                        <wps:spPr>
                          <a:xfrm>
                            <a:off x="382777" y="144271"/>
                            <a:ext cx="40640" cy="1846580"/>
                          </a:xfrm>
                          <a:custGeom>
                            <a:avLst/>
                            <a:gdLst/>
                            <a:ahLst/>
                            <a:cxnLst/>
                            <a:rect l="l" t="t" r="r" b="b"/>
                            <a:pathLst>
                              <a:path w="40640" h="1846580">
                                <a:moveTo>
                                  <a:pt x="40386" y="1846199"/>
                                </a:moveTo>
                                <a:lnTo>
                                  <a:pt x="40386" y="0"/>
                                </a:lnTo>
                              </a:path>
                              <a:path w="40640" h="1846580">
                                <a:moveTo>
                                  <a:pt x="0" y="1846199"/>
                                </a:moveTo>
                                <a:lnTo>
                                  <a:pt x="40386" y="1846199"/>
                                </a:lnTo>
                              </a:path>
                              <a:path w="40640" h="1846580">
                                <a:moveTo>
                                  <a:pt x="0" y="1384807"/>
                                </a:moveTo>
                                <a:lnTo>
                                  <a:pt x="40386" y="1384807"/>
                                </a:lnTo>
                              </a:path>
                              <a:path w="40640" h="1846580">
                                <a:moveTo>
                                  <a:pt x="0" y="923036"/>
                                </a:moveTo>
                                <a:lnTo>
                                  <a:pt x="40386" y="923036"/>
                                </a:lnTo>
                              </a:path>
                              <a:path w="40640" h="1846580">
                                <a:moveTo>
                                  <a:pt x="0" y="461263"/>
                                </a:moveTo>
                                <a:lnTo>
                                  <a:pt x="40386" y="461263"/>
                                </a:lnTo>
                              </a:path>
                              <a:path w="40640" h="1846580">
                                <a:moveTo>
                                  <a:pt x="0" y="0"/>
                                </a:moveTo>
                                <a:lnTo>
                                  <a:pt x="40386" y="0"/>
                                </a:lnTo>
                              </a:path>
                            </a:pathLst>
                          </a:custGeom>
                          <a:ln w="6350">
                            <a:solidFill>
                              <a:srgbClr val="888888"/>
                            </a:solidFill>
                            <a:prstDash val="solid"/>
                          </a:ln>
                        </wps:spPr>
                        <wps:bodyPr wrap="square" lIns="0" tIns="0" rIns="0" bIns="0" rtlCol="0">
                          <a:prstTxWarp prst="textNoShape">
                            <a:avLst/>
                          </a:prstTxWarp>
                          <a:noAutofit/>
                        </wps:bodyPr>
                      </wps:wsp>
                      <wps:wsp>
                        <wps:cNvPr id="157" name="Graphic 157"/>
                        <wps:cNvSpPr/>
                        <wps:spPr>
                          <a:xfrm>
                            <a:off x="423163" y="1990470"/>
                            <a:ext cx="4840605" cy="36830"/>
                          </a:xfrm>
                          <a:custGeom>
                            <a:avLst/>
                            <a:gdLst/>
                            <a:ahLst/>
                            <a:cxnLst/>
                            <a:rect l="l" t="t" r="r" b="b"/>
                            <a:pathLst>
                              <a:path w="4840605" h="36830">
                                <a:moveTo>
                                  <a:pt x="0" y="0"/>
                                </a:moveTo>
                                <a:lnTo>
                                  <a:pt x="4840351" y="0"/>
                                </a:lnTo>
                              </a:path>
                              <a:path w="4840605" h="36830">
                                <a:moveTo>
                                  <a:pt x="0" y="0"/>
                                </a:moveTo>
                                <a:lnTo>
                                  <a:pt x="0" y="36322"/>
                                </a:lnTo>
                              </a:path>
                              <a:path w="4840605" h="36830">
                                <a:moveTo>
                                  <a:pt x="372871" y="0"/>
                                </a:moveTo>
                                <a:lnTo>
                                  <a:pt x="372871" y="36322"/>
                                </a:lnTo>
                              </a:path>
                              <a:path w="4840605" h="36830">
                                <a:moveTo>
                                  <a:pt x="744727" y="0"/>
                                </a:moveTo>
                                <a:lnTo>
                                  <a:pt x="744727" y="36322"/>
                                </a:lnTo>
                              </a:path>
                              <a:path w="4840605" h="36830">
                                <a:moveTo>
                                  <a:pt x="1116583" y="0"/>
                                </a:moveTo>
                                <a:lnTo>
                                  <a:pt x="1116583" y="36322"/>
                                </a:lnTo>
                              </a:path>
                              <a:path w="4840605" h="36830">
                                <a:moveTo>
                                  <a:pt x="1489964" y="0"/>
                                </a:moveTo>
                                <a:lnTo>
                                  <a:pt x="1489964" y="36322"/>
                                </a:lnTo>
                              </a:path>
                              <a:path w="4840605" h="36830">
                                <a:moveTo>
                                  <a:pt x="1861820" y="0"/>
                                </a:moveTo>
                                <a:lnTo>
                                  <a:pt x="1861820" y="36322"/>
                                </a:lnTo>
                              </a:path>
                              <a:path w="4840605" h="36830">
                                <a:moveTo>
                                  <a:pt x="2233676" y="0"/>
                                </a:moveTo>
                                <a:lnTo>
                                  <a:pt x="2233676" y="36322"/>
                                </a:lnTo>
                              </a:path>
                              <a:path w="4840605" h="36830">
                                <a:moveTo>
                                  <a:pt x="2607055" y="0"/>
                                </a:moveTo>
                                <a:lnTo>
                                  <a:pt x="2607055" y="36322"/>
                                </a:lnTo>
                              </a:path>
                              <a:path w="4840605" h="36830">
                                <a:moveTo>
                                  <a:pt x="2978912" y="0"/>
                                </a:moveTo>
                                <a:lnTo>
                                  <a:pt x="2978912" y="36322"/>
                                </a:lnTo>
                              </a:path>
                              <a:path w="4840605" h="36830">
                                <a:moveTo>
                                  <a:pt x="3350767" y="0"/>
                                </a:moveTo>
                                <a:lnTo>
                                  <a:pt x="3350767" y="36322"/>
                                </a:lnTo>
                              </a:path>
                              <a:path w="4840605" h="36830">
                                <a:moveTo>
                                  <a:pt x="3722624" y="0"/>
                                </a:moveTo>
                                <a:lnTo>
                                  <a:pt x="3722624" y="36322"/>
                                </a:lnTo>
                              </a:path>
                              <a:path w="4840605" h="36830">
                                <a:moveTo>
                                  <a:pt x="4096004" y="0"/>
                                </a:moveTo>
                                <a:lnTo>
                                  <a:pt x="4096004" y="36322"/>
                                </a:lnTo>
                              </a:path>
                              <a:path w="4840605" h="36830">
                                <a:moveTo>
                                  <a:pt x="4467860" y="0"/>
                                </a:moveTo>
                                <a:lnTo>
                                  <a:pt x="4467860" y="36322"/>
                                </a:lnTo>
                              </a:path>
                              <a:path w="4840605" h="36830">
                                <a:moveTo>
                                  <a:pt x="4840351" y="0"/>
                                </a:moveTo>
                                <a:lnTo>
                                  <a:pt x="4840351" y="36322"/>
                                </a:lnTo>
                              </a:path>
                            </a:pathLst>
                          </a:custGeom>
                          <a:ln w="9525">
                            <a:solidFill>
                              <a:srgbClr val="D9D9D9"/>
                            </a:solidFill>
                            <a:prstDash val="solid"/>
                          </a:ln>
                        </wps:spPr>
                        <wps:bodyPr wrap="square" lIns="0" tIns="0" rIns="0" bIns="0" rtlCol="0">
                          <a:prstTxWarp prst="textNoShape">
                            <a:avLst/>
                          </a:prstTxWarp>
                          <a:noAutofit/>
                        </wps:bodyPr>
                      </wps:wsp>
                      <wps:wsp>
                        <wps:cNvPr id="158" name="Graphic 158"/>
                        <wps:cNvSpPr/>
                        <wps:spPr>
                          <a:xfrm>
                            <a:off x="981583" y="781176"/>
                            <a:ext cx="4095750" cy="544830"/>
                          </a:xfrm>
                          <a:custGeom>
                            <a:avLst/>
                            <a:gdLst/>
                            <a:ahLst/>
                            <a:cxnLst/>
                            <a:rect l="l" t="t" r="r" b="b"/>
                            <a:pathLst>
                              <a:path w="4095750" h="544830">
                                <a:moveTo>
                                  <a:pt x="0" y="0"/>
                                </a:moveTo>
                                <a:lnTo>
                                  <a:pt x="372237" y="8762"/>
                                </a:lnTo>
                                <a:lnTo>
                                  <a:pt x="744093" y="17907"/>
                                </a:lnTo>
                                <a:lnTo>
                                  <a:pt x="1117473" y="83438"/>
                                </a:lnTo>
                                <a:lnTo>
                                  <a:pt x="1489329" y="138302"/>
                                </a:lnTo>
                                <a:lnTo>
                                  <a:pt x="1861184" y="193167"/>
                                </a:lnTo>
                                <a:lnTo>
                                  <a:pt x="2234565" y="258699"/>
                                </a:lnTo>
                                <a:lnTo>
                                  <a:pt x="2606421" y="313563"/>
                                </a:lnTo>
                                <a:lnTo>
                                  <a:pt x="2978277" y="369950"/>
                                </a:lnTo>
                                <a:lnTo>
                                  <a:pt x="3351656" y="433959"/>
                                </a:lnTo>
                                <a:lnTo>
                                  <a:pt x="3723512" y="488823"/>
                                </a:lnTo>
                                <a:lnTo>
                                  <a:pt x="4095750" y="544702"/>
                                </a:lnTo>
                              </a:path>
                            </a:pathLst>
                          </a:custGeom>
                          <a:ln w="28575">
                            <a:solidFill>
                              <a:srgbClr val="A4A4A4"/>
                            </a:solidFill>
                            <a:prstDash val="solid"/>
                          </a:ln>
                        </wps:spPr>
                        <wps:bodyPr wrap="square" lIns="0" tIns="0" rIns="0" bIns="0" rtlCol="0">
                          <a:prstTxWarp prst="textNoShape">
                            <a:avLst/>
                          </a:prstTxWarp>
                          <a:noAutofit/>
                        </wps:bodyPr>
                      </wps:wsp>
                      <pic:pic>
                        <pic:nvPicPr>
                          <pic:cNvPr id="159" name="Image 159"/>
                          <pic:cNvPicPr/>
                        </pic:nvPicPr>
                        <pic:blipFill>
                          <a:blip r:embed="rId24" cstate="print"/>
                          <a:stretch>
                            <a:fillRect/>
                          </a:stretch>
                        </pic:blipFill>
                        <pic:spPr>
                          <a:xfrm>
                            <a:off x="944816" y="743648"/>
                            <a:ext cx="73533" cy="73533"/>
                          </a:xfrm>
                          <a:prstGeom prst="rect">
                            <a:avLst/>
                          </a:prstGeom>
                        </pic:spPr>
                      </pic:pic>
                      <pic:pic>
                        <pic:nvPicPr>
                          <pic:cNvPr id="160" name="Image 160"/>
                          <pic:cNvPicPr/>
                        </pic:nvPicPr>
                        <pic:blipFill>
                          <a:blip r:embed="rId24" cstate="print"/>
                          <a:stretch>
                            <a:fillRect/>
                          </a:stretch>
                        </pic:blipFill>
                        <pic:spPr>
                          <a:xfrm>
                            <a:off x="1316672" y="752792"/>
                            <a:ext cx="73532" cy="73533"/>
                          </a:xfrm>
                          <a:prstGeom prst="rect">
                            <a:avLst/>
                          </a:prstGeom>
                        </pic:spPr>
                      </pic:pic>
                      <pic:pic>
                        <pic:nvPicPr>
                          <pic:cNvPr id="161" name="Image 161"/>
                          <pic:cNvPicPr/>
                        </pic:nvPicPr>
                        <pic:blipFill>
                          <a:blip r:embed="rId25" cstate="print"/>
                          <a:stretch>
                            <a:fillRect/>
                          </a:stretch>
                        </pic:blipFill>
                        <pic:spPr>
                          <a:xfrm>
                            <a:off x="1688528" y="761936"/>
                            <a:ext cx="73532" cy="73533"/>
                          </a:xfrm>
                          <a:prstGeom prst="rect">
                            <a:avLst/>
                          </a:prstGeom>
                        </pic:spPr>
                      </pic:pic>
                      <pic:pic>
                        <pic:nvPicPr>
                          <pic:cNvPr id="162" name="Image 162"/>
                          <pic:cNvPicPr/>
                        </pic:nvPicPr>
                        <pic:blipFill>
                          <a:blip r:embed="rId26" cstate="print"/>
                          <a:stretch>
                            <a:fillRect/>
                          </a:stretch>
                        </pic:blipFill>
                        <pic:spPr>
                          <a:xfrm>
                            <a:off x="2061908" y="827468"/>
                            <a:ext cx="73532" cy="73532"/>
                          </a:xfrm>
                          <a:prstGeom prst="rect">
                            <a:avLst/>
                          </a:prstGeom>
                        </pic:spPr>
                      </pic:pic>
                      <pic:pic>
                        <pic:nvPicPr>
                          <pic:cNvPr id="163" name="Image 163"/>
                          <pic:cNvPicPr/>
                        </pic:nvPicPr>
                        <pic:blipFill>
                          <a:blip r:embed="rId27" cstate="print"/>
                          <a:stretch>
                            <a:fillRect/>
                          </a:stretch>
                        </pic:blipFill>
                        <pic:spPr>
                          <a:xfrm>
                            <a:off x="2433764" y="882332"/>
                            <a:ext cx="73533" cy="73532"/>
                          </a:xfrm>
                          <a:prstGeom prst="rect">
                            <a:avLst/>
                          </a:prstGeom>
                        </pic:spPr>
                      </pic:pic>
                      <pic:pic>
                        <pic:nvPicPr>
                          <pic:cNvPr id="164" name="Image 164"/>
                          <pic:cNvPicPr/>
                        </pic:nvPicPr>
                        <pic:blipFill>
                          <a:blip r:embed="rId26" cstate="print"/>
                          <a:stretch>
                            <a:fillRect/>
                          </a:stretch>
                        </pic:blipFill>
                        <pic:spPr>
                          <a:xfrm>
                            <a:off x="2805620" y="937196"/>
                            <a:ext cx="73533" cy="73532"/>
                          </a:xfrm>
                          <a:prstGeom prst="rect">
                            <a:avLst/>
                          </a:prstGeom>
                        </pic:spPr>
                      </pic:pic>
                      <pic:pic>
                        <pic:nvPicPr>
                          <pic:cNvPr id="165" name="Image 165"/>
                          <pic:cNvPicPr/>
                        </pic:nvPicPr>
                        <pic:blipFill>
                          <a:blip r:embed="rId25" cstate="print"/>
                          <a:stretch>
                            <a:fillRect/>
                          </a:stretch>
                        </pic:blipFill>
                        <pic:spPr>
                          <a:xfrm>
                            <a:off x="3179000" y="1002728"/>
                            <a:ext cx="73532" cy="73533"/>
                          </a:xfrm>
                          <a:prstGeom prst="rect">
                            <a:avLst/>
                          </a:prstGeom>
                        </pic:spPr>
                      </pic:pic>
                      <pic:pic>
                        <pic:nvPicPr>
                          <pic:cNvPr id="166" name="Image 166"/>
                          <pic:cNvPicPr/>
                        </pic:nvPicPr>
                        <pic:blipFill>
                          <a:blip r:embed="rId24" cstate="print"/>
                          <a:stretch>
                            <a:fillRect/>
                          </a:stretch>
                        </pic:blipFill>
                        <pic:spPr>
                          <a:xfrm>
                            <a:off x="3550856" y="1057592"/>
                            <a:ext cx="73533" cy="73533"/>
                          </a:xfrm>
                          <a:prstGeom prst="rect">
                            <a:avLst/>
                          </a:prstGeom>
                        </pic:spPr>
                      </pic:pic>
                      <pic:pic>
                        <pic:nvPicPr>
                          <pic:cNvPr id="167" name="Image 167"/>
                          <pic:cNvPicPr/>
                        </pic:nvPicPr>
                        <pic:blipFill>
                          <a:blip r:embed="rId25" cstate="print"/>
                          <a:stretch>
                            <a:fillRect/>
                          </a:stretch>
                        </pic:blipFill>
                        <pic:spPr>
                          <a:xfrm>
                            <a:off x="3922712" y="1113980"/>
                            <a:ext cx="73532" cy="73532"/>
                          </a:xfrm>
                          <a:prstGeom prst="rect">
                            <a:avLst/>
                          </a:prstGeom>
                        </pic:spPr>
                      </pic:pic>
                      <pic:pic>
                        <pic:nvPicPr>
                          <pic:cNvPr id="168" name="Image 168"/>
                          <pic:cNvPicPr/>
                        </pic:nvPicPr>
                        <pic:blipFill>
                          <a:blip r:embed="rId27" cstate="print"/>
                          <a:stretch>
                            <a:fillRect/>
                          </a:stretch>
                        </pic:blipFill>
                        <pic:spPr>
                          <a:xfrm>
                            <a:off x="4296092" y="1177988"/>
                            <a:ext cx="73533" cy="73533"/>
                          </a:xfrm>
                          <a:prstGeom prst="rect">
                            <a:avLst/>
                          </a:prstGeom>
                        </pic:spPr>
                      </pic:pic>
                      <pic:pic>
                        <pic:nvPicPr>
                          <pic:cNvPr id="169" name="Image 169"/>
                          <pic:cNvPicPr/>
                        </pic:nvPicPr>
                        <pic:blipFill>
                          <a:blip r:embed="rId26" cstate="print"/>
                          <a:stretch>
                            <a:fillRect/>
                          </a:stretch>
                        </pic:blipFill>
                        <pic:spPr>
                          <a:xfrm>
                            <a:off x="4667948" y="1232852"/>
                            <a:ext cx="73532" cy="73533"/>
                          </a:xfrm>
                          <a:prstGeom prst="rect">
                            <a:avLst/>
                          </a:prstGeom>
                        </pic:spPr>
                      </pic:pic>
                      <pic:pic>
                        <pic:nvPicPr>
                          <pic:cNvPr id="170" name="Image 170"/>
                          <pic:cNvPicPr/>
                        </pic:nvPicPr>
                        <pic:blipFill>
                          <a:blip r:embed="rId26" cstate="print"/>
                          <a:stretch>
                            <a:fillRect/>
                          </a:stretch>
                        </pic:blipFill>
                        <pic:spPr>
                          <a:xfrm>
                            <a:off x="5039804" y="1289240"/>
                            <a:ext cx="73533" cy="73533"/>
                          </a:xfrm>
                          <a:prstGeom prst="rect">
                            <a:avLst/>
                          </a:prstGeom>
                        </pic:spPr>
                      </pic:pic>
                      <wps:wsp>
                        <wps:cNvPr id="171" name="Graphic 171"/>
                        <wps:cNvSpPr/>
                        <wps:spPr>
                          <a:xfrm>
                            <a:off x="981583" y="1030477"/>
                            <a:ext cx="1489710" cy="203200"/>
                          </a:xfrm>
                          <a:custGeom>
                            <a:avLst/>
                            <a:gdLst/>
                            <a:ahLst/>
                            <a:cxnLst/>
                            <a:rect l="l" t="t" r="r" b="b"/>
                            <a:pathLst>
                              <a:path w="1489710" h="203200">
                                <a:moveTo>
                                  <a:pt x="0" y="0"/>
                                </a:moveTo>
                                <a:lnTo>
                                  <a:pt x="372237" y="203073"/>
                                </a:lnTo>
                                <a:lnTo>
                                  <a:pt x="744093" y="138937"/>
                                </a:lnTo>
                                <a:lnTo>
                                  <a:pt x="1117473" y="109982"/>
                                </a:lnTo>
                                <a:lnTo>
                                  <a:pt x="1489329" y="203073"/>
                                </a:lnTo>
                              </a:path>
                            </a:pathLst>
                          </a:custGeom>
                          <a:ln w="28575">
                            <a:solidFill>
                              <a:srgbClr val="EC7C30"/>
                            </a:solidFill>
                            <a:prstDash val="solid"/>
                          </a:ln>
                        </wps:spPr>
                        <wps:bodyPr wrap="square" lIns="0" tIns="0" rIns="0" bIns="0" rtlCol="0">
                          <a:prstTxWarp prst="textNoShape">
                            <a:avLst/>
                          </a:prstTxWarp>
                          <a:noAutofit/>
                        </wps:bodyPr>
                      </wps:wsp>
                      <pic:pic>
                        <pic:nvPicPr>
                          <pic:cNvPr id="172" name="Image 172"/>
                          <pic:cNvPicPr/>
                        </pic:nvPicPr>
                        <pic:blipFill>
                          <a:blip r:embed="rId14" cstate="print"/>
                          <a:stretch>
                            <a:fillRect/>
                          </a:stretch>
                        </pic:blipFill>
                        <pic:spPr>
                          <a:xfrm>
                            <a:off x="932624" y="981392"/>
                            <a:ext cx="97916" cy="97917"/>
                          </a:xfrm>
                          <a:prstGeom prst="rect">
                            <a:avLst/>
                          </a:prstGeom>
                        </pic:spPr>
                      </pic:pic>
                      <pic:pic>
                        <pic:nvPicPr>
                          <pic:cNvPr id="173" name="Image 173"/>
                          <pic:cNvPicPr/>
                        </pic:nvPicPr>
                        <pic:blipFill>
                          <a:blip r:embed="rId12" cstate="print"/>
                          <a:stretch>
                            <a:fillRect/>
                          </a:stretch>
                        </pic:blipFill>
                        <pic:spPr>
                          <a:xfrm>
                            <a:off x="1304480" y="1184084"/>
                            <a:ext cx="97917" cy="97916"/>
                          </a:xfrm>
                          <a:prstGeom prst="rect">
                            <a:avLst/>
                          </a:prstGeom>
                        </pic:spPr>
                      </pic:pic>
                      <pic:pic>
                        <pic:nvPicPr>
                          <pic:cNvPr id="174" name="Image 174"/>
                          <pic:cNvPicPr/>
                        </pic:nvPicPr>
                        <pic:blipFill>
                          <a:blip r:embed="rId14" cstate="print"/>
                          <a:stretch>
                            <a:fillRect/>
                          </a:stretch>
                        </pic:blipFill>
                        <pic:spPr>
                          <a:xfrm>
                            <a:off x="1676336" y="1120076"/>
                            <a:ext cx="97917" cy="97917"/>
                          </a:xfrm>
                          <a:prstGeom prst="rect">
                            <a:avLst/>
                          </a:prstGeom>
                        </pic:spPr>
                      </pic:pic>
                      <pic:pic>
                        <pic:nvPicPr>
                          <pic:cNvPr id="175" name="Image 175"/>
                          <pic:cNvPicPr/>
                        </pic:nvPicPr>
                        <pic:blipFill>
                          <a:blip r:embed="rId19" cstate="print"/>
                          <a:stretch>
                            <a:fillRect/>
                          </a:stretch>
                        </pic:blipFill>
                        <pic:spPr>
                          <a:xfrm>
                            <a:off x="2049716" y="1091120"/>
                            <a:ext cx="97917" cy="97916"/>
                          </a:xfrm>
                          <a:prstGeom prst="rect">
                            <a:avLst/>
                          </a:prstGeom>
                        </pic:spPr>
                      </pic:pic>
                      <pic:pic>
                        <pic:nvPicPr>
                          <pic:cNvPr id="176" name="Image 176"/>
                          <pic:cNvPicPr/>
                        </pic:nvPicPr>
                        <pic:blipFill>
                          <a:blip r:embed="rId13" cstate="print"/>
                          <a:stretch>
                            <a:fillRect/>
                          </a:stretch>
                        </pic:blipFill>
                        <pic:spPr>
                          <a:xfrm>
                            <a:off x="2421572" y="1184084"/>
                            <a:ext cx="97916" cy="97916"/>
                          </a:xfrm>
                          <a:prstGeom prst="rect">
                            <a:avLst/>
                          </a:prstGeom>
                        </pic:spPr>
                      </pic:pic>
                      <pic:pic>
                        <pic:nvPicPr>
                          <pic:cNvPr id="177" name="Image 177"/>
                          <pic:cNvPicPr/>
                        </pic:nvPicPr>
                        <pic:blipFill>
                          <a:blip r:embed="rId23" cstate="print"/>
                          <a:stretch>
                            <a:fillRect/>
                          </a:stretch>
                        </pic:blipFill>
                        <pic:spPr>
                          <a:xfrm>
                            <a:off x="559625" y="704405"/>
                            <a:ext cx="97916" cy="97916"/>
                          </a:xfrm>
                          <a:prstGeom prst="rect">
                            <a:avLst/>
                          </a:prstGeom>
                        </pic:spPr>
                      </pic:pic>
                      <pic:pic>
                        <pic:nvPicPr>
                          <pic:cNvPr id="178" name="Image 178"/>
                          <pic:cNvPicPr/>
                        </pic:nvPicPr>
                        <pic:blipFill>
                          <a:blip r:embed="rId28" cstate="print"/>
                          <a:stretch>
                            <a:fillRect/>
                          </a:stretch>
                        </pic:blipFill>
                        <pic:spPr>
                          <a:xfrm>
                            <a:off x="1094105" y="2354897"/>
                            <a:ext cx="243840" cy="73532"/>
                          </a:xfrm>
                          <a:prstGeom prst="rect">
                            <a:avLst/>
                          </a:prstGeom>
                        </pic:spPr>
                      </pic:pic>
                      <pic:pic>
                        <pic:nvPicPr>
                          <pic:cNvPr id="179" name="Image 179"/>
                          <pic:cNvPicPr/>
                        </pic:nvPicPr>
                        <pic:blipFill>
                          <a:blip r:embed="rId29" cstate="print"/>
                          <a:stretch>
                            <a:fillRect/>
                          </a:stretch>
                        </pic:blipFill>
                        <pic:spPr>
                          <a:xfrm>
                            <a:off x="2356230" y="2354897"/>
                            <a:ext cx="243839" cy="73532"/>
                          </a:xfrm>
                          <a:prstGeom prst="rect">
                            <a:avLst/>
                          </a:prstGeom>
                        </pic:spPr>
                      </pic:pic>
                      <pic:pic>
                        <pic:nvPicPr>
                          <pic:cNvPr id="180" name="Image 180"/>
                          <pic:cNvPicPr/>
                        </pic:nvPicPr>
                        <pic:blipFill>
                          <a:blip r:embed="rId30" cstate="print"/>
                          <a:stretch>
                            <a:fillRect/>
                          </a:stretch>
                        </pic:blipFill>
                        <pic:spPr>
                          <a:xfrm>
                            <a:off x="3599179" y="2354897"/>
                            <a:ext cx="243839" cy="73532"/>
                          </a:xfrm>
                          <a:prstGeom prst="rect">
                            <a:avLst/>
                          </a:prstGeom>
                        </pic:spPr>
                      </pic:pic>
                      <wps:wsp>
                        <wps:cNvPr id="181" name="Graphic 181"/>
                        <wps:cNvSpPr/>
                        <wps:spPr>
                          <a:xfrm>
                            <a:off x="3175" y="3175"/>
                            <a:ext cx="5400040" cy="2572385"/>
                          </a:xfrm>
                          <a:custGeom>
                            <a:avLst/>
                            <a:gdLst/>
                            <a:ahLst/>
                            <a:cxnLst/>
                            <a:rect l="l" t="t" r="r" b="b"/>
                            <a:pathLst>
                              <a:path w="5400040" h="2572385">
                                <a:moveTo>
                                  <a:pt x="0" y="2572385"/>
                                </a:moveTo>
                                <a:lnTo>
                                  <a:pt x="5400040" y="2572385"/>
                                </a:lnTo>
                                <a:lnTo>
                                  <a:pt x="5400040" y="0"/>
                                </a:lnTo>
                                <a:lnTo>
                                  <a:pt x="0" y="0"/>
                                </a:lnTo>
                                <a:lnTo>
                                  <a:pt x="0" y="2572385"/>
                                </a:lnTo>
                                <a:close/>
                              </a:path>
                            </a:pathLst>
                          </a:custGeom>
                          <a:ln w="6350">
                            <a:solidFill>
                              <a:srgbClr val="A6A6A6"/>
                            </a:solidFill>
                            <a:prstDash val="solid"/>
                          </a:ln>
                        </wps:spPr>
                        <wps:bodyPr wrap="square" lIns="0" tIns="0" rIns="0" bIns="0" rtlCol="0">
                          <a:prstTxWarp prst="textNoShape">
                            <a:avLst/>
                          </a:prstTxWarp>
                          <a:noAutofit/>
                        </wps:bodyPr>
                      </wps:wsp>
                      <wps:wsp>
                        <wps:cNvPr id="182" name="Textbox 182"/>
                        <wps:cNvSpPr txBox="1"/>
                        <wps:spPr>
                          <a:xfrm>
                            <a:off x="3869690" y="2339720"/>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183" name="Textbox 183"/>
                        <wps:cNvSpPr txBox="1"/>
                        <wps:spPr>
                          <a:xfrm>
                            <a:off x="2626360" y="2339720"/>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184" name="Textbox 184"/>
                        <wps:cNvSpPr txBox="1"/>
                        <wps:spPr>
                          <a:xfrm>
                            <a:off x="1364233" y="2339720"/>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185" name="Textbox 185"/>
                        <wps:cNvSpPr txBox="1"/>
                        <wps:spPr>
                          <a:xfrm>
                            <a:off x="493648" y="2086482"/>
                            <a:ext cx="4713605" cy="114300"/>
                          </a:xfrm>
                          <a:prstGeom prst="rect">
                            <a:avLst/>
                          </a:prstGeom>
                        </wps:spPr>
                        <wps:txbx>
                          <w:txbxContent>
                            <w:p>
                              <w:pPr>
                                <w:tabs>
                                  <w:tab w:pos="586" w:val="left" w:leader="none"/>
                                  <w:tab w:pos="1173" w:val="left" w:leader="none"/>
                                  <w:tab w:pos="1759" w:val="left" w:leader="none"/>
                                  <w:tab w:pos="2345" w:val="left" w:leader="none"/>
                                  <w:tab w:pos="2932" w:val="left" w:leader="none"/>
                                  <w:tab w:pos="3518" w:val="left" w:leader="none"/>
                                  <w:tab w:pos="4105" w:val="left" w:leader="none"/>
                                  <w:tab w:pos="4691" w:val="left" w:leader="none"/>
                                  <w:tab w:pos="5278" w:val="left" w:leader="none"/>
                                  <w:tab w:pos="5864" w:val="left" w:leader="none"/>
                                  <w:tab w:pos="6451" w:val="left" w:leader="none"/>
                                  <w:tab w:pos="7037"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wps:txbx>
                        <wps:bodyPr wrap="square" lIns="0" tIns="0" rIns="0" bIns="0" rtlCol="0">
                          <a:noAutofit/>
                        </wps:bodyPr>
                      </wps:wsp>
                      <wps:wsp>
                        <wps:cNvPr id="186" name="Textbox 186"/>
                        <wps:cNvSpPr txBox="1"/>
                        <wps:spPr>
                          <a:xfrm>
                            <a:off x="150469" y="1932558"/>
                            <a:ext cx="16764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0%</w:t>
                              </w:r>
                            </w:p>
                          </w:txbxContent>
                        </wps:txbx>
                        <wps:bodyPr wrap="square" lIns="0" tIns="0" rIns="0" bIns="0" rtlCol="0">
                          <a:noAutofit/>
                        </wps:bodyPr>
                      </wps:wsp>
                      <wps:wsp>
                        <wps:cNvPr id="187" name="Textbox 187"/>
                        <wps:cNvSpPr txBox="1"/>
                        <wps:spPr>
                          <a:xfrm>
                            <a:off x="150469" y="1470786"/>
                            <a:ext cx="16764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5%</w:t>
                              </w:r>
                            </w:p>
                          </w:txbxContent>
                        </wps:txbx>
                        <wps:bodyPr wrap="square" lIns="0" tIns="0" rIns="0" bIns="0" rtlCol="0">
                          <a:noAutofit/>
                        </wps:bodyPr>
                      </wps:wsp>
                      <wps:wsp>
                        <wps:cNvPr id="188" name="Textbox 188"/>
                        <wps:cNvSpPr txBox="1"/>
                        <wps:spPr>
                          <a:xfrm>
                            <a:off x="4951348" y="1108328"/>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7.2%</w:t>
                              </w:r>
                            </w:p>
                          </w:txbxContent>
                        </wps:txbx>
                        <wps:bodyPr wrap="square" lIns="0" tIns="0" rIns="0" bIns="0" rtlCol="0">
                          <a:noAutofit/>
                        </wps:bodyPr>
                      </wps:wsp>
                      <wps:wsp>
                        <wps:cNvPr id="189" name="Textbox 189"/>
                        <wps:cNvSpPr txBox="1"/>
                        <wps:spPr>
                          <a:xfrm>
                            <a:off x="4578858" y="1052957"/>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7.8%</w:t>
                              </w:r>
                            </w:p>
                          </w:txbxContent>
                        </wps:txbx>
                        <wps:bodyPr wrap="square" lIns="0" tIns="0" rIns="0" bIns="0" rtlCol="0">
                          <a:noAutofit/>
                        </wps:bodyPr>
                      </wps:wsp>
                      <wps:wsp>
                        <wps:cNvPr id="190" name="Textbox 190"/>
                        <wps:cNvSpPr txBox="1"/>
                        <wps:spPr>
                          <a:xfrm>
                            <a:off x="4206747" y="997458"/>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8.4%</w:t>
                              </w:r>
                            </w:p>
                          </w:txbxContent>
                        </wps:txbx>
                        <wps:bodyPr wrap="square" lIns="0" tIns="0" rIns="0" bIns="0" rtlCol="0">
                          <a:noAutofit/>
                        </wps:bodyPr>
                      </wps:wsp>
                      <wps:wsp>
                        <wps:cNvPr id="191" name="Textbox 191"/>
                        <wps:cNvSpPr txBox="1"/>
                        <wps:spPr>
                          <a:xfrm>
                            <a:off x="3834257" y="932814"/>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9.1%</w:t>
                              </w:r>
                            </w:p>
                          </w:txbxContent>
                        </wps:txbx>
                        <wps:bodyPr wrap="square" lIns="0" tIns="0" rIns="0" bIns="0" rtlCol="0">
                          <a:noAutofit/>
                        </wps:bodyPr>
                      </wps:wsp>
                      <wps:wsp>
                        <wps:cNvPr id="192" name="Textbox 192"/>
                        <wps:cNvSpPr txBox="1"/>
                        <wps:spPr>
                          <a:xfrm>
                            <a:off x="3057398" y="822197"/>
                            <a:ext cx="671195" cy="181610"/>
                          </a:xfrm>
                          <a:prstGeom prst="rect">
                            <a:avLst/>
                          </a:prstGeom>
                        </wps:spPr>
                        <wps:txbx>
                          <w:txbxContent>
                            <w:p>
                              <w:pPr>
                                <w:spacing w:line="187" w:lineRule="auto" w:before="0"/>
                                <w:ind w:left="0" w:right="0" w:firstLine="0"/>
                                <w:jc w:val="left"/>
                                <w:rPr>
                                  <w:rFonts w:ascii="Calibri"/>
                                  <w:b/>
                                  <w:position w:val="-8"/>
                                  <w:sz w:val="20"/>
                                </w:rPr>
                              </w:pPr>
                              <w:r>
                                <w:rPr>
                                  <w:rFonts w:ascii="Calibri"/>
                                  <w:b/>
                                  <w:color w:val="A4A4A4"/>
                                  <w:sz w:val="20"/>
                                </w:rPr>
                                <w:t>10.3%</w:t>
                              </w:r>
                              <w:r>
                                <w:rPr>
                                  <w:rFonts w:ascii="Calibri"/>
                                  <w:b/>
                                  <w:color w:val="A4A4A4"/>
                                  <w:spacing w:val="58"/>
                                  <w:w w:val="150"/>
                                  <w:sz w:val="20"/>
                                </w:rPr>
                                <w:t> </w:t>
                              </w:r>
                              <w:r>
                                <w:rPr>
                                  <w:rFonts w:ascii="Calibri"/>
                                  <w:b/>
                                  <w:color w:val="A4A4A4"/>
                                  <w:spacing w:val="-4"/>
                                  <w:position w:val="-8"/>
                                  <w:sz w:val="20"/>
                                </w:rPr>
                                <w:t>9.7%</w:t>
                              </w:r>
                            </w:p>
                          </w:txbxContent>
                        </wps:txbx>
                        <wps:bodyPr wrap="square" lIns="0" tIns="0" rIns="0" bIns="0" rtlCol="0">
                          <a:noAutofit/>
                        </wps:bodyPr>
                      </wps:wsp>
                      <wps:wsp>
                        <wps:cNvPr id="193" name="Textbox 193"/>
                        <wps:cNvSpPr txBox="1"/>
                        <wps:spPr>
                          <a:xfrm>
                            <a:off x="1957958" y="667384"/>
                            <a:ext cx="1057910" cy="515620"/>
                          </a:xfrm>
                          <a:prstGeom prst="rect">
                            <a:avLst/>
                          </a:prstGeom>
                        </wps:spPr>
                        <wps:txbx>
                          <w:txbxContent>
                            <w:p>
                              <w:pPr>
                                <w:spacing w:line="187" w:lineRule="auto" w:before="0"/>
                                <w:ind w:left="0" w:right="0" w:firstLine="0"/>
                                <w:jc w:val="left"/>
                                <w:rPr>
                                  <w:rFonts w:ascii="Calibri"/>
                                  <w:b/>
                                  <w:position w:val="-13"/>
                                  <w:sz w:val="20"/>
                                </w:rPr>
                              </w:pPr>
                              <w:r>
                                <w:rPr>
                                  <w:rFonts w:ascii="Calibri"/>
                                  <w:b/>
                                  <w:color w:val="A4A4A4"/>
                                  <w:sz w:val="20"/>
                                </w:rPr>
                                <w:t>12.2%</w:t>
                              </w:r>
                              <w:r>
                                <w:rPr>
                                  <w:rFonts w:ascii="Calibri"/>
                                  <w:b/>
                                  <w:color w:val="A4A4A4"/>
                                  <w:spacing w:val="57"/>
                                  <w:sz w:val="20"/>
                                </w:rPr>
                                <w:t> </w:t>
                              </w:r>
                              <w:r>
                                <w:rPr>
                                  <w:rFonts w:ascii="Calibri"/>
                                  <w:b/>
                                  <w:color w:val="A4A4A4"/>
                                  <w:position w:val="-9"/>
                                  <w:sz w:val="20"/>
                                </w:rPr>
                                <w:t>11.6%</w:t>
                              </w:r>
                              <w:r>
                                <w:rPr>
                                  <w:rFonts w:ascii="Calibri"/>
                                  <w:b/>
                                  <w:color w:val="A4A4A4"/>
                                  <w:spacing w:val="-24"/>
                                  <w:position w:val="-9"/>
                                  <w:sz w:val="20"/>
                                </w:rPr>
                                <w:t> </w:t>
                              </w:r>
                              <w:r>
                                <w:rPr>
                                  <w:rFonts w:ascii="Calibri"/>
                                  <w:b/>
                                  <w:color w:val="A4A4A4"/>
                                  <w:spacing w:val="-2"/>
                                  <w:position w:val="-13"/>
                                  <w:sz w:val="20"/>
                                </w:rPr>
                                <w:t>11.0%</w:t>
                              </w:r>
                            </w:p>
                            <w:p>
                              <w:pPr>
                                <w:spacing w:line="200" w:lineRule="exact" w:before="86"/>
                                <w:ind w:left="36" w:right="0" w:firstLine="0"/>
                                <w:jc w:val="left"/>
                                <w:rPr>
                                  <w:rFonts w:ascii="Calibri"/>
                                  <w:b/>
                                  <w:sz w:val="20"/>
                                </w:rPr>
                              </w:pPr>
                              <w:r>
                                <w:rPr>
                                  <w:rFonts w:ascii="Calibri"/>
                                  <w:b/>
                                  <w:color w:val="EC7C30"/>
                                  <w:spacing w:val="-4"/>
                                  <w:sz w:val="20"/>
                                </w:rPr>
                                <w:t>9.2%</w:t>
                              </w:r>
                            </w:p>
                            <w:p>
                              <w:pPr>
                                <w:spacing w:line="196" w:lineRule="exact" w:before="0"/>
                                <w:ind w:left="52" w:right="0" w:firstLine="0"/>
                                <w:jc w:val="center"/>
                                <w:rPr>
                                  <w:rFonts w:ascii="Calibri"/>
                                  <w:b/>
                                  <w:sz w:val="20"/>
                                </w:rPr>
                              </w:pPr>
                              <w:r>
                                <w:rPr>
                                  <w:rFonts w:ascii="Calibri"/>
                                  <w:b/>
                                  <w:color w:val="EC7C30"/>
                                  <w:spacing w:val="-4"/>
                                  <w:sz w:val="20"/>
                                </w:rPr>
                                <w:t>8.2%</w:t>
                              </w:r>
                            </w:p>
                          </w:txbxContent>
                        </wps:txbx>
                        <wps:bodyPr wrap="square" lIns="0" tIns="0" rIns="0" bIns="0" rtlCol="0">
                          <a:noAutofit/>
                        </wps:bodyPr>
                      </wps:wsp>
                      <wps:wsp>
                        <wps:cNvPr id="194" name="Textbox 194"/>
                        <wps:cNvSpPr txBox="1"/>
                        <wps:spPr>
                          <a:xfrm>
                            <a:off x="1630552" y="970914"/>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8.9%</w:t>
                              </w:r>
                            </w:p>
                          </w:txbxContent>
                        </wps:txbx>
                        <wps:bodyPr wrap="square" lIns="0" tIns="0" rIns="0" bIns="0" rtlCol="0">
                          <a:noAutofit/>
                        </wps:bodyPr>
                      </wps:wsp>
                      <wps:wsp>
                        <wps:cNvPr id="195" name="Textbox 195"/>
                        <wps:cNvSpPr txBox="1"/>
                        <wps:spPr>
                          <a:xfrm>
                            <a:off x="1248917" y="1062355"/>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8.2%</w:t>
                              </w:r>
                            </w:p>
                          </w:txbxContent>
                        </wps:txbx>
                        <wps:bodyPr wrap="square" lIns="0" tIns="0" rIns="0" bIns="0" rtlCol="0">
                          <a:noAutofit/>
                        </wps:bodyPr>
                      </wps:wsp>
                      <wps:wsp>
                        <wps:cNvPr id="196" name="Textbox 196"/>
                        <wps:cNvSpPr txBox="1"/>
                        <wps:spPr>
                          <a:xfrm>
                            <a:off x="85852" y="1009269"/>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10%</w:t>
                              </w:r>
                            </w:p>
                          </w:txbxContent>
                        </wps:txbx>
                        <wps:bodyPr wrap="square" lIns="0" tIns="0" rIns="0" bIns="0" rtlCol="0">
                          <a:noAutofit/>
                        </wps:bodyPr>
                      </wps:wsp>
                      <wps:wsp>
                        <wps:cNvPr id="197" name="Textbox 197"/>
                        <wps:cNvSpPr txBox="1"/>
                        <wps:spPr>
                          <a:xfrm>
                            <a:off x="833500" y="607313"/>
                            <a:ext cx="1092835" cy="388620"/>
                          </a:xfrm>
                          <a:prstGeom prst="rect">
                            <a:avLst/>
                          </a:prstGeom>
                        </wps:spPr>
                        <wps:txbx>
                          <w:txbxContent>
                            <w:p>
                              <w:pPr>
                                <w:spacing w:line="220" w:lineRule="exact" w:before="0"/>
                                <w:ind w:left="46" w:right="0" w:firstLine="0"/>
                                <w:jc w:val="left"/>
                                <w:rPr>
                                  <w:rFonts w:ascii="Calibri"/>
                                  <w:b/>
                                  <w:sz w:val="20"/>
                                </w:rPr>
                              </w:pPr>
                              <w:r>
                                <w:rPr>
                                  <w:rFonts w:ascii="Calibri"/>
                                  <w:b/>
                                  <w:color w:val="A4A4A4"/>
                                  <w:position w:val="2"/>
                                  <w:sz w:val="20"/>
                                </w:rPr>
                                <w:t>13.1%</w:t>
                              </w:r>
                              <w:r>
                                <w:rPr>
                                  <w:rFonts w:ascii="Calibri"/>
                                  <w:b/>
                                  <w:color w:val="A4A4A4"/>
                                  <w:spacing w:val="13"/>
                                  <w:position w:val="2"/>
                                  <w:sz w:val="20"/>
                                </w:rPr>
                                <w:t> </w:t>
                              </w:r>
                              <w:r>
                                <w:rPr>
                                  <w:rFonts w:ascii="Calibri"/>
                                  <w:b/>
                                  <w:color w:val="A4A4A4"/>
                                  <w:sz w:val="20"/>
                                </w:rPr>
                                <w:t>13.0%</w:t>
                              </w:r>
                              <w:r>
                                <w:rPr>
                                  <w:rFonts w:ascii="Calibri"/>
                                  <w:b/>
                                  <w:color w:val="A4A4A4"/>
                                  <w:spacing w:val="33"/>
                                  <w:sz w:val="20"/>
                                </w:rPr>
                                <w:t> </w:t>
                              </w:r>
                              <w:r>
                                <w:rPr>
                                  <w:rFonts w:ascii="Calibri"/>
                                  <w:b/>
                                  <w:color w:val="A4A4A4"/>
                                  <w:spacing w:val="-2"/>
                                  <w:sz w:val="20"/>
                                </w:rPr>
                                <w:t>12.9%</w:t>
                              </w:r>
                            </w:p>
                            <w:p>
                              <w:pPr>
                                <w:spacing w:line="240" w:lineRule="exact" w:before="152"/>
                                <w:ind w:left="0" w:right="0" w:firstLine="0"/>
                                <w:jc w:val="left"/>
                                <w:rPr>
                                  <w:rFonts w:ascii="Calibri"/>
                                  <w:b/>
                                  <w:sz w:val="20"/>
                                </w:rPr>
                              </w:pPr>
                              <w:r>
                                <w:rPr>
                                  <w:rFonts w:ascii="Calibri"/>
                                  <w:b/>
                                  <w:color w:val="EC7C30"/>
                                  <w:spacing w:val="-2"/>
                                  <w:sz w:val="20"/>
                                </w:rPr>
                                <w:t>10.4%</w:t>
                              </w:r>
                            </w:p>
                          </w:txbxContent>
                        </wps:txbx>
                        <wps:bodyPr wrap="square" lIns="0" tIns="0" rIns="0" bIns="0" rtlCol="0">
                          <a:noAutofit/>
                        </wps:bodyPr>
                      </wps:wsp>
                      <wps:wsp>
                        <wps:cNvPr id="198" name="Textbox 198"/>
                        <wps:cNvSpPr txBox="1"/>
                        <wps:spPr>
                          <a:xfrm>
                            <a:off x="450723" y="523112"/>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4471C4"/>
                                  <w:spacing w:val="-2"/>
                                  <w:sz w:val="20"/>
                                </w:rPr>
                                <w:t>13.4%</w:t>
                              </w:r>
                            </w:p>
                          </w:txbxContent>
                        </wps:txbx>
                        <wps:bodyPr wrap="square" lIns="0" tIns="0" rIns="0" bIns="0" rtlCol="0">
                          <a:noAutofit/>
                        </wps:bodyPr>
                      </wps:wsp>
                      <wps:wsp>
                        <wps:cNvPr id="199" name="Textbox 199"/>
                        <wps:cNvSpPr txBox="1"/>
                        <wps:spPr>
                          <a:xfrm>
                            <a:off x="85852" y="547497"/>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15%</w:t>
                              </w:r>
                            </w:p>
                          </w:txbxContent>
                        </wps:txbx>
                        <wps:bodyPr wrap="square" lIns="0" tIns="0" rIns="0" bIns="0" rtlCol="0">
                          <a:noAutofit/>
                        </wps:bodyPr>
                      </wps:wsp>
                      <wps:wsp>
                        <wps:cNvPr id="200" name="Textbox 200"/>
                        <wps:cNvSpPr txBox="1"/>
                        <wps:spPr>
                          <a:xfrm>
                            <a:off x="85852" y="86106"/>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20%</w:t>
                              </w:r>
                            </w:p>
                          </w:txbxContent>
                        </wps:txbx>
                        <wps:bodyPr wrap="square" lIns="0" tIns="0" rIns="0" bIns="0" rtlCol="0">
                          <a:noAutofit/>
                        </wps:bodyPr>
                      </wps:wsp>
                    </wpg:wgp>
                  </a:graphicData>
                </a:graphic>
              </wp:anchor>
            </w:drawing>
          </mc:Choice>
          <mc:Fallback>
            <w:pict>
              <v:group style="position:absolute;margin-left:84.800003pt;margin-top:10.424902pt;width:425.7pt;height:203.05pt;mso-position-horizontal-relative:page;mso-position-vertical-relative:paragraph;z-index:-15726080;mso-wrap-distance-left:0;mso-wrap-distance-right:0" id="docshapegroup152" coordorigin="1696,208" coordsize="8514,4061">
                <v:shape style="position:absolute;left:2298;top:435;width:64;height:2908" id="docshape153" coordorigin="2299,436" coordsize="64,2908" path="m2362,3343l2362,436m2299,3343l2362,3343m2299,2616l2362,2616m2299,1889l2362,1889m2299,1162l2362,1162m2299,436l2362,436e" filled="false" stroked="true" strokeweight=".5pt" strokecolor="#888888">
                  <v:path arrowok="t"/>
                  <v:stroke dashstyle="solid"/>
                </v:shape>
                <v:shape style="position:absolute;left:2362;top:3343;width:7623;height:58" id="docshape154" coordorigin="2362,3343" coordsize="7623,58" path="m2362,3343l9985,3343m2362,3343l2362,3400m2950,3343l2950,3400m3535,3343l3535,3400m4121,3343l4121,3400m4709,3343l4709,3400m5294,3343l5294,3400m5880,3343l5880,3400m6468,3343l6468,3400m7054,3343l7054,3400m7639,3343l7639,3400m8225,3343l8225,3400m8813,3343l8813,3400m9398,3343l9398,3400m9985,3343l9985,3400e" filled="false" stroked="true" strokeweight=".75pt" strokecolor="#d9d9d9">
                  <v:path arrowok="t"/>
                  <v:stroke dashstyle="solid"/>
                </v:shape>
                <v:shape style="position:absolute;left:3241;top:1438;width:6450;height:858" id="docshape155" coordorigin="3242,1439" coordsize="6450,858" path="m3242,1439l3828,1452,4414,1467,5002,1570,5587,1656,6173,1743,6761,1846,7346,1932,7932,2021,8520,2122,9106,2208,9692,2296e" filled="false" stroked="true" strokeweight="2.25pt" strokecolor="#a4a4a4">
                  <v:path arrowok="t"/>
                  <v:stroke dashstyle="solid"/>
                </v:shape>
                <v:shape style="position:absolute;left:3183;top:1379;width:116;height:116" type="#_x0000_t75" id="docshape156" stroked="false">
                  <v:imagedata r:id="rId24" o:title=""/>
                </v:shape>
                <v:shape style="position:absolute;left:3769;top:1394;width:116;height:116" type="#_x0000_t75" id="docshape157" stroked="false">
                  <v:imagedata r:id="rId24" o:title=""/>
                </v:shape>
                <v:shape style="position:absolute;left:4355;top:1408;width:116;height:116" type="#_x0000_t75" id="docshape158" stroked="false">
                  <v:imagedata r:id="rId25" o:title=""/>
                </v:shape>
                <v:shape style="position:absolute;left:4943;top:1511;width:116;height:116" type="#_x0000_t75" id="docshape159" stroked="false">
                  <v:imagedata r:id="rId26" o:title=""/>
                </v:shape>
                <v:shape style="position:absolute;left:5528;top:1598;width:116;height:116" type="#_x0000_t75" id="docshape160" stroked="false">
                  <v:imagedata r:id="rId27" o:title=""/>
                </v:shape>
                <v:shape style="position:absolute;left:6114;top:1684;width:116;height:116" type="#_x0000_t75" id="docshape161" stroked="false">
                  <v:imagedata r:id="rId26" o:title=""/>
                </v:shape>
                <v:shape style="position:absolute;left:6702;top:1787;width:116;height:116" type="#_x0000_t75" id="docshape162" stroked="false">
                  <v:imagedata r:id="rId25" o:title=""/>
                </v:shape>
                <v:shape style="position:absolute;left:7287;top:1874;width:116;height:116" type="#_x0000_t75" id="docshape163" stroked="false">
                  <v:imagedata r:id="rId24" o:title=""/>
                </v:shape>
                <v:shape style="position:absolute;left:7873;top:1962;width:116;height:116" type="#_x0000_t75" id="docshape164" stroked="false">
                  <v:imagedata r:id="rId25" o:title=""/>
                </v:shape>
                <v:shape style="position:absolute;left:8461;top:2063;width:116;height:116" type="#_x0000_t75" id="docshape165" stroked="false">
                  <v:imagedata r:id="rId27" o:title=""/>
                </v:shape>
                <v:shape style="position:absolute;left:9047;top:2150;width:116;height:116" type="#_x0000_t75" id="docshape166" stroked="false">
                  <v:imagedata r:id="rId26" o:title=""/>
                </v:shape>
                <v:shape style="position:absolute;left:9632;top:2238;width:116;height:116" type="#_x0000_t75" id="docshape167" stroked="false">
                  <v:imagedata r:id="rId26" o:title=""/>
                </v:shape>
                <v:shape style="position:absolute;left:3241;top:1831;width:2346;height:320" id="docshape168" coordorigin="3242,1831" coordsize="2346,320" path="m3242,1831l3828,2151,4414,2050,5002,2004,5587,2151e" filled="false" stroked="true" strokeweight="2.25pt" strokecolor="#ec7c30">
                  <v:path arrowok="t"/>
                  <v:stroke dashstyle="solid"/>
                </v:shape>
                <v:shape style="position:absolute;left:3164;top:1754;width:155;height:155" type="#_x0000_t75" id="docshape169" stroked="false">
                  <v:imagedata r:id="rId14" o:title=""/>
                </v:shape>
                <v:shape style="position:absolute;left:3750;top:2073;width:155;height:155" type="#_x0000_t75" id="docshape170" stroked="false">
                  <v:imagedata r:id="rId12" o:title=""/>
                </v:shape>
                <v:shape style="position:absolute;left:4335;top:1972;width:155;height:155" type="#_x0000_t75" id="docshape171" stroked="false">
                  <v:imagedata r:id="rId14" o:title=""/>
                </v:shape>
                <v:shape style="position:absolute;left:4923;top:1926;width:155;height:155" type="#_x0000_t75" id="docshape172" stroked="false">
                  <v:imagedata r:id="rId19" o:title=""/>
                </v:shape>
                <v:shape style="position:absolute;left:5509;top:2073;width:155;height:155" type="#_x0000_t75" id="docshape173" stroked="false">
                  <v:imagedata r:id="rId13" o:title=""/>
                </v:shape>
                <v:shape style="position:absolute;left:2577;top:1317;width:155;height:155" type="#_x0000_t75" id="docshape174" stroked="false">
                  <v:imagedata r:id="rId23" o:title=""/>
                </v:shape>
                <v:shape style="position:absolute;left:3419;top:3917;width:384;height:116" type="#_x0000_t75" id="docshape175" stroked="false">
                  <v:imagedata r:id="rId28" o:title=""/>
                </v:shape>
                <v:shape style="position:absolute;left:5406;top:3917;width:384;height:116" type="#_x0000_t75" id="docshape176" stroked="false">
                  <v:imagedata r:id="rId29" o:title=""/>
                </v:shape>
                <v:shape style="position:absolute;left:7364;top:3917;width:384;height:116" type="#_x0000_t75" id="docshape177" stroked="false">
                  <v:imagedata r:id="rId30" o:title=""/>
                </v:shape>
                <v:rect style="position:absolute;left:1701;top:213;width:8504;height:4051" id="docshape178" filled="false" stroked="true" strokeweight=".5pt" strokecolor="#a6a6a6">
                  <v:stroke dashstyle="solid"/>
                </v:rect>
                <v:shape style="position:absolute;left:7790;top:3893;width:789;height:180" type="#_x0000_t202" id="docshape179"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5832;top:3893;width:1261;height:180" type="#_x0000_t202" id="docshape180"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3844;top:3893;width:1290;height:180" type="#_x0000_t202" id="docshape181"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2473;top:3494;width:7423;height:180" type="#_x0000_t202" id="docshape182" filled="false" stroked="false">
                  <v:textbox inset="0,0,0,0">
                    <w:txbxContent>
                      <w:p>
                        <w:pPr>
                          <w:tabs>
                            <w:tab w:pos="586" w:val="left" w:leader="none"/>
                            <w:tab w:pos="1173" w:val="left" w:leader="none"/>
                            <w:tab w:pos="1759" w:val="left" w:leader="none"/>
                            <w:tab w:pos="2345" w:val="left" w:leader="none"/>
                            <w:tab w:pos="2932" w:val="left" w:leader="none"/>
                            <w:tab w:pos="3518" w:val="left" w:leader="none"/>
                            <w:tab w:pos="4105" w:val="left" w:leader="none"/>
                            <w:tab w:pos="4691" w:val="left" w:leader="none"/>
                            <w:tab w:pos="5278" w:val="left" w:leader="none"/>
                            <w:tab w:pos="5864" w:val="left" w:leader="none"/>
                            <w:tab w:pos="6451" w:val="left" w:leader="none"/>
                            <w:tab w:pos="7037" w:val="left" w:leader="none"/>
                          </w:tabs>
                          <w:spacing w:line="180" w:lineRule="exact" w:before="0"/>
                          <w:ind w:left="0" w:right="0" w:firstLine="0"/>
                          <w:jc w:val="left"/>
                          <w:rPr>
                            <w:rFonts w:ascii="Calibri"/>
                            <w:sz w:val="18"/>
                          </w:rPr>
                        </w:pPr>
                        <w:r>
                          <w:rPr>
                            <w:rFonts w:ascii="Calibri"/>
                            <w:color w:val="585858"/>
                            <w:spacing w:val="-4"/>
                            <w:sz w:val="18"/>
                          </w:rPr>
                          <w:t>2017</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v:textbox>
                  <w10:wrap type="none"/>
                </v:shape>
                <v:shape style="position:absolute;left:1932;top:3251;width:264;height:200" type="#_x0000_t202" id="docshape183" filled="false" stroked="false">
                  <v:textbox inset="0,0,0,0">
                    <w:txbxContent>
                      <w:p>
                        <w:pPr>
                          <w:spacing w:line="199" w:lineRule="exact" w:before="0"/>
                          <w:ind w:left="0" w:right="0" w:firstLine="0"/>
                          <w:jc w:val="left"/>
                          <w:rPr>
                            <w:rFonts w:ascii="Calibri"/>
                            <w:sz w:val="20"/>
                          </w:rPr>
                        </w:pPr>
                        <w:r>
                          <w:rPr>
                            <w:rFonts w:ascii="Calibri"/>
                            <w:spacing w:val="-5"/>
                            <w:sz w:val="20"/>
                          </w:rPr>
                          <w:t>0%</w:t>
                        </w:r>
                      </w:p>
                    </w:txbxContent>
                  </v:textbox>
                  <w10:wrap type="none"/>
                </v:shape>
                <v:shape style="position:absolute;left:1932;top:2524;width:264;height:200" type="#_x0000_t202" id="docshape184" filled="false" stroked="false">
                  <v:textbox inset="0,0,0,0">
                    <w:txbxContent>
                      <w:p>
                        <w:pPr>
                          <w:spacing w:line="199" w:lineRule="exact" w:before="0"/>
                          <w:ind w:left="0" w:right="0" w:firstLine="0"/>
                          <w:jc w:val="left"/>
                          <w:rPr>
                            <w:rFonts w:ascii="Calibri"/>
                            <w:sz w:val="20"/>
                          </w:rPr>
                        </w:pPr>
                        <w:r>
                          <w:rPr>
                            <w:rFonts w:ascii="Calibri"/>
                            <w:spacing w:val="-5"/>
                            <w:sz w:val="20"/>
                          </w:rPr>
                          <w:t>5%</w:t>
                        </w:r>
                      </w:p>
                    </w:txbxContent>
                  </v:textbox>
                  <w10:wrap type="none"/>
                </v:shape>
                <v:shape style="position:absolute;left:9493;top:1953;width:420;height:200" type="#_x0000_t202" id="docshape185"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7.2%</w:t>
                        </w:r>
                      </w:p>
                    </w:txbxContent>
                  </v:textbox>
                  <w10:wrap type="none"/>
                </v:shape>
                <v:shape style="position:absolute;left:8906;top:1866;width:420;height:200" type="#_x0000_t202" id="docshape186"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7.8%</w:t>
                        </w:r>
                      </w:p>
                    </w:txbxContent>
                  </v:textbox>
                  <w10:wrap type="none"/>
                </v:shape>
                <v:shape style="position:absolute;left:8320;top:1779;width:420;height:200" type="#_x0000_t202" id="docshape187"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8.4%</w:t>
                        </w:r>
                      </w:p>
                    </w:txbxContent>
                  </v:textbox>
                  <w10:wrap type="none"/>
                </v:shape>
                <v:shape style="position:absolute;left:7734;top:1677;width:420;height:200" type="#_x0000_t202" id="docshape188"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9.1%</w:t>
                        </w:r>
                      </w:p>
                    </w:txbxContent>
                  </v:textbox>
                  <w10:wrap type="none"/>
                </v:shape>
                <v:shape style="position:absolute;left:6510;top:1503;width:1057;height:286" type="#_x0000_t202" id="docshape189" filled="false" stroked="false">
                  <v:textbox inset="0,0,0,0">
                    <w:txbxContent>
                      <w:p>
                        <w:pPr>
                          <w:spacing w:line="187" w:lineRule="auto" w:before="0"/>
                          <w:ind w:left="0" w:right="0" w:firstLine="0"/>
                          <w:jc w:val="left"/>
                          <w:rPr>
                            <w:rFonts w:ascii="Calibri"/>
                            <w:b/>
                            <w:position w:val="-8"/>
                            <w:sz w:val="20"/>
                          </w:rPr>
                        </w:pPr>
                        <w:r>
                          <w:rPr>
                            <w:rFonts w:ascii="Calibri"/>
                            <w:b/>
                            <w:color w:val="A4A4A4"/>
                            <w:sz w:val="20"/>
                          </w:rPr>
                          <w:t>10.3%</w:t>
                        </w:r>
                        <w:r>
                          <w:rPr>
                            <w:rFonts w:ascii="Calibri"/>
                            <w:b/>
                            <w:color w:val="A4A4A4"/>
                            <w:spacing w:val="58"/>
                            <w:w w:val="150"/>
                            <w:sz w:val="20"/>
                          </w:rPr>
                          <w:t> </w:t>
                        </w:r>
                        <w:r>
                          <w:rPr>
                            <w:rFonts w:ascii="Calibri"/>
                            <w:b/>
                            <w:color w:val="A4A4A4"/>
                            <w:spacing w:val="-4"/>
                            <w:position w:val="-8"/>
                            <w:sz w:val="20"/>
                          </w:rPr>
                          <w:t>9.7%</w:t>
                        </w:r>
                      </w:p>
                    </w:txbxContent>
                  </v:textbox>
                  <w10:wrap type="none"/>
                </v:shape>
                <v:shape style="position:absolute;left:4779;top:1259;width:1666;height:812" type="#_x0000_t202" id="docshape190" filled="false" stroked="false">
                  <v:textbox inset="0,0,0,0">
                    <w:txbxContent>
                      <w:p>
                        <w:pPr>
                          <w:spacing w:line="187" w:lineRule="auto" w:before="0"/>
                          <w:ind w:left="0" w:right="0" w:firstLine="0"/>
                          <w:jc w:val="left"/>
                          <w:rPr>
                            <w:rFonts w:ascii="Calibri"/>
                            <w:b/>
                            <w:position w:val="-13"/>
                            <w:sz w:val="20"/>
                          </w:rPr>
                        </w:pPr>
                        <w:r>
                          <w:rPr>
                            <w:rFonts w:ascii="Calibri"/>
                            <w:b/>
                            <w:color w:val="A4A4A4"/>
                            <w:sz w:val="20"/>
                          </w:rPr>
                          <w:t>12.2%</w:t>
                        </w:r>
                        <w:r>
                          <w:rPr>
                            <w:rFonts w:ascii="Calibri"/>
                            <w:b/>
                            <w:color w:val="A4A4A4"/>
                            <w:spacing w:val="57"/>
                            <w:sz w:val="20"/>
                          </w:rPr>
                          <w:t> </w:t>
                        </w:r>
                        <w:r>
                          <w:rPr>
                            <w:rFonts w:ascii="Calibri"/>
                            <w:b/>
                            <w:color w:val="A4A4A4"/>
                            <w:position w:val="-9"/>
                            <w:sz w:val="20"/>
                          </w:rPr>
                          <w:t>11.6%</w:t>
                        </w:r>
                        <w:r>
                          <w:rPr>
                            <w:rFonts w:ascii="Calibri"/>
                            <w:b/>
                            <w:color w:val="A4A4A4"/>
                            <w:spacing w:val="-24"/>
                            <w:position w:val="-9"/>
                            <w:sz w:val="20"/>
                          </w:rPr>
                          <w:t> </w:t>
                        </w:r>
                        <w:r>
                          <w:rPr>
                            <w:rFonts w:ascii="Calibri"/>
                            <w:b/>
                            <w:color w:val="A4A4A4"/>
                            <w:spacing w:val="-2"/>
                            <w:position w:val="-13"/>
                            <w:sz w:val="20"/>
                          </w:rPr>
                          <w:t>11.0%</w:t>
                        </w:r>
                      </w:p>
                      <w:p>
                        <w:pPr>
                          <w:spacing w:line="200" w:lineRule="exact" w:before="86"/>
                          <w:ind w:left="36" w:right="0" w:firstLine="0"/>
                          <w:jc w:val="left"/>
                          <w:rPr>
                            <w:rFonts w:ascii="Calibri"/>
                            <w:b/>
                            <w:sz w:val="20"/>
                          </w:rPr>
                        </w:pPr>
                        <w:r>
                          <w:rPr>
                            <w:rFonts w:ascii="Calibri"/>
                            <w:b/>
                            <w:color w:val="EC7C30"/>
                            <w:spacing w:val="-4"/>
                            <w:sz w:val="20"/>
                          </w:rPr>
                          <w:t>9.2%</w:t>
                        </w:r>
                      </w:p>
                      <w:p>
                        <w:pPr>
                          <w:spacing w:line="196" w:lineRule="exact" w:before="0"/>
                          <w:ind w:left="52" w:right="0" w:firstLine="0"/>
                          <w:jc w:val="center"/>
                          <w:rPr>
                            <w:rFonts w:ascii="Calibri"/>
                            <w:b/>
                            <w:sz w:val="20"/>
                          </w:rPr>
                        </w:pPr>
                        <w:r>
                          <w:rPr>
                            <w:rFonts w:ascii="Calibri"/>
                            <w:b/>
                            <w:color w:val="EC7C30"/>
                            <w:spacing w:val="-4"/>
                            <w:sz w:val="20"/>
                          </w:rPr>
                          <w:t>8.2%</w:t>
                        </w:r>
                      </w:p>
                    </w:txbxContent>
                  </v:textbox>
                  <w10:wrap type="none"/>
                </v:shape>
                <v:shape style="position:absolute;left:4263;top:1737;width:420;height:200" type="#_x0000_t202" id="docshape191"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8.9%</w:t>
                        </w:r>
                      </w:p>
                    </w:txbxContent>
                  </v:textbox>
                  <w10:wrap type="none"/>
                </v:shape>
                <v:shape style="position:absolute;left:3662;top:1881;width:420;height:200" type="#_x0000_t202" id="docshape192"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8.2%</w:t>
                        </w:r>
                      </w:p>
                    </w:txbxContent>
                  </v:textbox>
                  <w10:wrap type="none"/>
                </v:shape>
                <v:shape style="position:absolute;left:1831;top:1797;width:367;height:200" type="#_x0000_t202" id="docshape193" filled="false" stroked="false">
                  <v:textbox inset="0,0,0,0">
                    <w:txbxContent>
                      <w:p>
                        <w:pPr>
                          <w:spacing w:line="199" w:lineRule="exact" w:before="0"/>
                          <w:ind w:left="0" w:right="0" w:firstLine="0"/>
                          <w:jc w:val="left"/>
                          <w:rPr>
                            <w:rFonts w:ascii="Calibri"/>
                            <w:sz w:val="20"/>
                          </w:rPr>
                        </w:pPr>
                        <w:r>
                          <w:rPr>
                            <w:rFonts w:ascii="Calibri"/>
                            <w:spacing w:val="-5"/>
                            <w:sz w:val="20"/>
                          </w:rPr>
                          <w:t>10%</w:t>
                        </w:r>
                      </w:p>
                    </w:txbxContent>
                  </v:textbox>
                  <w10:wrap type="none"/>
                </v:shape>
                <v:shape style="position:absolute;left:3008;top:1164;width:1721;height:612" type="#_x0000_t202" id="docshape194" filled="false" stroked="false">
                  <v:textbox inset="0,0,0,0">
                    <w:txbxContent>
                      <w:p>
                        <w:pPr>
                          <w:spacing w:line="220" w:lineRule="exact" w:before="0"/>
                          <w:ind w:left="46" w:right="0" w:firstLine="0"/>
                          <w:jc w:val="left"/>
                          <w:rPr>
                            <w:rFonts w:ascii="Calibri"/>
                            <w:b/>
                            <w:sz w:val="20"/>
                          </w:rPr>
                        </w:pPr>
                        <w:r>
                          <w:rPr>
                            <w:rFonts w:ascii="Calibri"/>
                            <w:b/>
                            <w:color w:val="A4A4A4"/>
                            <w:position w:val="2"/>
                            <w:sz w:val="20"/>
                          </w:rPr>
                          <w:t>13.1%</w:t>
                        </w:r>
                        <w:r>
                          <w:rPr>
                            <w:rFonts w:ascii="Calibri"/>
                            <w:b/>
                            <w:color w:val="A4A4A4"/>
                            <w:spacing w:val="13"/>
                            <w:position w:val="2"/>
                            <w:sz w:val="20"/>
                          </w:rPr>
                          <w:t> </w:t>
                        </w:r>
                        <w:r>
                          <w:rPr>
                            <w:rFonts w:ascii="Calibri"/>
                            <w:b/>
                            <w:color w:val="A4A4A4"/>
                            <w:sz w:val="20"/>
                          </w:rPr>
                          <w:t>13.0%</w:t>
                        </w:r>
                        <w:r>
                          <w:rPr>
                            <w:rFonts w:ascii="Calibri"/>
                            <w:b/>
                            <w:color w:val="A4A4A4"/>
                            <w:spacing w:val="33"/>
                            <w:sz w:val="20"/>
                          </w:rPr>
                          <w:t> </w:t>
                        </w:r>
                        <w:r>
                          <w:rPr>
                            <w:rFonts w:ascii="Calibri"/>
                            <w:b/>
                            <w:color w:val="A4A4A4"/>
                            <w:spacing w:val="-2"/>
                            <w:sz w:val="20"/>
                          </w:rPr>
                          <w:t>12.9%</w:t>
                        </w:r>
                      </w:p>
                      <w:p>
                        <w:pPr>
                          <w:spacing w:line="240" w:lineRule="exact" w:before="152"/>
                          <w:ind w:left="0" w:right="0" w:firstLine="0"/>
                          <w:jc w:val="left"/>
                          <w:rPr>
                            <w:rFonts w:ascii="Calibri"/>
                            <w:b/>
                            <w:sz w:val="20"/>
                          </w:rPr>
                        </w:pPr>
                        <w:r>
                          <w:rPr>
                            <w:rFonts w:ascii="Calibri"/>
                            <w:b/>
                            <w:color w:val="EC7C30"/>
                            <w:spacing w:val="-2"/>
                            <w:sz w:val="20"/>
                          </w:rPr>
                          <w:t>10.4%</w:t>
                        </w:r>
                      </w:p>
                    </w:txbxContent>
                  </v:textbox>
                  <w10:wrap type="none"/>
                </v:shape>
                <v:shape style="position:absolute;left:2405;top:1032;width:521;height:200" type="#_x0000_t202" id="docshape195" filled="false" stroked="false">
                  <v:textbox inset="0,0,0,0">
                    <w:txbxContent>
                      <w:p>
                        <w:pPr>
                          <w:spacing w:line="199" w:lineRule="exact" w:before="0"/>
                          <w:ind w:left="0" w:right="0" w:firstLine="0"/>
                          <w:jc w:val="left"/>
                          <w:rPr>
                            <w:rFonts w:ascii="Calibri"/>
                            <w:b/>
                            <w:sz w:val="20"/>
                          </w:rPr>
                        </w:pPr>
                        <w:r>
                          <w:rPr>
                            <w:rFonts w:ascii="Calibri"/>
                            <w:b/>
                            <w:color w:val="4471C4"/>
                            <w:spacing w:val="-2"/>
                            <w:sz w:val="20"/>
                          </w:rPr>
                          <w:t>13.4%</w:t>
                        </w:r>
                      </w:p>
                    </w:txbxContent>
                  </v:textbox>
                  <w10:wrap type="none"/>
                </v:shape>
                <v:shape style="position:absolute;left:1831;top:1070;width:367;height:200" type="#_x0000_t202" id="docshape196" filled="false" stroked="false">
                  <v:textbox inset="0,0,0,0">
                    <w:txbxContent>
                      <w:p>
                        <w:pPr>
                          <w:spacing w:line="199" w:lineRule="exact" w:before="0"/>
                          <w:ind w:left="0" w:right="0" w:firstLine="0"/>
                          <w:jc w:val="left"/>
                          <w:rPr>
                            <w:rFonts w:ascii="Calibri"/>
                            <w:sz w:val="20"/>
                          </w:rPr>
                        </w:pPr>
                        <w:r>
                          <w:rPr>
                            <w:rFonts w:ascii="Calibri"/>
                            <w:spacing w:val="-5"/>
                            <w:sz w:val="20"/>
                          </w:rPr>
                          <w:t>15%</w:t>
                        </w:r>
                      </w:p>
                    </w:txbxContent>
                  </v:textbox>
                  <w10:wrap type="none"/>
                </v:shape>
                <v:shape style="position:absolute;left:1831;top:344;width:367;height:200" type="#_x0000_t202" id="docshape197" filled="false" stroked="false">
                  <v:textbox inset="0,0,0,0">
                    <w:txbxContent>
                      <w:p>
                        <w:pPr>
                          <w:spacing w:line="199" w:lineRule="exact" w:before="0"/>
                          <w:ind w:left="0" w:right="0" w:firstLine="0"/>
                          <w:jc w:val="left"/>
                          <w:rPr>
                            <w:rFonts w:ascii="Calibri"/>
                            <w:sz w:val="20"/>
                          </w:rPr>
                        </w:pPr>
                        <w:r>
                          <w:rPr>
                            <w:rFonts w:ascii="Calibri"/>
                            <w:spacing w:val="-5"/>
                            <w:sz w:val="20"/>
                          </w:rPr>
                          <w:t>20%</w:t>
                        </w:r>
                      </w:p>
                    </w:txbxContent>
                  </v:textbox>
                  <w10:wrap type="none"/>
                </v:shape>
                <w10:wrap type="topAndBottom"/>
              </v:group>
            </w:pict>
          </mc:Fallback>
        </mc:AlternateContent>
      </w:r>
    </w:p>
    <w:p>
      <w:pPr>
        <w:pStyle w:val="BodyText"/>
        <w:spacing w:before="29"/>
        <w:rPr>
          <w:sz w:val="20"/>
        </w:rPr>
      </w:pPr>
    </w:p>
    <w:p>
      <w:pPr>
        <w:pStyle w:val="BodyText"/>
        <w:spacing w:line="326" w:lineRule="auto"/>
        <w:ind w:left="143" w:right="713"/>
        <w:jc w:val="both"/>
      </w:pPr>
      <w:r>
        <w:rPr/>
        <w:t>OP.03 Garantizar el acceso y</w:t>
      </w:r>
      <w:r>
        <w:rPr>
          <w:spacing w:val="-2"/>
        </w:rPr>
        <w:t> </w:t>
      </w:r>
      <w:r>
        <w:rPr/>
        <w:t>participación de las mujeres en</w:t>
      </w:r>
      <w:r>
        <w:rPr>
          <w:spacing w:val="-2"/>
        </w:rPr>
        <w:t> </w:t>
      </w:r>
      <w:r>
        <w:rPr/>
        <w:t>espacios</w:t>
      </w:r>
      <w:r>
        <w:rPr>
          <w:spacing w:val="-2"/>
        </w:rPr>
        <w:t> </w:t>
      </w:r>
      <w:r>
        <w:rPr/>
        <w:t>de</w:t>
      </w:r>
      <w:r>
        <w:rPr>
          <w:spacing w:val="-2"/>
        </w:rPr>
        <w:t> </w:t>
      </w:r>
      <w:r>
        <w:rPr/>
        <w:t>toma de decisión.</w:t>
      </w:r>
    </w:p>
    <w:p>
      <w:pPr>
        <w:pStyle w:val="BodyText"/>
        <w:spacing w:line="326" w:lineRule="auto" w:before="162"/>
        <w:ind w:left="143" w:right="703"/>
        <w:jc w:val="both"/>
      </w:pPr>
      <w:r>
        <w:rPr/>
        <w:t>El OP.03 se mide a través de dos indicadores bajo responsabilidad de la Dirección de</w:t>
      </w:r>
      <w:r>
        <w:rPr>
          <w:spacing w:val="-2"/>
        </w:rPr>
        <w:t> </w:t>
      </w:r>
      <w:r>
        <w:rPr/>
        <w:t>Promoción y Protección de</w:t>
      </w:r>
      <w:r>
        <w:rPr>
          <w:spacing w:val="-2"/>
        </w:rPr>
        <w:t> </w:t>
      </w:r>
      <w:r>
        <w:rPr/>
        <w:t>los</w:t>
      </w:r>
      <w:r>
        <w:rPr>
          <w:spacing w:val="-1"/>
        </w:rPr>
        <w:t> </w:t>
      </w:r>
      <w:r>
        <w:rPr/>
        <w:t>Derechos de las Mujeres (DPPDM) del</w:t>
      </w:r>
      <w:r>
        <w:rPr>
          <w:spacing w:val="-17"/>
        </w:rPr>
        <w:t> </w:t>
      </w:r>
      <w:r>
        <w:rPr/>
        <w:t>MIMP:</w:t>
      </w:r>
      <w:r>
        <w:rPr>
          <w:spacing w:val="34"/>
        </w:rPr>
        <w:t> </w:t>
      </w:r>
      <w:r>
        <w:rPr/>
        <w:t>i)</w:t>
      </w:r>
      <w:r>
        <w:rPr>
          <w:spacing w:val="-16"/>
        </w:rPr>
        <w:t> </w:t>
      </w:r>
      <w:r>
        <w:rPr>
          <w:rFonts w:ascii="Arial" w:hAnsi="Arial"/>
          <w:i/>
        </w:rPr>
        <w:t>Índice</w:t>
      </w:r>
      <w:r>
        <w:rPr>
          <w:rFonts w:ascii="Arial" w:hAnsi="Arial"/>
          <w:i/>
          <w:spacing w:val="-17"/>
        </w:rPr>
        <w:t> </w:t>
      </w:r>
      <w:r>
        <w:rPr>
          <w:rFonts w:ascii="Arial" w:hAnsi="Arial"/>
          <w:i/>
        </w:rPr>
        <w:t>de</w:t>
      </w:r>
      <w:r>
        <w:rPr>
          <w:rFonts w:ascii="Arial" w:hAnsi="Arial"/>
          <w:i/>
          <w:spacing w:val="-15"/>
        </w:rPr>
        <w:t> </w:t>
      </w:r>
      <w:r>
        <w:rPr>
          <w:rFonts w:ascii="Arial" w:hAnsi="Arial"/>
          <w:i/>
        </w:rPr>
        <w:t>empoderamiento</w:t>
      </w:r>
      <w:r>
        <w:rPr>
          <w:rFonts w:ascii="Arial" w:hAnsi="Arial"/>
          <w:i/>
          <w:spacing w:val="-16"/>
        </w:rPr>
        <w:t> </w:t>
      </w:r>
      <w:r>
        <w:rPr>
          <w:rFonts w:ascii="Arial" w:hAnsi="Arial"/>
          <w:i/>
        </w:rPr>
        <w:t>político</w:t>
      </w:r>
      <w:r>
        <w:rPr>
          <w:rFonts w:ascii="Arial" w:hAnsi="Arial"/>
          <w:i/>
          <w:spacing w:val="-16"/>
        </w:rPr>
        <w:t> </w:t>
      </w:r>
      <w:r>
        <w:rPr>
          <w:rFonts w:ascii="Arial" w:hAnsi="Arial"/>
          <w:i/>
        </w:rPr>
        <w:t>de</w:t>
      </w:r>
      <w:r>
        <w:rPr>
          <w:rFonts w:ascii="Arial" w:hAnsi="Arial"/>
          <w:i/>
          <w:spacing w:val="-17"/>
        </w:rPr>
        <w:t> </w:t>
      </w:r>
      <w:r>
        <w:rPr>
          <w:rFonts w:ascii="Arial" w:hAnsi="Arial"/>
          <w:i/>
        </w:rPr>
        <w:t>las</w:t>
      </w:r>
      <w:r>
        <w:rPr>
          <w:rFonts w:ascii="Arial" w:hAnsi="Arial"/>
          <w:i/>
          <w:spacing w:val="-17"/>
        </w:rPr>
        <w:t> </w:t>
      </w:r>
      <w:r>
        <w:rPr>
          <w:rFonts w:ascii="Arial" w:hAnsi="Arial"/>
          <w:i/>
        </w:rPr>
        <w:t>mujeres</w:t>
      </w:r>
      <w:r>
        <w:rPr>
          <w:rFonts w:ascii="Arial" w:hAnsi="Arial"/>
          <w:i/>
          <w:spacing w:val="-14"/>
        </w:rPr>
        <w:t> </w:t>
      </w:r>
      <w:r>
        <w:rPr/>
        <w:t>y</w:t>
      </w:r>
      <w:r>
        <w:rPr>
          <w:spacing w:val="-16"/>
        </w:rPr>
        <w:t> </w:t>
      </w:r>
      <w:r>
        <w:rPr/>
        <w:t>ii)</w:t>
      </w:r>
      <w:r>
        <w:rPr>
          <w:spacing w:val="-17"/>
        </w:rPr>
        <w:t> </w:t>
      </w:r>
      <w:r>
        <w:rPr/>
        <w:t>Porcentaje</w:t>
      </w:r>
      <w:r>
        <w:rPr>
          <w:spacing w:val="-16"/>
        </w:rPr>
        <w:t> </w:t>
      </w:r>
      <w:r>
        <w:rPr/>
        <w:t>de participación de servidoras civiles funcionarias y directivas. El primero fue reportado y el segundo no pudo ser reportado debido a que su fuente es el informe</w:t>
      </w:r>
      <w:r>
        <w:rPr>
          <w:spacing w:val="29"/>
        </w:rPr>
        <w:t> </w:t>
      </w:r>
      <w:r>
        <w:rPr/>
        <w:t>denominado</w:t>
      </w:r>
      <w:r>
        <w:rPr>
          <w:spacing w:val="27"/>
        </w:rPr>
        <w:t> </w:t>
      </w:r>
      <w:r>
        <w:rPr/>
        <w:t>“La</w:t>
      </w:r>
      <w:r>
        <w:rPr>
          <w:spacing w:val="29"/>
        </w:rPr>
        <w:t> </w:t>
      </w:r>
      <w:r>
        <w:rPr/>
        <w:t>mujer</w:t>
      </w:r>
      <w:r>
        <w:rPr>
          <w:spacing w:val="29"/>
        </w:rPr>
        <w:t> </w:t>
      </w:r>
      <w:r>
        <w:rPr/>
        <w:t>en</w:t>
      </w:r>
      <w:r>
        <w:rPr>
          <w:spacing w:val="29"/>
        </w:rPr>
        <w:t> </w:t>
      </w:r>
      <w:r>
        <w:rPr/>
        <w:t>el</w:t>
      </w:r>
      <w:r>
        <w:rPr>
          <w:spacing w:val="30"/>
        </w:rPr>
        <w:t> </w:t>
      </w:r>
      <w:r>
        <w:rPr/>
        <w:t>servicio</w:t>
      </w:r>
      <w:r>
        <w:rPr>
          <w:spacing w:val="30"/>
        </w:rPr>
        <w:t> </w:t>
      </w:r>
      <w:r>
        <w:rPr/>
        <w:t>civil”,</w:t>
      </w:r>
      <w:r>
        <w:rPr>
          <w:spacing w:val="30"/>
        </w:rPr>
        <w:t> </w:t>
      </w:r>
      <w:r>
        <w:rPr/>
        <w:t>el</w:t>
      </w:r>
      <w:r>
        <w:rPr>
          <w:spacing w:val="27"/>
        </w:rPr>
        <w:t> </w:t>
      </w:r>
      <w:r>
        <w:rPr/>
        <w:t>cual</w:t>
      </w:r>
      <w:r>
        <w:rPr>
          <w:spacing w:val="39"/>
        </w:rPr>
        <w:t> </w:t>
      </w:r>
      <w:r>
        <w:rPr/>
        <w:t>ha</w:t>
      </w:r>
      <w:r>
        <w:rPr>
          <w:spacing w:val="29"/>
        </w:rPr>
        <w:t> </w:t>
      </w:r>
      <w:r>
        <w:rPr/>
        <w:t>sido</w:t>
      </w:r>
      <w:r>
        <w:rPr>
          <w:spacing w:val="27"/>
        </w:rPr>
        <w:t> </w:t>
      </w:r>
      <w:r>
        <w:rPr/>
        <w:t>publicado,</w:t>
      </w:r>
    </w:p>
    <w:p>
      <w:pPr>
        <w:pStyle w:val="BodyText"/>
        <w:spacing w:after="0" w:line="326" w:lineRule="auto"/>
        <w:jc w:val="both"/>
        <w:sectPr>
          <w:pgSz w:w="11910" w:h="16840"/>
          <w:pgMar w:header="713" w:footer="1000" w:top="1420" w:bottom="1200" w:left="1559" w:right="992"/>
        </w:sectPr>
      </w:pPr>
    </w:p>
    <w:p>
      <w:pPr>
        <w:pStyle w:val="BodyText"/>
        <w:spacing w:line="324" w:lineRule="auto" w:before="126"/>
        <w:ind w:left="143" w:right="703"/>
        <w:jc w:val="both"/>
      </w:pPr>
      <w:r>
        <w:rPr/>
        <w:t>pero no proporciona información sobre el valor anual requerido. A</w:t>
      </w:r>
      <w:r>
        <w:rPr>
          <w:spacing w:val="80"/>
          <w:w w:val="150"/>
        </w:rPr>
        <w:t> </w:t>
      </w:r>
      <w:r>
        <w:rPr/>
        <w:t>continuación, se describirá el indicador reportado:</w:t>
      </w:r>
    </w:p>
    <w:p>
      <w:pPr>
        <w:pStyle w:val="BodyText"/>
        <w:spacing w:line="319" w:lineRule="auto" w:before="164"/>
        <w:ind w:left="143" w:right="700"/>
        <w:jc w:val="both"/>
      </w:pPr>
      <w:r>
        <w:rPr>
          <w:w w:val="105"/>
        </w:rPr>
        <w:t>El</w:t>
      </w:r>
      <w:r>
        <w:rPr>
          <w:spacing w:val="-11"/>
          <w:w w:val="105"/>
        </w:rPr>
        <w:t> </w:t>
      </w:r>
      <w:r>
        <w:rPr>
          <w:w w:val="105"/>
        </w:rPr>
        <w:t>indicador</w:t>
      </w:r>
      <w:r>
        <w:rPr>
          <w:spacing w:val="-10"/>
          <w:w w:val="105"/>
        </w:rPr>
        <w:t> </w:t>
      </w:r>
      <w:r>
        <w:rPr>
          <w:w w:val="105"/>
        </w:rPr>
        <w:t>denominado</w:t>
      </w:r>
      <w:r>
        <w:rPr>
          <w:spacing w:val="-11"/>
          <w:w w:val="105"/>
        </w:rPr>
        <w:t> </w:t>
      </w:r>
      <w:r>
        <w:rPr>
          <w:w w:val="105"/>
        </w:rPr>
        <w:t>“Índice</w:t>
      </w:r>
      <w:r>
        <w:rPr>
          <w:spacing w:val="-11"/>
          <w:w w:val="105"/>
        </w:rPr>
        <w:t> </w:t>
      </w:r>
      <w:r>
        <w:rPr>
          <w:w w:val="105"/>
        </w:rPr>
        <w:t>de</w:t>
      </w:r>
      <w:r>
        <w:rPr>
          <w:spacing w:val="-11"/>
          <w:w w:val="105"/>
        </w:rPr>
        <w:t> </w:t>
      </w:r>
      <w:r>
        <w:rPr>
          <w:w w:val="105"/>
        </w:rPr>
        <w:t>empoderamiento</w:t>
      </w:r>
      <w:r>
        <w:rPr>
          <w:spacing w:val="-12"/>
          <w:w w:val="105"/>
        </w:rPr>
        <w:t> </w:t>
      </w:r>
      <w:r>
        <w:rPr>
          <w:w w:val="105"/>
        </w:rPr>
        <w:t>político</w:t>
      </w:r>
      <w:r>
        <w:rPr>
          <w:spacing w:val="-11"/>
          <w:w w:val="105"/>
        </w:rPr>
        <w:t> </w:t>
      </w:r>
      <w:r>
        <w:rPr>
          <w:w w:val="105"/>
        </w:rPr>
        <w:t>de</w:t>
      </w:r>
      <w:r>
        <w:rPr>
          <w:spacing w:val="-13"/>
          <w:w w:val="105"/>
        </w:rPr>
        <w:t> </w:t>
      </w:r>
      <w:r>
        <w:rPr>
          <w:w w:val="105"/>
        </w:rPr>
        <w:t>las</w:t>
      </w:r>
      <w:r>
        <w:rPr>
          <w:spacing w:val="-11"/>
          <w:w w:val="105"/>
        </w:rPr>
        <w:t> </w:t>
      </w:r>
      <w:r>
        <w:rPr>
          <w:w w:val="105"/>
        </w:rPr>
        <w:t>mujeres” </w:t>
      </w:r>
      <w:r>
        <w:rPr/>
        <w:t>tiene</w:t>
      </w:r>
      <w:r>
        <w:rPr>
          <w:spacing w:val="-6"/>
        </w:rPr>
        <w:t> </w:t>
      </w:r>
      <w:r>
        <w:rPr/>
        <w:t>un</w:t>
      </w:r>
      <w:r>
        <w:rPr>
          <w:spacing w:val="-7"/>
        </w:rPr>
        <w:t> </w:t>
      </w:r>
      <w:r>
        <w:rPr/>
        <w:t>sentido</w:t>
      </w:r>
      <w:r>
        <w:rPr>
          <w:spacing w:val="-6"/>
        </w:rPr>
        <w:t> </w:t>
      </w:r>
      <w:r>
        <w:rPr/>
        <w:t>ascendente</w:t>
      </w:r>
      <w:r>
        <w:rPr>
          <w:spacing w:val="-7"/>
        </w:rPr>
        <w:t> </w:t>
      </w:r>
      <w:r>
        <w:rPr/>
        <w:t>y</w:t>
      </w:r>
      <w:r>
        <w:rPr>
          <w:spacing w:val="-7"/>
        </w:rPr>
        <w:t> </w:t>
      </w:r>
      <w:r>
        <w:rPr/>
        <w:t>se</w:t>
      </w:r>
      <w:r>
        <w:rPr>
          <w:spacing w:val="-7"/>
        </w:rPr>
        <w:t> </w:t>
      </w:r>
      <w:r>
        <w:rPr/>
        <w:t>espera</w:t>
      </w:r>
      <w:r>
        <w:rPr>
          <w:spacing w:val="-6"/>
        </w:rPr>
        <w:t> </w:t>
      </w:r>
      <w:r>
        <w:rPr/>
        <w:t>que</w:t>
      </w:r>
      <w:r>
        <w:rPr>
          <w:spacing w:val="-7"/>
        </w:rPr>
        <w:t> </w:t>
      </w:r>
      <w:r>
        <w:rPr/>
        <w:t>crezca</w:t>
      </w:r>
      <w:r>
        <w:rPr>
          <w:spacing w:val="-3"/>
        </w:rPr>
        <w:t> </w:t>
      </w:r>
      <w:r>
        <w:rPr/>
        <w:t>de</w:t>
      </w:r>
      <w:r>
        <w:rPr>
          <w:spacing w:val="-7"/>
        </w:rPr>
        <w:t> </w:t>
      </w:r>
      <w:r>
        <w:rPr/>
        <w:t>forma</w:t>
      </w:r>
      <w:r>
        <w:rPr>
          <w:spacing w:val="-7"/>
        </w:rPr>
        <w:t> </w:t>
      </w:r>
      <w:r>
        <w:rPr/>
        <w:t>significativa</w:t>
      </w:r>
      <w:hyperlink w:history="true" w:anchor="_bookmark11">
        <w:r>
          <w:rPr>
            <w:position w:val="9"/>
            <w:sz w:val="16"/>
          </w:rPr>
          <w:t>4</w:t>
        </w:r>
      </w:hyperlink>
      <w:r>
        <w:rPr>
          <w:spacing w:val="15"/>
          <w:position w:val="9"/>
          <w:sz w:val="16"/>
        </w:rPr>
        <w:t> </w:t>
      </w:r>
      <w:r>
        <w:rPr/>
        <w:t>cada año</w:t>
      </w:r>
      <w:r>
        <w:rPr>
          <w:spacing w:val="-2"/>
        </w:rPr>
        <w:t> </w:t>
      </w:r>
      <w:r>
        <w:rPr/>
        <w:t>en</w:t>
      </w:r>
      <w:r>
        <w:rPr>
          <w:spacing w:val="-2"/>
        </w:rPr>
        <w:t> </w:t>
      </w:r>
      <w:r>
        <w:rPr/>
        <w:t>que</w:t>
      </w:r>
      <w:r>
        <w:rPr>
          <w:spacing w:val="-2"/>
        </w:rPr>
        <w:t> </w:t>
      </w:r>
      <w:r>
        <w:rPr/>
        <w:t>se</w:t>
      </w:r>
      <w:r>
        <w:rPr>
          <w:spacing w:val="-5"/>
        </w:rPr>
        <w:t> </w:t>
      </w:r>
      <w:r>
        <w:rPr/>
        <w:t>produce</w:t>
      </w:r>
      <w:r>
        <w:rPr>
          <w:spacing w:val="-2"/>
        </w:rPr>
        <w:t> </w:t>
      </w:r>
      <w:r>
        <w:rPr/>
        <w:t>una</w:t>
      </w:r>
      <w:r>
        <w:rPr>
          <w:spacing w:val="-3"/>
        </w:rPr>
        <w:t> </w:t>
      </w:r>
      <w:r>
        <w:rPr/>
        <w:t>elección general</w:t>
      </w:r>
      <w:r>
        <w:rPr>
          <w:spacing w:val="-4"/>
        </w:rPr>
        <w:t> </w:t>
      </w:r>
      <w:r>
        <w:rPr/>
        <w:t>o</w:t>
      </w:r>
      <w:r>
        <w:rPr>
          <w:spacing w:val="-2"/>
        </w:rPr>
        <w:t> </w:t>
      </w:r>
      <w:r>
        <w:rPr/>
        <w:t>municipal</w:t>
      </w:r>
      <w:r>
        <w:rPr>
          <w:spacing w:val="-2"/>
        </w:rPr>
        <w:t> </w:t>
      </w:r>
      <w:r>
        <w:rPr/>
        <w:t>y</w:t>
      </w:r>
      <w:r>
        <w:rPr>
          <w:spacing w:val="-2"/>
        </w:rPr>
        <w:t> </w:t>
      </w:r>
      <w:r>
        <w:rPr/>
        <w:t>regional;</w:t>
      </w:r>
      <w:r>
        <w:rPr>
          <w:spacing w:val="-4"/>
        </w:rPr>
        <w:t> </w:t>
      </w:r>
      <w:r>
        <w:rPr/>
        <w:t>al</w:t>
      </w:r>
      <w:r>
        <w:rPr>
          <w:spacing w:val="-2"/>
        </w:rPr>
        <w:t> </w:t>
      </w:r>
      <w:r>
        <w:rPr/>
        <w:t>respecto:</w:t>
      </w:r>
    </w:p>
    <w:p>
      <w:pPr>
        <w:pStyle w:val="ListParagraph"/>
        <w:numPr>
          <w:ilvl w:val="0"/>
          <w:numId w:val="11"/>
        </w:numPr>
        <w:tabs>
          <w:tab w:pos="862" w:val="left" w:leader="none"/>
        </w:tabs>
        <w:spacing w:line="324" w:lineRule="auto" w:before="173" w:after="0"/>
        <w:ind w:left="862" w:right="706" w:hanging="360"/>
        <w:jc w:val="both"/>
        <w:rPr>
          <w:sz w:val="24"/>
        </w:rPr>
      </w:pPr>
      <w:r>
        <w:rPr>
          <w:sz w:val="24"/>
        </w:rPr>
        <w:t>Para el año 2023, el indicador reportó un valor de 0.58, con lo cual se habría superado la meta programada del indicador (0.40).</w:t>
      </w:r>
    </w:p>
    <w:p>
      <w:pPr>
        <w:pStyle w:val="ListParagraph"/>
        <w:numPr>
          <w:ilvl w:val="0"/>
          <w:numId w:val="11"/>
        </w:numPr>
        <w:tabs>
          <w:tab w:pos="862" w:val="left" w:leader="none"/>
        </w:tabs>
        <w:spacing w:line="326" w:lineRule="auto" w:before="5" w:after="0"/>
        <w:ind w:left="862" w:right="703" w:hanging="360"/>
        <w:jc w:val="both"/>
        <w:rPr>
          <w:sz w:val="24"/>
        </w:rPr>
      </w:pPr>
      <w:r>
        <w:rPr>
          <w:sz w:val="24"/>
        </w:rPr>
        <w:t>El</w:t>
      </w:r>
      <w:r>
        <w:rPr>
          <w:spacing w:val="-17"/>
          <w:sz w:val="24"/>
        </w:rPr>
        <w:t> </w:t>
      </w:r>
      <w:r>
        <w:rPr>
          <w:sz w:val="24"/>
        </w:rPr>
        <w:t>nivel</w:t>
      </w:r>
      <w:r>
        <w:rPr>
          <w:spacing w:val="-17"/>
          <w:sz w:val="24"/>
        </w:rPr>
        <w:t> </w:t>
      </w:r>
      <w:r>
        <w:rPr>
          <w:sz w:val="24"/>
        </w:rPr>
        <w:t>de</w:t>
      </w:r>
      <w:r>
        <w:rPr>
          <w:spacing w:val="-16"/>
          <w:sz w:val="24"/>
        </w:rPr>
        <w:t> </w:t>
      </w:r>
      <w:r>
        <w:rPr>
          <w:sz w:val="24"/>
        </w:rPr>
        <w:t>avance</w:t>
      </w:r>
      <w:r>
        <w:rPr>
          <w:spacing w:val="-17"/>
          <w:sz w:val="24"/>
        </w:rPr>
        <w:t> </w:t>
      </w:r>
      <w:r>
        <w:rPr>
          <w:sz w:val="24"/>
        </w:rPr>
        <w:t>del</w:t>
      </w:r>
      <w:r>
        <w:rPr>
          <w:spacing w:val="-17"/>
          <w:sz w:val="24"/>
        </w:rPr>
        <w:t> </w:t>
      </w:r>
      <w:r>
        <w:rPr>
          <w:sz w:val="24"/>
        </w:rPr>
        <w:t>año</w:t>
      </w:r>
      <w:r>
        <w:rPr>
          <w:spacing w:val="-17"/>
          <w:sz w:val="24"/>
        </w:rPr>
        <w:t> </w:t>
      </w:r>
      <w:r>
        <w:rPr>
          <w:sz w:val="24"/>
        </w:rPr>
        <w:t>2023</w:t>
      </w:r>
      <w:r>
        <w:rPr>
          <w:spacing w:val="-16"/>
          <w:sz w:val="24"/>
        </w:rPr>
        <w:t> </w:t>
      </w:r>
      <w:r>
        <w:rPr>
          <w:sz w:val="24"/>
        </w:rPr>
        <w:t>corresponde</w:t>
      </w:r>
      <w:r>
        <w:rPr>
          <w:spacing w:val="-17"/>
          <w:sz w:val="24"/>
        </w:rPr>
        <w:t> </w:t>
      </w:r>
      <w:r>
        <w:rPr>
          <w:sz w:val="24"/>
        </w:rPr>
        <w:t>a</w:t>
      </w:r>
      <w:r>
        <w:rPr>
          <w:spacing w:val="-17"/>
          <w:sz w:val="24"/>
        </w:rPr>
        <w:t> </w:t>
      </w:r>
      <w:r>
        <w:rPr>
          <w:sz w:val="24"/>
        </w:rPr>
        <w:t>145.0</w:t>
      </w:r>
      <w:r>
        <w:rPr>
          <w:spacing w:val="-16"/>
          <w:sz w:val="24"/>
        </w:rPr>
        <w:t> </w:t>
      </w:r>
      <w:r>
        <w:rPr>
          <w:sz w:val="24"/>
        </w:rPr>
        <w:t>%</w:t>
      </w:r>
      <w:r>
        <w:rPr>
          <w:spacing w:val="-17"/>
          <w:sz w:val="24"/>
        </w:rPr>
        <w:t> </w:t>
      </w:r>
      <w:r>
        <w:rPr>
          <w:sz w:val="24"/>
        </w:rPr>
        <w:t>respecto</w:t>
      </w:r>
      <w:r>
        <w:rPr>
          <w:spacing w:val="-17"/>
          <w:sz w:val="24"/>
        </w:rPr>
        <w:t> </w:t>
      </w:r>
      <w:r>
        <w:rPr>
          <w:sz w:val="24"/>
        </w:rPr>
        <w:t>a</w:t>
      </w:r>
      <w:r>
        <w:rPr>
          <w:spacing w:val="-16"/>
          <w:sz w:val="24"/>
        </w:rPr>
        <w:t> </w:t>
      </w:r>
      <w:r>
        <w:rPr>
          <w:sz w:val="24"/>
        </w:rPr>
        <w:t>la</w:t>
      </w:r>
      <w:r>
        <w:rPr>
          <w:spacing w:val="-17"/>
          <w:sz w:val="24"/>
        </w:rPr>
        <w:t> </w:t>
      </w:r>
      <w:r>
        <w:rPr>
          <w:sz w:val="24"/>
        </w:rPr>
        <w:t>meta programada, lo cual es considerado como un nivel de cumplimiento alto. Asimismo, dicho nivel de avance ha ido incrementando en comparación con el año 2022 (91.9%) y con el año 2021(122.5 %).</w:t>
      </w:r>
    </w:p>
    <w:p>
      <w:pPr>
        <w:pStyle w:val="ListParagraph"/>
        <w:numPr>
          <w:ilvl w:val="0"/>
          <w:numId w:val="11"/>
        </w:numPr>
        <w:tabs>
          <w:tab w:pos="862" w:val="left" w:leader="none"/>
        </w:tabs>
        <w:spacing w:line="326" w:lineRule="auto" w:before="3" w:after="0"/>
        <w:ind w:left="862" w:right="703" w:hanging="360"/>
        <w:jc w:val="both"/>
        <w:rPr>
          <w:sz w:val="24"/>
        </w:rPr>
      </w:pPr>
      <w:r>
        <w:rPr>
          <w:sz w:val="24"/>
        </w:rPr>
        <w:t>En ese sentido, dado que, en el 2023, el valor del indicador ha incrementado</w:t>
      </w:r>
      <w:r>
        <w:rPr>
          <w:spacing w:val="-3"/>
          <w:sz w:val="24"/>
        </w:rPr>
        <w:t> </w:t>
      </w:r>
      <w:r>
        <w:rPr>
          <w:sz w:val="24"/>
        </w:rPr>
        <w:t>en</w:t>
      </w:r>
      <w:r>
        <w:rPr>
          <w:spacing w:val="-1"/>
          <w:sz w:val="24"/>
        </w:rPr>
        <w:t> </w:t>
      </w:r>
      <w:r>
        <w:rPr>
          <w:sz w:val="24"/>
        </w:rPr>
        <w:t>34.9% respecto</w:t>
      </w:r>
      <w:r>
        <w:rPr>
          <w:spacing w:val="-3"/>
          <w:sz w:val="24"/>
        </w:rPr>
        <w:t> </w:t>
      </w:r>
      <w:r>
        <w:rPr>
          <w:sz w:val="24"/>
        </w:rPr>
        <w:t>a</w:t>
      </w:r>
      <w:r>
        <w:rPr>
          <w:spacing w:val="-4"/>
          <w:sz w:val="24"/>
        </w:rPr>
        <w:t> </w:t>
      </w:r>
      <w:r>
        <w:rPr>
          <w:sz w:val="24"/>
        </w:rPr>
        <w:t>lo</w:t>
      </w:r>
      <w:r>
        <w:rPr>
          <w:spacing w:val="-3"/>
          <w:sz w:val="24"/>
        </w:rPr>
        <w:t> </w:t>
      </w:r>
      <w:r>
        <w:rPr>
          <w:sz w:val="24"/>
        </w:rPr>
        <w:t>registrado</w:t>
      </w:r>
      <w:r>
        <w:rPr>
          <w:spacing w:val="-3"/>
          <w:sz w:val="24"/>
        </w:rPr>
        <w:t> </w:t>
      </w:r>
      <w:r>
        <w:rPr>
          <w:sz w:val="24"/>
        </w:rPr>
        <w:t>en</w:t>
      </w:r>
      <w:r>
        <w:rPr>
          <w:spacing w:val="-4"/>
          <w:sz w:val="24"/>
        </w:rPr>
        <w:t> </w:t>
      </w:r>
      <w:r>
        <w:rPr>
          <w:sz w:val="24"/>
        </w:rPr>
        <w:t>2022</w:t>
      </w:r>
      <w:r>
        <w:rPr>
          <w:spacing w:val="-5"/>
          <w:sz w:val="24"/>
        </w:rPr>
        <w:t> </w:t>
      </w:r>
      <w:r>
        <w:rPr>
          <w:sz w:val="24"/>
        </w:rPr>
        <w:t>y 2021</w:t>
      </w:r>
      <w:r>
        <w:rPr>
          <w:spacing w:val="-4"/>
          <w:sz w:val="24"/>
        </w:rPr>
        <w:t> </w:t>
      </w:r>
      <w:r>
        <w:rPr>
          <w:sz w:val="24"/>
        </w:rPr>
        <w:t>(0.43),</w:t>
      </w:r>
      <w:r>
        <w:rPr>
          <w:spacing w:val="-3"/>
          <w:sz w:val="24"/>
        </w:rPr>
        <w:t> </w:t>
      </w:r>
      <w:r>
        <w:rPr>
          <w:sz w:val="24"/>
        </w:rPr>
        <w:t>y en 56.8% respecto al 2020 se confirma que la tendencia corresponde al comportamiento que se espera tomando como referencia las metas </w:t>
      </w:r>
      <w:r>
        <w:rPr>
          <w:spacing w:val="-2"/>
          <w:sz w:val="24"/>
        </w:rPr>
        <w:t>programadas.</w:t>
      </w:r>
    </w:p>
    <w:p>
      <w:pPr>
        <w:pStyle w:val="BodyText"/>
        <w:spacing w:line="326" w:lineRule="auto" w:before="160"/>
        <w:ind w:left="143" w:right="713"/>
        <w:jc w:val="both"/>
      </w:pPr>
      <w:r>
        <w:rPr/>
        <w:t>En cuanto a la información adicional que contribuya a contextualizar el resultado, es necesario señalar que la variación del indicador depende del desarrollo de procesos electorales regulares o de otra naturaleza. En ese sentido, lo reportado en el periodo 2023 se mantendrá constante en tanto no</w:t>
      </w:r>
      <w:r>
        <w:rPr>
          <w:spacing w:val="80"/>
        </w:rPr>
        <w:t> </w:t>
      </w:r>
      <w:r>
        <w:rPr/>
        <w:t>se ejecuten nuevos procesos electorales.</w:t>
      </w:r>
    </w:p>
    <w:p>
      <w:pPr>
        <w:spacing w:before="158"/>
        <w:ind w:left="1686" w:right="0" w:firstLine="0"/>
        <w:jc w:val="left"/>
        <w:rPr>
          <w:sz w:val="20"/>
        </w:rPr>
      </w:pPr>
      <w:r>
        <w:rPr>
          <w:color w:val="44536A"/>
          <w:sz w:val="20"/>
        </w:rPr>
        <w:t>Gráfico</w:t>
      </w:r>
      <w:r>
        <w:rPr>
          <w:color w:val="44536A"/>
          <w:spacing w:val="3"/>
          <w:sz w:val="20"/>
        </w:rPr>
        <w:t> </w:t>
      </w:r>
      <w:r>
        <w:rPr>
          <w:color w:val="44536A"/>
          <w:sz w:val="20"/>
        </w:rPr>
        <w:t>5. Índice</w:t>
      </w:r>
      <w:r>
        <w:rPr>
          <w:color w:val="44536A"/>
          <w:spacing w:val="1"/>
          <w:sz w:val="20"/>
        </w:rPr>
        <w:t> </w:t>
      </w:r>
      <w:r>
        <w:rPr>
          <w:color w:val="44536A"/>
          <w:sz w:val="20"/>
        </w:rPr>
        <w:t>de</w:t>
      </w:r>
      <w:r>
        <w:rPr>
          <w:color w:val="44536A"/>
          <w:spacing w:val="1"/>
          <w:sz w:val="20"/>
        </w:rPr>
        <w:t> </w:t>
      </w:r>
      <w:r>
        <w:rPr>
          <w:color w:val="44536A"/>
          <w:sz w:val="20"/>
        </w:rPr>
        <w:t>empoderamiento</w:t>
      </w:r>
      <w:r>
        <w:rPr>
          <w:color w:val="44536A"/>
          <w:spacing w:val="2"/>
          <w:sz w:val="20"/>
        </w:rPr>
        <w:t> </w:t>
      </w:r>
      <w:r>
        <w:rPr>
          <w:color w:val="44536A"/>
          <w:sz w:val="20"/>
        </w:rPr>
        <w:t>político</w:t>
      </w:r>
      <w:r>
        <w:rPr>
          <w:color w:val="44536A"/>
          <w:spacing w:val="1"/>
          <w:sz w:val="20"/>
        </w:rPr>
        <w:t> </w:t>
      </w:r>
      <w:r>
        <w:rPr>
          <w:color w:val="44536A"/>
          <w:sz w:val="20"/>
        </w:rPr>
        <w:t>de</w:t>
      </w:r>
      <w:r>
        <w:rPr>
          <w:color w:val="44536A"/>
          <w:spacing w:val="1"/>
          <w:sz w:val="20"/>
        </w:rPr>
        <w:t> </w:t>
      </w:r>
      <w:r>
        <w:rPr>
          <w:color w:val="44536A"/>
          <w:sz w:val="20"/>
        </w:rPr>
        <w:t>las</w:t>
      </w:r>
      <w:r>
        <w:rPr>
          <w:color w:val="44536A"/>
          <w:spacing w:val="1"/>
          <w:sz w:val="20"/>
        </w:rPr>
        <w:t> </w:t>
      </w:r>
      <w:r>
        <w:rPr>
          <w:color w:val="44536A"/>
          <w:spacing w:val="-2"/>
          <w:sz w:val="20"/>
        </w:rPr>
        <w:t>mujeres</w:t>
      </w:r>
    </w:p>
    <w:p>
      <w:pPr>
        <w:pStyle w:val="BodyText"/>
        <w:spacing w:before="11"/>
        <w:rPr>
          <w:sz w:val="15"/>
        </w:rPr>
      </w:pPr>
      <w:r>
        <w:rPr>
          <w:sz w:val="15"/>
        </w:rPr>
        <mc:AlternateContent>
          <mc:Choice Requires="wps">
            <w:drawing>
              <wp:anchor distT="0" distB="0" distL="0" distR="0" allowOverlap="1" layoutInCell="1" locked="0" behindDoc="1" simplePos="0" relativeHeight="487590912">
                <wp:simplePos x="0" y="0"/>
                <wp:positionH relativeFrom="page">
                  <wp:posOffset>1076960</wp:posOffset>
                </wp:positionH>
                <wp:positionV relativeFrom="paragraph">
                  <wp:posOffset>131795</wp:posOffset>
                </wp:positionV>
                <wp:extent cx="5406390" cy="2419350"/>
                <wp:effectExtent l="0" t="0" r="0" b="0"/>
                <wp:wrapTopAndBottom/>
                <wp:docPr id="201" name="Group 201"/>
                <wp:cNvGraphicFramePr>
                  <a:graphicFrameLocks/>
                </wp:cNvGraphicFramePr>
                <a:graphic>
                  <a:graphicData uri="http://schemas.microsoft.com/office/word/2010/wordprocessingGroup">
                    <wpg:wgp>
                      <wpg:cNvPr id="201" name="Group 201"/>
                      <wpg:cNvGrpSpPr/>
                      <wpg:grpSpPr>
                        <a:xfrm>
                          <a:off x="0" y="0"/>
                          <a:ext cx="5406390" cy="2419350"/>
                          <a:chExt cx="5406390" cy="2419350"/>
                        </a:xfrm>
                      </wpg:grpSpPr>
                      <wps:wsp>
                        <wps:cNvPr id="202" name="Graphic 202"/>
                        <wps:cNvSpPr/>
                        <wps:spPr>
                          <a:xfrm>
                            <a:off x="388493" y="144145"/>
                            <a:ext cx="40640" cy="1687195"/>
                          </a:xfrm>
                          <a:custGeom>
                            <a:avLst/>
                            <a:gdLst/>
                            <a:ahLst/>
                            <a:cxnLst/>
                            <a:rect l="l" t="t" r="r" b="b"/>
                            <a:pathLst>
                              <a:path w="40640" h="1687195">
                                <a:moveTo>
                                  <a:pt x="40259" y="1686940"/>
                                </a:moveTo>
                                <a:lnTo>
                                  <a:pt x="40259" y="0"/>
                                </a:lnTo>
                              </a:path>
                              <a:path w="40640" h="1687195">
                                <a:moveTo>
                                  <a:pt x="0" y="1686940"/>
                                </a:moveTo>
                                <a:lnTo>
                                  <a:pt x="40259" y="1686940"/>
                                </a:lnTo>
                              </a:path>
                              <a:path w="40640" h="1687195">
                                <a:moveTo>
                                  <a:pt x="0" y="1445895"/>
                                </a:moveTo>
                                <a:lnTo>
                                  <a:pt x="40259" y="1445895"/>
                                </a:lnTo>
                              </a:path>
                              <a:path w="40640" h="1687195">
                                <a:moveTo>
                                  <a:pt x="0" y="1205102"/>
                                </a:moveTo>
                                <a:lnTo>
                                  <a:pt x="40259" y="1205102"/>
                                </a:lnTo>
                              </a:path>
                              <a:path w="40640" h="1687195">
                                <a:moveTo>
                                  <a:pt x="0" y="964310"/>
                                </a:moveTo>
                                <a:lnTo>
                                  <a:pt x="40259" y="964310"/>
                                </a:lnTo>
                              </a:path>
                              <a:path w="40640" h="1687195">
                                <a:moveTo>
                                  <a:pt x="0" y="723519"/>
                                </a:moveTo>
                                <a:lnTo>
                                  <a:pt x="40259" y="723519"/>
                                </a:lnTo>
                              </a:path>
                              <a:path w="40640" h="1687195">
                                <a:moveTo>
                                  <a:pt x="0" y="482726"/>
                                </a:moveTo>
                                <a:lnTo>
                                  <a:pt x="40259" y="482726"/>
                                </a:lnTo>
                              </a:path>
                              <a:path w="40640" h="1687195">
                                <a:moveTo>
                                  <a:pt x="0" y="240411"/>
                                </a:moveTo>
                                <a:lnTo>
                                  <a:pt x="40259" y="240411"/>
                                </a:lnTo>
                              </a:path>
                              <a:path w="40640" h="1687195">
                                <a:moveTo>
                                  <a:pt x="0" y="0"/>
                                </a:moveTo>
                                <a:lnTo>
                                  <a:pt x="40259" y="0"/>
                                </a:lnTo>
                              </a:path>
                            </a:pathLst>
                          </a:custGeom>
                          <a:ln w="6350">
                            <a:solidFill>
                              <a:srgbClr val="888888"/>
                            </a:solidFill>
                            <a:prstDash val="solid"/>
                          </a:ln>
                        </wps:spPr>
                        <wps:bodyPr wrap="square" lIns="0" tIns="0" rIns="0" bIns="0" rtlCol="0">
                          <a:prstTxWarp prst="textNoShape">
                            <a:avLst/>
                          </a:prstTxWarp>
                          <a:noAutofit/>
                        </wps:bodyPr>
                      </wps:wsp>
                      <wps:wsp>
                        <wps:cNvPr id="203" name="Graphic 203"/>
                        <wps:cNvSpPr/>
                        <wps:spPr>
                          <a:xfrm>
                            <a:off x="428751" y="1831085"/>
                            <a:ext cx="4834890" cy="36830"/>
                          </a:xfrm>
                          <a:custGeom>
                            <a:avLst/>
                            <a:gdLst/>
                            <a:ahLst/>
                            <a:cxnLst/>
                            <a:rect l="l" t="t" r="r" b="b"/>
                            <a:pathLst>
                              <a:path w="4834890" h="36830">
                                <a:moveTo>
                                  <a:pt x="0" y="0"/>
                                </a:moveTo>
                                <a:lnTo>
                                  <a:pt x="4834763" y="0"/>
                                </a:lnTo>
                              </a:path>
                              <a:path w="4834890" h="36830">
                                <a:moveTo>
                                  <a:pt x="0" y="0"/>
                                </a:moveTo>
                                <a:lnTo>
                                  <a:pt x="0" y="36322"/>
                                </a:lnTo>
                              </a:path>
                              <a:path w="4834890" h="36830">
                                <a:moveTo>
                                  <a:pt x="371856" y="0"/>
                                </a:moveTo>
                                <a:lnTo>
                                  <a:pt x="371856" y="36322"/>
                                </a:lnTo>
                              </a:path>
                              <a:path w="4834890" h="36830">
                                <a:moveTo>
                                  <a:pt x="743712" y="0"/>
                                </a:moveTo>
                                <a:lnTo>
                                  <a:pt x="743712" y="36322"/>
                                </a:lnTo>
                              </a:path>
                              <a:path w="4834890" h="36830">
                                <a:moveTo>
                                  <a:pt x="1115568" y="0"/>
                                </a:moveTo>
                                <a:lnTo>
                                  <a:pt x="1115568" y="36322"/>
                                </a:lnTo>
                              </a:path>
                              <a:path w="4834890" h="36830">
                                <a:moveTo>
                                  <a:pt x="1487424" y="0"/>
                                </a:moveTo>
                                <a:lnTo>
                                  <a:pt x="1487424" y="36322"/>
                                </a:lnTo>
                              </a:path>
                              <a:path w="4834890" h="36830">
                                <a:moveTo>
                                  <a:pt x="1859279" y="0"/>
                                </a:moveTo>
                                <a:lnTo>
                                  <a:pt x="1859279" y="36322"/>
                                </a:lnTo>
                              </a:path>
                              <a:path w="4834890" h="36830">
                                <a:moveTo>
                                  <a:pt x="2231136" y="0"/>
                                </a:moveTo>
                                <a:lnTo>
                                  <a:pt x="2231136" y="36322"/>
                                </a:lnTo>
                              </a:path>
                              <a:path w="4834890" h="36830">
                                <a:moveTo>
                                  <a:pt x="2602991" y="0"/>
                                </a:moveTo>
                                <a:lnTo>
                                  <a:pt x="2602991" y="36322"/>
                                </a:lnTo>
                              </a:path>
                              <a:path w="4834890" h="36830">
                                <a:moveTo>
                                  <a:pt x="2974848" y="0"/>
                                </a:moveTo>
                                <a:lnTo>
                                  <a:pt x="2974848" y="36322"/>
                                </a:lnTo>
                              </a:path>
                              <a:path w="4834890" h="36830">
                                <a:moveTo>
                                  <a:pt x="3346704" y="0"/>
                                </a:moveTo>
                                <a:lnTo>
                                  <a:pt x="3346704" y="36322"/>
                                </a:lnTo>
                              </a:path>
                              <a:path w="4834890" h="36830">
                                <a:moveTo>
                                  <a:pt x="3718560" y="0"/>
                                </a:moveTo>
                                <a:lnTo>
                                  <a:pt x="3718560" y="36322"/>
                                </a:lnTo>
                              </a:path>
                              <a:path w="4834890" h="36830">
                                <a:moveTo>
                                  <a:pt x="4090416" y="0"/>
                                </a:moveTo>
                                <a:lnTo>
                                  <a:pt x="4090416" y="36322"/>
                                </a:lnTo>
                              </a:path>
                              <a:path w="4834890" h="36830">
                                <a:moveTo>
                                  <a:pt x="4462272" y="0"/>
                                </a:moveTo>
                                <a:lnTo>
                                  <a:pt x="4462272" y="36322"/>
                                </a:lnTo>
                              </a:path>
                              <a:path w="4834890" h="36830">
                                <a:moveTo>
                                  <a:pt x="4834763" y="0"/>
                                </a:moveTo>
                                <a:lnTo>
                                  <a:pt x="4834763" y="36322"/>
                                </a:lnTo>
                              </a:path>
                            </a:pathLst>
                          </a:custGeom>
                          <a:ln w="9525">
                            <a:solidFill>
                              <a:srgbClr val="D9D9D9"/>
                            </a:solidFill>
                            <a:prstDash val="solid"/>
                          </a:ln>
                        </wps:spPr>
                        <wps:bodyPr wrap="square" lIns="0" tIns="0" rIns="0" bIns="0" rtlCol="0">
                          <a:prstTxWarp prst="textNoShape">
                            <a:avLst/>
                          </a:prstTxWarp>
                          <a:noAutofit/>
                        </wps:bodyPr>
                      </wps:wsp>
                      <wps:wsp>
                        <wps:cNvPr id="204" name="Graphic 204"/>
                        <wps:cNvSpPr/>
                        <wps:spPr>
                          <a:xfrm>
                            <a:off x="986663" y="905763"/>
                            <a:ext cx="4091304" cy="433705"/>
                          </a:xfrm>
                          <a:custGeom>
                            <a:avLst/>
                            <a:gdLst/>
                            <a:ahLst/>
                            <a:cxnLst/>
                            <a:rect l="l" t="t" r="r" b="b"/>
                            <a:pathLst>
                              <a:path w="4091304" h="433705">
                                <a:moveTo>
                                  <a:pt x="0" y="433704"/>
                                </a:moveTo>
                                <a:lnTo>
                                  <a:pt x="371728" y="428243"/>
                                </a:lnTo>
                                <a:lnTo>
                                  <a:pt x="743584" y="419099"/>
                                </a:lnTo>
                                <a:lnTo>
                                  <a:pt x="1115440" y="227075"/>
                                </a:lnTo>
                                <a:lnTo>
                                  <a:pt x="1487297" y="198119"/>
                                </a:lnTo>
                                <a:lnTo>
                                  <a:pt x="1859152" y="169163"/>
                                </a:lnTo>
                                <a:lnTo>
                                  <a:pt x="2231009" y="140207"/>
                                </a:lnTo>
                                <a:lnTo>
                                  <a:pt x="2602865" y="111251"/>
                                </a:lnTo>
                                <a:lnTo>
                                  <a:pt x="2974721" y="82295"/>
                                </a:lnTo>
                                <a:lnTo>
                                  <a:pt x="3346577" y="53339"/>
                                </a:lnTo>
                                <a:lnTo>
                                  <a:pt x="3718432" y="28955"/>
                                </a:lnTo>
                                <a:lnTo>
                                  <a:pt x="4090924" y="0"/>
                                </a:lnTo>
                              </a:path>
                            </a:pathLst>
                          </a:custGeom>
                          <a:ln w="28575">
                            <a:solidFill>
                              <a:srgbClr val="A4A4A4"/>
                            </a:solidFill>
                            <a:prstDash val="solid"/>
                          </a:ln>
                        </wps:spPr>
                        <wps:bodyPr wrap="square" lIns="0" tIns="0" rIns="0" bIns="0" rtlCol="0">
                          <a:prstTxWarp prst="textNoShape">
                            <a:avLst/>
                          </a:prstTxWarp>
                          <a:noAutofit/>
                        </wps:bodyPr>
                      </wps:wsp>
                      <pic:pic>
                        <pic:nvPicPr>
                          <pic:cNvPr id="205" name="Image 205"/>
                          <pic:cNvPicPr/>
                        </pic:nvPicPr>
                        <pic:blipFill>
                          <a:blip r:embed="rId11" cstate="print"/>
                          <a:stretch>
                            <a:fillRect/>
                          </a:stretch>
                        </pic:blipFill>
                        <pic:spPr>
                          <a:xfrm>
                            <a:off x="949388" y="1302956"/>
                            <a:ext cx="73532" cy="73532"/>
                          </a:xfrm>
                          <a:prstGeom prst="rect">
                            <a:avLst/>
                          </a:prstGeom>
                        </pic:spPr>
                      </pic:pic>
                      <pic:pic>
                        <pic:nvPicPr>
                          <pic:cNvPr id="206" name="Image 206"/>
                          <pic:cNvPicPr/>
                        </pic:nvPicPr>
                        <pic:blipFill>
                          <a:blip r:embed="rId8" cstate="print"/>
                          <a:stretch>
                            <a:fillRect/>
                          </a:stretch>
                        </pic:blipFill>
                        <pic:spPr>
                          <a:xfrm>
                            <a:off x="1321244" y="1296860"/>
                            <a:ext cx="73532" cy="73532"/>
                          </a:xfrm>
                          <a:prstGeom prst="rect">
                            <a:avLst/>
                          </a:prstGeom>
                        </pic:spPr>
                      </pic:pic>
                      <pic:pic>
                        <pic:nvPicPr>
                          <pic:cNvPr id="207" name="Image 207"/>
                          <pic:cNvPicPr/>
                        </pic:nvPicPr>
                        <pic:blipFill>
                          <a:blip r:embed="rId8" cstate="print"/>
                          <a:stretch>
                            <a:fillRect/>
                          </a:stretch>
                        </pic:blipFill>
                        <pic:spPr>
                          <a:xfrm>
                            <a:off x="1693100" y="1287716"/>
                            <a:ext cx="73532" cy="73532"/>
                          </a:xfrm>
                          <a:prstGeom prst="rect">
                            <a:avLst/>
                          </a:prstGeom>
                        </pic:spPr>
                      </pic:pic>
                      <pic:pic>
                        <pic:nvPicPr>
                          <pic:cNvPr id="208" name="Image 208"/>
                          <pic:cNvPicPr/>
                        </pic:nvPicPr>
                        <pic:blipFill>
                          <a:blip r:embed="rId10" cstate="print"/>
                          <a:stretch>
                            <a:fillRect/>
                          </a:stretch>
                        </pic:blipFill>
                        <pic:spPr>
                          <a:xfrm>
                            <a:off x="2064956" y="1095692"/>
                            <a:ext cx="73532" cy="73533"/>
                          </a:xfrm>
                          <a:prstGeom prst="rect">
                            <a:avLst/>
                          </a:prstGeom>
                        </pic:spPr>
                      </pic:pic>
                      <pic:pic>
                        <pic:nvPicPr>
                          <pic:cNvPr id="209" name="Image 209"/>
                          <pic:cNvPicPr/>
                        </pic:nvPicPr>
                        <pic:blipFill>
                          <a:blip r:embed="rId10" cstate="print"/>
                          <a:stretch>
                            <a:fillRect/>
                          </a:stretch>
                        </pic:blipFill>
                        <pic:spPr>
                          <a:xfrm>
                            <a:off x="2436812" y="1066736"/>
                            <a:ext cx="73532" cy="73533"/>
                          </a:xfrm>
                          <a:prstGeom prst="rect">
                            <a:avLst/>
                          </a:prstGeom>
                        </pic:spPr>
                      </pic:pic>
                      <pic:pic>
                        <pic:nvPicPr>
                          <pic:cNvPr id="210" name="Image 210"/>
                          <pic:cNvPicPr/>
                        </pic:nvPicPr>
                        <pic:blipFill>
                          <a:blip r:embed="rId10" cstate="print"/>
                          <a:stretch>
                            <a:fillRect/>
                          </a:stretch>
                        </pic:blipFill>
                        <pic:spPr>
                          <a:xfrm>
                            <a:off x="2808668" y="1037780"/>
                            <a:ext cx="73533" cy="73533"/>
                          </a:xfrm>
                          <a:prstGeom prst="rect">
                            <a:avLst/>
                          </a:prstGeom>
                        </pic:spPr>
                      </pic:pic>
                      <pic:pic>
                        <pic:nvPicPr>
                          <pic:cNvPr id="211" name="Image 211"/>
                          <pic:cNvPicPr/>
                        </pic:nvPicPr>
                        <pic:blipFill>
                          <a:blip r:embed="rId10" cstate="print"/>
                          <a:stretch>
                            <a:fillRect/>
                          </a:stretch>
                        </pic:blipFill>
                        <pic:spPr>
                          <a:xfrm>
                            <a:off x="3180524" y="1008824"/>
                            <a:ext cx="73532" cy="73533"/>
                          </a:xfrm>
                          <a:prstGeom prst="rect">
                            <a:avLst/>
                          </a:prstGeom>
                        </pic:spPr>
                      </pic:pic>
                      <pic:pic>
                        <pic:nvPicPr>
                          <pic:cNvPr id="212" name="Image 212"/>
                          <pic:cNvPicPr/>
                        </pic:nvPicPr>
                        <pic:blipFill>
                          <a:blip r:embed="rId10" cstate="print"/>
                          <a:stretch>
                            <a:fillRect/>
                          </a:stretch>
                        </pic:blipFill>
                        <pic:spPr>
                          <a:xfrm>
                            <a:off x="3552380" y="979868"/>
                            <a:ext cx="73533" cy="73533"/>
                          </a:xfrm>
                          <a:prstGeom prst="rect">
                            <a:avLst/>
                          </a:prstGeom>
                        </pic:spPr>
                      </pic:pic>
                      <pic:pic>
                        <pic:nvPicPr>
                          <pic:cNvPr id="213" name="Image 213"/>
                          <pic:cNvPicPr/>
                        </pic:nvPicPr>
                        <pic:blipFill>
                          <a:blip r:embed="rId11" cstate="print"/>
                          <a:stretch>
                            <a:fillRect/>
                          </a:stretch>
                        </pic:blipFill>
                        <pic:spPr>
                          <a:xfrm>
                            <a:off x="3924236" y="950912"/>
                            <a:ext cx="73532" cy="73533"/>
                          </a:xfrm>
                          <a:prstGeom prst="rect">
                            <a:avLst/>
                          </a:prstGeom>
                        </pic:spPr>
                      </pic:pic>
                      <pic:pic>
                        <pic:nvPicPr>
                          <pic:cNvPr id="214" name="Image 214"/>
                          <pic:cNvPicPr/>
                        </pic:nvPicPr>
                        <pic:blipFill>
                          <a:blip r:embed="rId11" cstate="print"/>
                          <a:stretch>
                            <a:fillRect/>
                          </a:stretch>
                        </pic:blipFill>
                        <pic:spPr>
                          <a:xfrm>
                            <a:off x="4296092" y="921956"/>
                            <a:ext cx="73533" cy="73532"/>
                          </a:xfrm>
                          <a:prstGeom prst="rect">
                            <a:avLst/>
                          </a:prstGeom>
                        </pic:spPr>
                      </pic:pic>
                      <pic:pic>
                        <pic:nvPicPr>
                          <pic:cNvPr id="215" name="Image 215"/>
                          <pic:cNvPicPr/>
                        </pic:nvPicPr>
                        <pic:blipFill>
                          <a:blip r:embed="rId11" cstate="print"/>
                          <a:stretch>
                            <a:fillRect/>
                          </a:stretch>
                        </pic:blipFill>
                        <pic:spPr>
                          <a:xfrm>
                            <a:off x="4667948" y="897572"/>
                            <a:ext cx="73532" cy="73532"/>
                          </a:xfrm>
                          <a:prstGeom prst="rect">
                            <a:avLst/>
                          </a:prstGeom>
                        </pic:spPr>
                      </pic:pic>
                      <pic:pic>
                        <pic:nvPicPr>
                          <pic:cNvPr id="216" name="Image 216"/>
                          <pic:cNvPicPr/>
                        </pic:nvPicPr>
                        <pic:blipFill>
                          <a:blip r:embed="rId11" cstate="print"/>
                          <a:stretch>
                            <a:fillRect/>
                          </a:stretch>
                        </pic:blipFill>
                        <pic:spPr>
                          <a:xfrm>
                            <a:off x="5039804" y="868616"/>
                            <a:ext cx="73533" cy="73532"/>
                          </a:xfrm>
                          <a:prstGeom prst="rect">
                            <a:avLst/>
                          </a:prstGeom>
                        </pic:spPr>
                      </pic:pic>
                      <wps:wsp>
                        <wps:cNvPr id="217" name="Graphic 217"/>
                        <wps:cNvSpPr/>
                        <wps:spPr>
                          <a:xfrm>
                            <a:off x="986663" y="240538"/>
                            <a:ext cx="1487805" cy="1002665"/>
                          </a:xfrm>
                          <a:custGeom>
                            <a:avLst/>
                            <a:gdLst/>
                            <a:ahLst/>
                            <a:cxnLst/>
                            <a:rect l="l" t="t" r="r" b="b"/>
                            <a:pathLst>
                              <a:path w="1487805" h="1002665">
                                <a:moveTo>
                                  <a:pt x="0" y="950214"/>
                                </a:moveTo>
                                <a:lnTo>
                                  <a:pt x="371728" y="1002538"/>
                                </a:lnTo>
                                <a:lnTo>
                                  <a:pt x="743584" y="703326"/>
                                </a:lnTo>
                                <a:lnTo>
                                  <a:pt x="1115440" y="703326"/>
                                </a:lnTo>
                                <a:lnTo>
                                  <a:pt x="1487551" y="0"/>
                                </a:lnTo>
                              </a:path>
                            </a:pathLst>
                          </a:custGeom>
                          <a:ln w="28575">
                            <a:solidFill>
                              <a:srgbClr val="EC7C30"/>
                            </a:solidFill>
                            <a:prstDash val="solid"/>
                          </a:ln>
                        </wps:spPr>
                        <wps:bodyPr wrap="square" lIns="0" tIns="0" rIns="0" bIns="0" rtlCol="0">
                          <a:prstTxWarp prst="textNoShape">
                            <a:avLst/>
                          </a:prstTxWarp>
                          <a:noAutofit/>
                        </wps:bodyPr>
                      </wps:wsp>
                      <pic:pic>
                        <pic:nvPicPr>
                          <pic:cNvPr id="218" name="Image 218"/>
                          <pic:cNvPicPr/>
                        </pic:nvPicPr>
                        <pic:blipFill>
                          <a:blip r:embed="rId19" cstate="print"/>
                          <a:stretch>
                            <a:fillRect/>
                          </a:stretch>
                        </pic:blipFill>
                        <pic:spPr>
                          <a:xfrm>
                            <a:off x="937196" y="1141412"/>
                            <a:ext cx="97917" cy="97917"/>
                          </a:xfrm>
                          <a:prstGeom prst="rect">
                            <a:avLst/>
                          </a:prstGeom>
                        </pic:spPr>
                      </pic:pic>
                      <pic:pic>
                        <pic:nvPicPr>
                          <pic:cNvPr id="219" name="Image 219"/>
                          <pic:cNvPicPr/>
                        </pic:nvPicPr>
                        <pic:blipFill>
                          <a:blip r:embed="rId12" cstate="print"/>
                          <a:stretch>
                            <a:fillRect/>
                          </a:stretch>
                        </pic:blipFill>
                        <pic:spPr>
                          <a:xfrm>
                            <a:off x="1309052" y="1193228"/>
                            <a:ext cx="97917" cy="97917"/>
                          </a:xfrm>
                          <a:prstGeom prst="rect">
                            <a:avLst/>
                          </a:prstGeom>
                        </pic:spPr>
                      </pic:pic>
                      <pic:pic>
                        <pic:nvPicPr>
                          <pic:cNvPr id="220" name="Image 220"/>
                          <pic:cNvPicPr/>
                        </pic:nvPicPr>
                        <pic:blipFill>
                          <a:blip r:embed="rId14" cstate="print"/>
                          <a:stretch>
                            <a:fillRect/>
                          </a:stretch>
                        </pic:blipFill>
                        <pic:spPr>
                          <a:xfrm>
                            <a:off x="1680908" y="894524"/>
                            <a:ext cx="97917" cy="97917"/>
                          </a:xfrm>
                          <a:prstGeom prst="rect">
                            <a:avLst/>
                          </a:prstGeom>
                        </pic:spPr>
                      </pic:pic>
                      <pic:pic>
                        <pic:nvPicPr>
                          <pic:cNvPr id="221" name="Image 221"/>
                          <pic:cNvPicPr/>
                        </pic:nvPicPr>
                        <pic:blipFill>
                          <a:blip r:embed="rId14" cstate="print"/>
                          <a:stretch>
                            <a:fillRect/>
                          </a:stretch>
                        </pic:blipFill>
                        <pic:spPr>
                          <a:xfrm>
                            <a:off x="2052764" y="894524"/>
                            <a:ext cx="97917" cy="97917"/>
                          </a:xfrm>
                          <a:prstGeom prst="rect">
                            <a:avLst/>
                          </a:prstGeom>
                        </pic:spPr>
                      </pic:pic>
                      <pic:pic>
                        <pic:nvPicPr>
                          <pic:cNvPr id="222" name="Image 222"/>
                          <pic:cNvPicPr/>
                        </pic:nvPicPr>
                        <pic:blipFill>
                          <a:blip r:embed="rId12" cstate="print"/>
                          <a:stretch>
                            <a:fillRect/>
                          </a:stretch>
                        </pic:blipFill>
                        <pic:spPr>
                          <a:xfrm>
                            <a:off x="2424620" y="191960"/>
                            <a:ext cx="97917" cy="97916"/>
                          </a:xfrm>
                          <a:prstGeom prst="rect">
                            <a:avLst/>
                          </a:prstGeom>
                        </pic:spPr>
                      </pic:pic>
                      <pic:pic>
                        <pic:nvPicPr>
                          <pic:cNvPr id="223" name="Image 223"/>
                          <pic:cNvPicPr/>
                        </pic:nvPicPr>
                        <pic:blipFill>
                          <a:blip r:embed="rId31" cstate="print"/>
                          <a:stretch>
                            <a:fillRect/>
                          </a:stretch>
                        </pic:blipFill>
                        <pic:spPr>
                          <a:xfrm>
                            <a:off x="565721" y="1376489"/>
                            <a:ext cx="97917" cy="97917"/>
                          </a:xfrm>
                          <a:prstGeom prst="rect">
                            <a:avLst/>
                          </a:prstGeom>
                        </pic:spPr>
                      </pic:pic>
                      <pic:pic>
                        <pic:nvPicPr>
                          <pic:cNvPr id="224" name="Image 224"/>
                          <pic:cNvPicPr/>
                        </pic:nvPicPr>
                        <pic:blipFill>
                          <a:blip r:embed="rId32" cstate="print"/>
                          <a:stretch>
                            <a:fillRect/>
                          </a:stretch>
                        </pic:blipFill>
                        <pic:spPr>
                          <a:xfrm>
                            <a:off x="1094105" y="2194877"/>
                            <a:ext cx="243840" cy="73532"/>
                          </a:xfrm>
                          <a:prstGeom prst="rect">
                            <a:avLst/>
                          </a:prstGeom>
                        </pic:spPr>
                      </pic:pic>
                      <pic:pic>
                        <pic:nvPicPr>
                          <pic:cNvPr id="225" name="Image 225"/>
                          <pic:cNvPicPr/>
                        </pic:nvPicPr>
                        <pic:blipFill>
                          <a:blip r:embed="rId33" cstate="print"/>
                          <a:stretch>
                            <a:fillRect/>
                          </a:stretch>
                        </pic:blipFill>
                        <pic:spPr>
                          <a:xfrm>
                            <a:off x="2356230" y="2194877"/>
                            <a:ext cx="243839" cy="73532"/>
                          </a:xfrm>
                          <a:prstGeom prst="rect">
                            <a:avLst/>
                          </a:prstGeom>
                        </pic:spPr>
                      </pic:pic>
                      <pic:pic>
                        <pic:nvPicPr>
                          <pic:cNvPr id="226" name="Image 226"/>
                          <pic:cNvPicPr/>
                        </pic:nvPicPr>
                        <pic:blipFill>
                          <a:blip r:embed="rId34" cstate="print"/>
                          <a:stretch>
                            <a:fillRect/>
                          </a:stretch>
                        </pic:blipFill>
                        <pic:spPr>
                          <a:xfrm>
                            <a:off x="3599179" y="2194877"/>
                            <a:ext cx="243839" cy="73532"/>
                          </a:xfrm>
                          <a:prstGeom prst="rect">
                            <a:avLst/>
                          </a:prstGeom>
                        </pic:spPr>
                      </pic:pic>
                      <wps:wsp>
                        <wps:cNvPr id="227" name="Graphic 227"/>
                        <wps:cNvSpPr/>
                        <wps:spPr>
                          <a:xfrm>
                            <a:off x="3175" y="3175"/>
                            <a:ext cx="5400040" cy="2413000"/>
                          </a:xfrm>
                          <a:custGeom>
                            <a:avLst/>
                            <a:gdLst/>
                            <a:ahLst/>
                            <a:cxnLst/>
                            <a:rect l="l" t="t" r="r" b="b"/>
                            <a:pathLst>
                              <a:path w="5400040" h="2413000">
                                <a:moveTo>
                                  <a:pt x="0" y="2413000"/>
                                </a:moveTo>
                                <a:lnTo>
                                  <a:pt x="5400040" y="2413000"/>
                                </a:lnTo>
                                <a:lnTo>
                                  <a:pt x="5400040" y="0"/>
                                </a:lnTo>
                                <a:lnTo>
                                  <a:pt x="0" y="0"/>
                                </a:lnTo>
                                <a:lnTo>
                                  <a:pt x="0" y="2413000"/>
                                </a:lnTo>
                                <a:close/>
                              </a:path>
                            </a:pathLst>
                          </a:custGeom>
                          <a:ln w="6350">
                            <a:solidFill>
                              <a:srgbClr val="A6A6A6"/>
                            </a:solidFill>
                            <a:prstDash val="solid"/>
                          </a:ln>
                        </wps:spPr>
                        <wps:bodyPr wrap="square" lIns="0" tIns="0" rIns="0" bIns="0" rtlCol="0">
                          <a:prstTxWarp prst="textNoShape">
                            <a:avLst/>
                          </a:prstTxWarp>
                          <a:noAutofit/>
                        </wps:bodyPr>
                      </wps:wsp>
                      <wps:wsp>
                        <wps:cNvPr id="228" name="Textbox 228"/>
                        <wps:cNvSpPr txBox="1"/>
                        <wps:spPr>
                          <a:xfrm>
                            <a:off x="501650" y="1196213"/>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4471C4"/>
                                  <w:spacing w:val="-4"/>
                                  <w:sz w:val="20"/>
                                </w:rPr>
                                <w:t>0.33</w:t>
                              </w:r>
                            </w:p>
                          </w:txbxContent>
                        </wps:txbx>
                        <wps:bodyPr wrap="square" lIns="0" tIns="0" rIns="0" bIns="0" rtlCol="0">
                          <a:noAutofit/>
                        </wps:bodyPr>
                      </wps:wsp>
                      <wps:wsp>
                        <wps:cNvPr id="229" name="Textbox 229"/>
                        <wps:cNvSpPr txBox="1"/>
                        <wps:spPr>
                          <a:xfrm>
                            <a:off x="2032000" y="1203833"/>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0.40</w:t>
                              </w:r>
                            </w:p>
                          </w:txbxContent>
                        </wps:txbx>
                        <wps:bodyPr wrap="square" lIns="0" tIns="0" rIns="0" bIns="0" rtlCol="0">
                          <a:noAutofit/>
                        </wps:bodyPr>
                      </wps:wsp>
                      <wps:wsp>
                        <wps:cNvPr id="230" name="Textbox 230"/>
                        <wps:cNvSpPr txBox="1"/>
                        <wps:spPr>
                          <a:xfrm>
                            <a:off x="2356357" y="1164716"/>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0.40</w:t>
                              </w:r>
                            </w:p>
                          </w:txbxContent>
                        </wps:txbx>
                        <wps:bodyPr wrap="square" lIns="0" tIns="0" rIns="0" bIns="0" rtlCol="0">
                          <a:noAutofit/>
                        </wps:bodyPr>
                      </wps:wsp>
                      <wps:wsp>
                        <wps:cNvPr id="231" name="Textbox 231"/>
                        <wps:cNvSpPr txBox="1"/>
                        <wps:spPr>
                          <a:xfrm>
                            <a:off x="2781173" y="1103249"/>
                            <a:ext cx="610870" cy="145415"/>
                          </a:xfrm>
                          <a:prstGeom prst="rect">
                            <a:avLst/>
                          </a:prstGeom>
                        </wps:spPr>
                        <wps:txbx>
                          <w:txbxContent>
                            <w:p>
                              <w:pPr>
                                <w:tabs>
                                  <w:tab w:pos="585" w:val="left" w:leader="none"/>
                                </w:tabs>
                                <w:spacing w:line="229" w:lineRule="exact" w:before="0"/>
                                <w:ind w:left="0" w:right="0" w:firstLine="0"/>
                                <w:jc w:val="left"/>
                                <w:rPr>
                                  <w:rFonts w:ascii="Calibri"/>
                                  <w:b/>
                                  <w:sz w:val="20"/>
                                </w:rPr>
                              </w:pPr>
                              <w:r>
                                <w:rPr>
                                  <w:rFonts w:ascii="Calibri"/>
                                  <w:b/>
                                  <w:color w:val="A4A4A4"/>
                                  <w:spacing w:val="-4"/>
                                  <w:position w:val="-2"/>
                                  <w:sz w:val="20"/>
                                </w:rPr>
                                <w:t>0.41</w:t>
                              </w:r>
                              <w:r>
                                <w:rPr>
                                  <w:rFonts w:ascii="Calibri"/>
                                  <w:b/>
                                  <w:color w:val="A4A4A4"/>
                                  <w:position w:val="-2"/>
                                  <w:sz w:val="20"/>
                                </w:rPr>
                                <w:tab/>
                              </w:r>
                              <w:r>
                                <w:rPr>
                                  <w:rFonts w:ascii="Calibri"/>
                                  <w:b/>
                                  <w:color w:val="A4A4A4"/>
                                  <w:spacing w:val="-4"/>
                                  <w:sz w:val="20"/>
                                </w:rPr>
                                <w:t>0.41</w:t>
                              </w:r>
                            </w:p>
                          </w:txbxContent>
                        </wps:txbx>
                        <wps:bodyPr wrap="square" lIns="0" tIns="0" rIns="0" bIns="0" rtlCol="0">
                          <a:noAutofit/>
                        </wps:bodyPr>
                      </wps:wsp>
                      <wps:wsp>
                        <wps:cNvPr id="232" name="Textbox 232"/>
                        <wps:cNvSpPr txBox="1"/>
                        <wps:spPr>
                          <a:xfrm>
                            <a:off x="856107" y="1412239"/>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0.35</w:t>
                              </w:r>
                            </w:p>
                          </w:txbxContent>
                        </wps:txbx>
                        <wps:bodyPr wrap="square" lIns="0" tIns="0" rIns="0" bIns="0" rtlCol="0">
                          <a:noAutofit/>
                        </wps:bodyPr>
                      </wps:wsp>
                      <wps:wsp>
                        <wps:cNvPr id="233" name="Textbox 233"/>
                        <wps:cNvSpPr txBox="1"/>
                        <wps:spPr>
                          <a:xfrm>
                            <a:off x="1203578" y="1418971"/>
                            <a:ext cx="23939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0.35</w:t>
                              </w:r>
                            </w:p>
                          </w:txbxContent>
                        </wps:txbx>
                        <wps:bodyPr wrap="square" lIns="0" tIns="0" rIns="0" bIns="0" rtlCol="0">
                          <a:noAutofit/>
                        </wps:bodyPr>
                      </wps:wsp>
                      <wps:wsp>
                        <wps:cNvPr id="234" name="Textbox 234"/>
                        <wps:cNvSpPr txBox="1"/>
                        <wps:spPr>
                          <a:xfrm>
                            <a:off x="1665351" y="1382649"/>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0.36</w:t>
                              </w:r>
                            </w:p>
                          </w:txbxContent>
                        </wps:txbx>
                        <wps:bodyPr wrap="square" lIns="0" tIns="0" rIns="0" bIns="0" rtlCol="0">
                          <a:noAutofit/>
                        </wps:bodyPr>
                      </wps:wsp>
                      <wps:wsp>
                        <wps:cNvPr id="235" name="Textbox 235"/>
                        <wps:cNvSpPr txBox="1"/>
                        <wps:spPr>
                          <a:xfrm>
                            <a:off x="85852" y="1532000"/>
                            <a:ext cx="238760" cy="367665"/>
                          </a:xfrm>
                          <a:prstGeom prst="rect">
                            <a:avLst/>
                          </a:prstGeom>
                        </wps:spPr>
                        <wps:txbx>
                          <w:txbxContent>
                            <w:p>
                              <w:pPr>
                                <w:spacing w:line="203" w:lineRule="exact" w:before="0"/>
                                <w:ind w:left="0" w:right="0" w:firstLine="0"/>
                                <w:jc w:val="left"/>
                                <w:rPr>
                                  <w:rFonts w:ascii="Calibri"/>
                                  <w:sz w:val="20"/>
                                </w:rPr>
                              </w:pPr>
                              <w:r>
                                <w:rPr>
                                  <w:rFonts w:ascii="Calibri"/>
                                  <w:spacing w:val="-4"/>
                                  <w:sz w:val="20"/>
                                </w:rPr>
                                <w:t>0.30</w:t>
                              </w:r>
                            </w:p>
                            <w:p>
                              <w:pPr>
                                <w:spacing w:line="240" w:lineRule="exact" w:before="135"/>
                                <w:ind w:left="0" w:right="0" w:firstLine="0"/>
                                <w:jc w:val="left"/>
                                <w:rPr>
                                  <w:rFonts w:ascii="Calibri"/>
                                  <w:sz w:val="20"/>
                                </w:rPr>
                              </w:pPr>
                              <w:r>
                                <w:rPr>
                                  <w:rFonts w:ascii="Calibri"/>
                                  <w:spacing w:val="-4"/>
                                  <w:sz w:val="20"/>
                                </w:rPr>
                                <w:t>0.25</w:t>
                              </w:r>
                            </w:p>
                          </w:txbxContent>
                        </wps:txbx>
                        <wps:bodyPr wrap="square" lIns="0" tIns="0" rIns="0" bIns="0" rtlCol="0">
                          <a:noAutofit/>
                        </wps:bodyPr>
                      </wps:wsp>
                      <wps:wsp>
                        <wps:cNvPr id="236" name="Textbox 236"/>
                        <wps:cNvSpPr txBox="1"/>
                        <wps:spPr>
                          <a:xfrm>
                            <a:off x="499109" y="1926869"/>
                            <a:ext cx="4708525" cy="114935"/>
                          </a:xfrm>
                          <a:prstGeom prst="rect">
                            <a:avLst/>
                          </a:prstGeom>
                        </wps:spPr>
                        <wps:txbx>
                          <w:txbxContent>
                            <w:p>
                              <w:pPr>
                                <w:tabs>
                                  <w:tab w:pos="585" w:val="left" w:leader="none"/>
                                  <w:tab w:pos="1171" w:val="left" w:leader="none"/>
                                  <w:tab w:pos="1757" w:val="left" w:leader="none"/>
                                  <w:tab w:pos="2343" w:val="left" w:leader="none"/>
                                  <w:tab w:pos="2928" w:val="left" w:leader="none"/>
                                  <w:tab w:pos="3514" w:val="left" w:leader="none"/>
                                  <w:tab w:pos="4100" w:val="left" w:leader="none"/>
                                  <w:tab w:pos="4686" w:val="left" w:leader="none"/>
                                  <w:tab w:pos="5271" w:val="left" w:leader="none"/>
                                  <w:tab w:pos="5857" w:val="left" w:leader="none"/>
                                  <w:tab w:pos="6443" w:val="left" w:leader="none"/>
                                  <w:tab w:pos="7029" w:val="left" w:leader="none"/>
                                </w:tabs>
                                <w:spacing w:line="180" w:lineRule="exact" w:before="0"/>
                                <w:ind w:left="0" w:right="0" w:firstLine="0"/>
                                <w:jc w:val="left"/>
                                <w:rPr>
                                  <w:rFonts w:ascii="Calibri"/>
                                  <w:sz w:val="18"/>
                                </w:rPr>
                              </w:pPr>
                              <w:r>
                                <w:rPr>
                                  <w:rFonts w:ascii="Calibri"/>
                                  <w:color w:val="585858"/>
                                  <w:spacing w:val="-4"/>
                                  <w:sz w:val="18"/>
                                </w:rPr>
                                <w:t>2016</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wps:txbx>
                        <wps:bodyPr wrap="square" lIns="0" tIns="0" rIns="0" bIns="0" rtlCol="0">
                          <a:noAutofit/>
                        </wps:bodyPr>
                      </wps:wsp>
                      <wps:wsp>
                        <wps:cNvPr id="237" name="Textbox 237"/>
                        <wps:cNvSpPr txBox="1"/>
                        <wps:spPr>
                          <a:xfrm>
                            <a:off x="1364233" y="2180335"/>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238" name="Textbox 238"/>
                        <wps:cNvSpPr txBox="1"/>
                        <wps:spPr>
                          <a:xfrm>
                            <a:off x="2626360" y="2180335"/>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239" name="Textbox 239"/>
                        <wps:cNvSpPr txBox="1"/>
                        <wps:spPr>
                          <a:xfrm>
                            <a:off x="3869690" y="2180335"/>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240" name="Textbox 240"/>
                        <wps:cNvSpPr txBox="1"/>
                        <wps:spPr>
                          <a:xfrm>
                            <a:off x="85852" y="1291208"/>
                            <a:ext cx="238760" cy="127000"/>
                          </a:xfrm>
                          <a:prstGeom prst="rect">
                            <a:avLst/>
                          </a:prstGeom>
                        </wps:spPr>
                        <wps:txbx>
                          <w:txbxContent>
                            <w:p>
                              <w:pPr>
                                <w:spacing w:line="199" w:lineRule="exact" w:before="0"/>
                                <w:ind w:left="0" w:right="0" w:firstLine="0"/>
                                <w:jc w:val="left"/>
                                <w:rPr>
                                  <w:rFonts w:ascii="Calibri"/>
                                  <w:sz w:val="20"/>
                                </w:rPr>
                              </w:pPr>
                              <w:r>
                                <w:rPr>
                                  <w:rFonts w:ascii="Calibri"/>
                                  <w:spacing w:val="-4"/>
                                  <w:sz w:val="20"/>
                                </w:rPr>
                                <w:t>0.35</w:t>
                              </w:r>
                            </w:p>
                          </w:txbxContent>
                        </wps:txbx>
                        <wps:bodyPr wrap="square" lIns="0" tIns="0" rIns="0" bIns="0" rtlCol="0">
                          <a:noAutofit/>
                        </wps:bodyPr>
                      </wps:wsp>
                      <wps:wsp>
                        <wps:cNvPr id="241" name="Textbox 241"/>
                        <wps:cNvSpPr txBox="1"/>
                        <wps:spPr>
                          <a:xfrm>
                            <a:off x="4965700" y="943483"/>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0.44</w:t>
                              </w:r>
                            </w:p>
                          </w:txbxContent>
                        </wps:txbx>
                        <wps:bodyPr wrap="square" lIns="0" tIns="0" rIns="0" bIns="0" rtlCol="0">
                          <a:noAutofit/>
                        </wps:bodyPr>
                      </wps:wsp>
                      <wps:wsp>
                        <wps:cNvPr id="242" name="Textbox 242"/>
                        <wps:cNvSpPr txBox="1"/>
                        <wps:spPr>
                          <a:xfrm>
                            <a:off x="4641088" y="962405"/>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0.44</w:t>
                              </w:r>
                            </w:p>
                          </w:txbxContent>
                        </wps:txbx>
                        <wps:bodyPr wrap="square" lIns="0" tIns="0" rIns="0" bIns="0" rtlCol="0">
                          <a:noAutofit/>
                        </wps:bodyPr>
                      </wps:wsp>
                      <wps:wsp>
                        <wps:cNvPr id="243" name="Textbox 243"/>
                        <wps:cNvSpPr txBox="1"/>
                        <wps:spPr>
                          <a:xfrm>
                            <a:off x="4269232" y="996569"/>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0.43</w:t>
                              </w:r>
                            </w:p>
                          </w:txbxContent>
                        </wps:txbx>
                        <wps:bodyPr wrap="square" lIns="0" tIns="0" rIns="0" bIns="0" rtlCol="0">
                          <a:noAutofit/>
                        </wps:bodyPr>
                      </wps:wsp>
                      <wps:wsp>
                        <wps:cNvPr id="244" name="Textbox 244"/>
                        <wps:cNvSpPr txBox="1"/>
                        <wps:spPr>
                          <a:xfrm>
                            <a:off x="3886961" y="1035177"/>
                            <a:ext cx="23939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0.43</w:t>
                              </w:r>
                            </w:p>
                          </w:txbxContent>
                        </wps:txbx>
                        <wps:bodyPr wrap="square" lIns="0" tIns="0" rIns="0" bIns="0" rtlCol="0">
                          <a:noAutofit/>
                        </wps:bodyPr>
                      </wps:wsp>
                      <wps:wsp>
                        <wps:cNvPr id="245" name="Textbox 245"/>
                        <wps:cNvSpPr txBox="1"/>
                        <wps:spPr>
                          <a:xfrm>
                            <a:off x="3525265" y="1084325"/>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0.42</w:t>
                              </w:r>
                            </w:p>
                          </w:txbxContent>
                        </wps:txbx>
                        <wps:bodyPr wrap="square" lIns="0" tIns="0" rIns="0" bIns="0" rtlCol="0">
                          <a:noAutofit/>
                        </wps:bodyPr>
                      </wps:wsp>
                      <wps:wsp>
                        <wps:cNvPr id="246" name="Textbox 246"/>
                        <wps:cNvSpPr txBox="1"/>
                        <wps:spPr>
                          <a:xfrm>
                            <a:off x="1252982" y="1079753"/>
                            <a:ext cx="23939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0.37</w:t>
                              </w:r>
                            </w:p>
                          </w:txbxContent>
                        </wps:txbx>
                        <wps:bodyPr wrap="square" lIns="0" tIns="0" rIns="0" bIns="0" rtlCol="0">
                          <a:noAutofit/>
                        </wps:bodyPr>
                      </wps:wsp>
                      <wps:wsp>
                        <wps:cNvPr id="247" name="Textbox 247"/>
                        <wps:cNvSpPr txBox="1"/>
                        <wps:spPr>
                          <a:xfrm>
                            <a:off x="837819" y="1015364"/>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0.38</w:t>
                              </w:r>
                            </w:p>
                          </w:txbxContent>
                        </wps:txbx>
                        <wps:bodyPr wrap="square" lIns="0" tIns="0" rIns="0" bIns="0" rtlCol="0">
                          <a:noAutofit/>
                        </wps:bodyPr>
                      </wps:wsp>
                      <wps:wsp>
                        <wps:cNvPr id="248" name="Textbox 248"/>
                        <wps:cNvSpPr txBox="1"/>
                        <wps:spPr>
                          <a:xfrm>
                            <a:off x="85852" y="1050163"/>
                            <a:ext cx="238760" cy="127000"/>
                          </a:xfrm>
                          <a:prstGeom prst="rect">
                            <a:avLst/>
                          </a:prstGeom>
                        </wps:spPr>
                        <wps:txbx>
                          <w:txbxContent>
                            <w:p>
                              <w:pPr>
                                <w:spacing w:line="199" w:lineRule="exact" w:before="0"/>
                                <w:ind w:left="0" w:right="0" w:firstLine="0"/>
                                <w:jc w:val="left"/>
                                <w:rPr>
                                  <w:rFonts w:ascii="Calibri"/>
                                  <w:sz w:val="20"/>
                                </w:rPr>
                              </w:pPr>
                              <w:r>
                                <w:rPr>
                                  <w:rFonts w:ascii="Calibri"/>
                                  <w:spacing w:val="-4"/>
                                  <w:sz w:val="20"/>
                                </w:rPr>
                                <w:t>0.40</w:t>
                              </w:r>
                            </w:p>
                          </w:txbxContent>
                        </wps:txbx>
                        <wps:bodyPr wrap="square" lIns="0" tIns="0" rIns="0" bIns="0" rtlCol="0">
                          <a:noAutofit/>
                        </wps:bodyPr>
                      </wps:wsp>
                      <wps:wsp>
                        <wps:cNvPr id="249" name="Textbox 249"/>
                        <wps:cNvSpPr txBox="1"/>
                        <wps:spPr>
                          <a:xfrm>
                            <a:off x="2137155" y="896492"/>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0.43</w:t>
                              </w:r>
                            </w:p>
                          </w:txbxContent>
                        </wps:txbx>
                        <wps:bodyPr wrap="square" lIns="0" tIns="0" rIns="0" bIns="0" rtlCol="0">
                          <a:noAutofit/>
                        </wps:bodyPr>
                      </wps:wsp>
                      <wps:wsp>
                        <wps:cNvPr id="250" name="Textbox 250"/>
                        <wps:cNvSpPr txBox="1"/>
                        <wps:spPr>
                          <a:xfrm>
                            <a:off x="1668017" y="784733"/>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0.43</w:t>
                              </w:r>
                            </w:p>
                          </w:txbxContent>
                        </wps:txbx>
                        <wps:bodyPr wrap="square" lIns="0" tIns="0" rIns="0" bIns="0" rtlCol="0">
                          <a:noAutofit/>
                        </wps:bodyPr>
                      </wps:wsp>
                      <wps:wsp>
                        <wps:cNvPr id="251" name="Textbox 251"/>
                        <wps:cNvSpPr txBox="1"/>
                        <wps:spPr>
                          <a:xfrm>
                            <a:off x="2356866" y="48640"/>
                            <a:ext cx="238760"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4"/>
                                  <w:sz w:val="20"/>
                                </w:rPr>
                                <w:t>0.58</w:t>
                              </w:r>
                            </w:p>
                          </w:txbxContent>
                        </wps:txbx>
                        <wps:bodyPr wrap="square" lIns="0" tIns="0" rIns="0" bIns="0" rtlCol="0">
                          <a:noAutofit/>
                        </wps:bodyPr>
                      </wps:wsp>
                      <wps:wsp>
                        <wps:cNvPr id="252" name="Textbox 252"/>
                        <wps:cNvSpPr txBox="1"/>
                        <wps:spPr>
                          <a:xfrm>
                            <a:off x="85852" y="86106"/>
                            <a:ext cx="238760" cy="849630"/>
                          </a:xfrm>
                          <a:prstGeom prst="rect">
                            <a:avLst/>
                          </a:prstGeom>
                        </wps:spPr>
                        <wps:txbx>
                          <w:txbxContent>
                            <w:p>
                              <w:pPr>
                                <w:spacing w:line="203" w:lineRule="exact" w:before="0"/>
                                <w:ind w:left="0" w:right="0" w:firstLine="0"/>
                                <w:jc w:val="left"/>
                                <w:rPr>
                                  <w:rFonts w:ascii="Calibri"/>
                                  <w:sz w:val="20"/>
                                </w:rPr>
                              </w:pPr>
                              <w:r>
                                <w:rPr>
                                  <w:rFonts w:ascii="Calibri"/>
                                  <w:spacing w:val="-4"/>
                                  <w:sz w:val="20"/>
                                </w:rPr>
                                <w:t>0.60</w:t>
                              </w:r>
                            </w:p>
                            <w:p>
                              <w:pPr>
                                <w:spacing w:before="135"/>
                                <w:ind w:left="0" w:right="0" w:firstLine="0"/>
                                <w:jc w:val="left"/>
                                <w:rPr>
                                  <w:rFonts w:ascii="Calibri"/>
                                  <w:sz w:val="20"/>
                                </w:rPr>
                              </w:pPr>
                              <w:r>
                                <w:rPr>
                                  <w:rFonts w:ascii="Calibri"/>
                                  <w:spacing w:val="-4"/>
                                  <w:sz w:val="20"/>
                                </w:rPr>
                                <w:t>0.55</w:t>
                              </w:r>
                            </w:p>
                            <w:p>
                              <w:pPr>
                                <w:spacing w:before="136"/>
                                <w:ind w:left="0" w:right="0" w:firstLine="0"/>
                                <w:jc w:val="left"/>
                                <w:rPr>
                                  <w:rFonts w:ascii="Calibri"/>
                                  <w:sz w:val="20"/>
                                </w:rPr>
                              </w:pPr>
                              <w:r>
                                <w:rPr>
                                  <w:rFonts w:ascii="Calibri"/>
                                  <w:spacing w:val="-4"/>
                                  <w:sz w:val="20"/>
                                </w:rPr>
                                <w:t>0.50</w:t>
                              </w:r>
                            </w:p>
                            <w:p>
                              <w:pPr>
                                <w:spacing w:line="240" w:lineRule="exact" w:before="135"/>
                                <w:ind w:left="0" w:right="0" w:firstLine="0"/>
                                <w:jc w:val="left"/>
                                <w:rPr>
                                  <w:rFonts w:ascii="Calibri"/>
                                  <w:sz w:val="20"/>
                                </w:rPr>
                              </w:pPr>
                              <w:r>
                                <w:rPr>
                                  <w:rFonts w:ascii="Calibri"/>
                                  <w:spacing w:val="-4"/>
                                  <w:sz w:val="20"/>
                                </w:rPr>
                                <w:t>0.45</w:t>
                              </w:r>
                            </w:p>
                          </w:txbxContent>
                        </wps:txbx>
                        <wps:bodyPr wrap="square" lIns="0" tIns="0" rIns="0" bIns="0" rtlCol="0">
                          <a:noAutofit/>
                        </wps:bodyPr>
                      </wps:wsp>
                    </wpg:wgp>
                  </a:graphicData>
                </a:graphic>
              </wp:anchor>
            </w:drawing>
          </mc:Choice>
          <mc:Fallback>
            <w:pict>
              <v:group style="position:absolute;margin-left:84.800003pt;margin-top:10.377578pt;width:425.7pt;height:190.5pt;mso-position-horizontal-relative:page;mso-position-vertical-relative:paragraph;z-index:-15725568;mso-wrap-distance-left:0;mso-wrap-distance-right:0" id="docshapegroup198" coordorigin="1696,208" coordsize="8514,3810">
                <v:shape style="position:absolute;left:2307;top:434;width:64;height:2657" id="docshape199" coordorigin="2308,435" coordsize="64,2657" path="m2371,3091l2371,435m2308,3091l2371,3091m2308,2712l2371,2712m2308,2332l2371,2332m2308,1953l2371,1953m2308,1574l2371,1574m2308,1195l2371,1195m2308,813l2371,813m2308,435l2371,435e" filled="false" stroked="true" strokeweight=".5pt" strokecolor="#888888">
                  <v:path arrowok="t"/>
                  <v:stroke dashstyle="solid"/>
                </v:shape>
                <v:shape style="position:absolute;left:2371;top:3091;width:7614;height:58" id="docshape200" coordorigin="2371,3091" coordsize="7614,58" path="m2371,3091l9985,3091m2371,3091l2371,3148m2957,3091l2957,3148m3542,3091l3542,3148m4128,3091l4128,3148m4714,3091l4714,3148m5299,3091l5299,3148m5885,3091l5885,3148m6470,3091l6470,3148m7056,3091l7056,3148m7642,3091l7642,3148m8227,3091l8227,3148m8813,3091l8813,3148m9398,3091l9398,3148m9985,3091l9985,3148e" filled="false" stroked="true" strokeweight=".75pt" strokecolor="#d9d9d9">
                  <v:path arrowok="t"/>
                  <v:stroke dashstyle="solid"/>
                </v:shape>
                <v:shape style="position:absolute;left:3249;top:1633;width:6443;height:683" id="docshape201" coordorigin="3250,1634" coordsize="6443,683" path="m3250,2317l3835,2308,4421,2294,5006,1992,5592,1946,6178,1900,6763,1855,7349,1809,7934,1764,8520,1718,9106,1680,9692,1634e" filled="false" stroked="true" strokeweight="2.25pt" strokecolor="#a4a4a4">
                  <v:path arrowok="t"/>
                  <v:stroke dashstyle="solid"/>
                </v:shape>
                <v:shape style="position:absolute;left:3191;top:2259;width:116;height:116" type="#_x0000_t75" id="docshape202" stroked="false">
                  <v:imagedata r:id="rId11" o:title=""/>
                </v:shape>
                <v:shape style="position:absolute;left:3776;top:2249;width:116;height:116" type="#_x0000_t75" id="docshape203" stroked="false">
                  <v:imagedata r:id="rId8" o:title=""/>
                </v:shape>
                <v:shape style="position:absolute;left:4362;top:2235;width:116;height:116" type="#_x0000_t75" id="docshape204" stroked="false">
                  <v:imagedata r:id="rId8" o:title=""/>
                </v:shape>
                <v:shape style="position:absolute;left:4947;top:1933;width:116;height:116" type="#_x0000_t75" id="docshape205" stroked="false">
                  <v:imagedata r:id="rId10" o:title=""/>
                </v:shape>
                <v:shape style="position:absolute;left:5533;top:1887;width:116;height:116" type="#_x0000_t75" id="docshape206" stroked="false">
                  <v:imagedata r:id="rId10" o:title=""/>
                </v:shape>
                <v:shape style="position:absolute;left:6119;top:1841;width:116;height:116" type="#_x0000_t75" id="docshape207" stroked="false">
                  <v:imagedata r:id="rId10" o:title=""/>
                </v:shape>
                <v:shape style="position:absolute;left:6704;top:1796;width:116;height:116" type="#_x0000_t75" id="docshape208" stroked="false">
                  <v:imagedata r:id="rId10" o:title=""/>
                </v:shape>
                <v:shape style="position:absolute;left:7290;top:1750;width:116;height:116" type="#_x0000_t75" id="docshape209" stroked="false">
                  <v:imagedata r:id="rId10" o:title=""/>
                </v:shape>
                <v:shape style="position:absolute;left:7875;top:1705;width:116;height:116" type="#_x0000_t75" id="docshape210" stroked="false">
                  <v:imagedata r:id="rId11" o:title=""/>
                </v:shape>
                <v:shape style="position:absolute;left:8461;top:1659;width:116;height:116" type="#_x0000_t75" id="docshape211" stroked="false">
                  <v:imagedata r:id="rId11" o:title=""/>
                </v:shape>
                <v:shape style="position:absolute;left:9047;top:1621;width:116;height:116" type="#_x0000_t75" id="docshape212" stroked="false">
                  <v:imagedata r:id="rId11" o:title=""/>
                </v:shape>
                <v:shape style="position:absolute;left:9632;top:1575;width:116;height:116" type="#_x0000_t75" id="docshape213" stroked="false">
                  <v:imagedata r:id="rId11" o:title=""/>
                </v:shape>
                <v:shape style="position:absolute;left:3249;top:586;width:2343;height:1579" id="docshape214" coordorigin="3250,586" coordsize="2343,1579" path="m3250,2083l3835,2165,4421,1694,5006,1694,5592,586e" filled="false" stroked="true" strokeweight="2.25pt" strokecolor="#ec7c30">
                  <v:path arrowok="t"/>
                  <v:stroke dashstyle="solid"/>
                </v:shape>
                <v:shape style="position:absolute;left:3171;top:2005;width:155;height:155" type="#_x0000_t75" id="docshape215" stroked="false">
                  <v:imagedata r:id="rId19" o:title=""/>
                </v:shape>
                <v:shape style="position:absolute;left:3757;top:2086;width:155;height:155" type="#_x0000_t75" id="docshape216" stroked="false">
                  <v:imagedata r:id="rId12" o:title=""/>
                </v:shape>
                <v:shape style="position:absolute;left:4343;top:1616;width:155;height:155" type="#_x0000_t75" id="docshape217" stroked="false">
                  <v:imagedata r:id="rId14" o:title=""/>
                </v:shape>
                <v:shape style="position:absolute;left:4928;top:1616;width:155;height:155" type="#_x0000_t75" id="docshape218" stroked="false">
                  <v:imagedata r:id="rId14" o:title=""/>
                </v:shape>
                <v:shape style="position:absolute;left:5514;top:509;width:155;height:155" type="#_x0000_t75" id="docshape219" stroked="false">
                  <v:imagedata r:id="rId12" o:title=""/>
                </v:shape>
                <v:shape style="position:absolute;left:2586;top:2375;width:155;height:155" type="#_x0000_t75" id="docshape220" stroked="false">
                  <v:imagedata r:id="rId31" o:title=""/>
                </v:shape>
                <v:shape style="position:absolute;left:3419;top:3664;width:384;height:116" type="#_x0000_t75" id="docshape221" stroked="false">
                  <v:imagedata r:id="rId32" o:title=""/>
                </v:shape>
                <v:shape style="position:absolute;left:5406;top:3664;width:384;height:116" type="#_x0000_t75" id="docshape222" stroked="false">
                  <v:imagedata r:id="rId33" o:title=""/>
                </v:shape>
                <v:shape style="position:absolute;left:7364;top:3664;width:384;height:116" type="#_x0000_t75" id="docshape223" stroked="false">
                  <v:imagedata r:id="rId34" o:title=""/>
                </v:shape>
                <v:rect style="position:absolute;left:1701;top:212;width:8504;height:3800" id="docshape224" filled="false" stroked="true" strokeweight=".5pt" strokecolor="#a6a6a6">
                  <v:stroke dashstyle="solid"/>
                </v:rect>
                <v:shape style="position:absolute;left:2486;top:2091;width:376;height:200" type="#_x0000_t202" id="docshape225" filled="false" stroked="false">
                  <v:textbox inset="0,0,0,0">
                    <w:txbxContent>
                      <w:p>
                        <w:pPr>
                          <w:spacing w:line="199" w:lineRule="exact" w:before="0"/>
                          <w:ind w:left="0" w:right="0" w:firstLine="0"/>
                          <w:jc w:val="left"/>
                          <w:rPr>
                            <w:rFonts w:ascii="Calibri"/>
                            <w:b/>
                            <w:sz w:val="20"/>
                          </w:rPr>
                        </w:pPr>
                        <w:r>
                          <w:rPr>
                            <w:rFonts w:ascii="Calibri"/>
                            <w:b/>
                            <w:color w:val="4471C4"/>
                            <w:spacing w:val="-4"/>
                            <w:sz w:val="20"/>
                          </w:rPr>
                          <w:t>0.33</w:t>
                        </w:r>
                      </w:p>
                    </w:txbxContent>
                  </v:textbox>
                  <w10:wrap type="none"/>
                </v:shape>
                <v:shape style="position:absolute;left:4896;top:2103;width:376;height:200" type="#_x0000_t202" id="docshape226"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0.40</w:t>
                        </w:r>
                      </w:p>
                    </w:txbxContent>
                  </v:textbox>
                  <w10:wrap type="none"/>
                </v:shape>
                <v:shape style="position:absolute;left:5406;top:2041;width:376;height:200" type="#_x0000_t202" id="docshape227"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0.40</w:t>
                        </w:r>
                      </w:p>
                    </w:txbxContent>
                  </v:textbox>
                  <w10:wrap type="none"/>
                </v:shape>
                <v:shape style="position:absolute;left:6075;top:1944;width:962;height:229" type="#_x0000_t202" id="docshape228" filled="false" stroked="false">
                  <v:textbox inset="0,0,0,0">
                    <w:txbxContent>
                      <w:p>
                        <w:pPr>
                          <w:tabs>
                            <w:tab w:pos="585" w:val="left" w:leader="none"/>
                          </w:tabs>
                          <w:spacing w:line="229" w:lineRule="exact" w:before="0"/>
                          <w:ind w:left="0" w:right="0" w:firstLine="0"/>
                          <w:jc w:val="left"/>
                          <w:rPr>
                            <w:rFonts w:ascii="Calibri"/>
                            <w:b/>
                            <w:sz w:val="20"/>
                          </w:rPr>
                        </w:pPr>
                        <w:r>
                          <w:rPr>
                            <w:rFonts w:ascii="Calibri"/>
                            <w:b/>
                            <w:color w:val="A4A4A4"/>
                            <w:spacing w:val="-4"/>
                            <w:position w:val="-2"/>
                            <w:sz w:val="20"/>
                          </w:rPr>
                          <w:t>0.41</w:t>
                        </w:r>
                        <w:r>
                          <w:rPr>
                            <w:rFonts w:ascii="Calibri"/>
                            <w:b/>
                            <w:color w:val="A4A4A4"/>
                            <w:position w:val="-2"/>
                            <w:sz w:val="20"/>
                          </w:rPr>
                          <w:tab/>
                        </w:r>
                        <w:r>
                          <w:rPr>
                            <w:rFonts w:ascii="Calibri"/>
                            <w:b/>
                            <w:color w:val="A4A4A4"/>
                            <w:spacing w:val="-4"/>
                            <w:sz w:val="20"/>
                          </w:rPr>
                          <w:t>0.41</w:t>
                        </w:r>
                      </w:p>
                    </w:txbxContent>
                  </v:textbox>
                  <w10:wrap type="none"/>
                </v:shape>
                <v:shape style="position:absolute;left:3044;top:2431;width:376;height:200" type="#_x0000_t202" id="docshape229"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0.35</w:t>
                        </w:r>
                      </w:p>
                    </w:txbxContent>
                  </v:textbox>
                  <w10:wrap type="none"/>
                </v:shape>
                <v:shape style="position:absolute;left:3591;top:2442;width:377;height:200" type="#_x0000_t202" id="docshape230"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0.35</w:t>
                        </w:r>
                      </w:p>
                    </w:txbxContent>
                  </v:textbox>
                  <w10:wrap type="none"/>
                </v:shape>
                <v:shape style="position:absolute;left:4318;top:2384;width:376;height:200" type="#_x0000_t202" id="docshape231"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0.36</w:t>
                        </w:r>
                      </w:p>
                    </w:txbxContent>
                  </v:textbox>
                  <w10:wrap type="none"/>
                </v:shape>
                <v:shape style="position:absolute;left:1831;top:2620;width:376;height:579" type="#_x0000_t202" id="docshape232" filled="false" stroked="false">
                  <v:textbox inset="0,0,0,0">
                    <w:txbxContent>
                      <w:p>
                        <w:pPr>
                          <w:spacing w:line="203" w:lineRule="exact" w:before="0"/>
                          <w:ind w:left="0" w:right="0" w:firstLine="0"/>
                          <w:jc w:val="left"/>
                          <w:rPr>
                            <w:rFonts w:ascii="Calibri"/>
                            <w:sz w:val="20"/>
                          </w:rPr>
                        </w:pPr>
                        <w:r>
                          <w:rPr>
                            <w:rFonts w:ascii="Calibri"/>
                            <w:spacing w:val="-4"/>
                            <w:sz w:val="20"/>
                          </w:rPr>
                          <w:t>0.30</w:t>
                        </w:r>
                      </w:p>
                      <w:p>
                        <w:pPr>
                          <w:spacing w:line="240" w:lineRule="exact" w:before="135"/>
                          <w:ind w:left="0" w:right="0" w:firstLine="0"/>
                          <w:jc w:val="left"/>
                          <w:rPr>
                            <w:rFonts w:ascii="Calibri"/>
                            <w:sz w:val="20"/>
                          </w:rPr>
                        </w:pPr>
                        <w:r>
                          <w:rPr>
                            <w:rFonts w:ascii="Calibri"/>
                            <w:spacing w:val="-4"/>
                            <w:sz w:val="20"/>
                          </w:rPr>
                          <w:t>0.25</w:t>
                        </w:r>
                      </w:p>
                    </w:txbxContent>
                  </v:textbox>
                  <w10:wrap type="none"/>
                </v:shape>
                <v:shape style="position:absolute;left:2482;top:3242;width:7415;height:181" type="#_x0000_t202" id="docshape233" filled="false" stroked="false">
                  <v:textbox inset="0,0,0,0">
                    <w:txbxContent>
                      <w:p>
                        <w:pPr>
                          <w:tabs>
                            <w:tab w:pos="585" w:val="left" w:leader="none"/>
                            <w:tab w:pos="1171" w:val="left" w:leader="none"/>
                            <w:tab w:pos="1757" w:val="left" w:leader="none"/>
                            <w:tab w:pos="2343" w:val="left" w:leader="none"/>
                            <w:tab w:pos="2928" w:val="left" w:leader="none"/>
                            <w:tab w:pos="3514" w:val="left" w:leader="none"/>
                            <w:tab w:pos="4100" w:val="left" w:leader="none"/>
                            <w:tab w:pos="4686" w:val="left" w:leader="none"/>
                            <w:tab w:pos="5271" w:val="left" w:leader="none"/>
                            <w:tab w:pos="5857" w:val="left" w:leader="none"/>
                            <w:tab w:pos="6443" w:val="left" w:leader="none"/>
                            <w:tab w:pos="7029" w:val="left" w:leader="none"/>
                          </w:tabs>
                          <w:spacing w:line="180" w:lineRule="exact" w:before="0"/>
                          <w:ind w:left="0" w:right="0" w:firstLine="0"/>
                          <w:jc w:val="left"/>
                          <w:rPr>
                            <w:rFonts w:ascii="Calibri"/>
                            <w:sz w:val="18"/>
                          </w:rPr>
                        </w:pPr>
                        <w:r>
                          <w:rPr>
                            <w:rFonts w:ascii="Calibri"/>
                            <w:color w:val="585858"/>
                            <w:spacing w:val="-4"/>
                            <w:sz w:val="18"/>
                          </w:rPr>
                          <w:t>2016</w:t>
                        </w:r>
                        <w:r>
                          <w:rPr>
                            <w:rFonts w:ascii="Calibri"/>
                            <w:color w:val="585858"/>
                            <w:sz w:val="18"/>
                          </w:rPr>
                          <w:tab/>
                        </w:r>
                        <w:r>
                          <w:rPr>
                            <w:rFonts w:ascii="Calibri"/>
                            <w:color w:val="585858"/>
                            <w:spacing w:val="-4"/>
                            <w:sz w:val="18"/>
                          </w:rPr>
                          <w:t>2019</w:t>
                        </w:r>
                        <w:r>
                          <w:rPr>
                            <w:rFonts w:ascii="Calibri"/>
                            <w:color w:val="585858"/>
                            <w:sz w:val="18"/>
                          </w:rPr>
                          <w:tab/>
                        </w:r>
                        <w:r>
                          <w:rPr>
                            <w:rFonts w:ascii="Calibri"/>
                            <w:color w:val="585858"/>
                            <w:spacing w:val="-4"/>
                            <w:sz w:val="18"/>
                          </w:rPr>
                          <w:t>2020</w:t>
                        </w:r>
                        <w:r>
                          <w:rPr>
                            <w:rFonts w:ascii="Calibri"/>
                            <w:color w:val="585858"/>
                            <w:sz w:val="18"/>
                          </w:rPr>
                          <w:tab/>
                        </w:r>
                        <w:r>
                          <w:rPr>
                            <w:rFonts w:ascii="Calibri"/>
                            <w:color w:val="585858"/>
                            <w:spacing w:val="-4"/>
                            <w:sz w:val="18"/>
                          </w:rPr>
                          <w:t>2021</w:t>
                        </w:r>
                        <w:r>
                          <w:rPr>
                            <w:rFonts w:ascii="Calibri"/>
                            <w:color w:val="585858"/>
                            <w:sz w:val="18"/>
                          </w:rPr>
                          <w:tab/>
                        </w:r>
                        <w:r>
                          <w:rPr>
                            <w:rFonts w:ascii="Calibri"/>
                            <w:color w:val="585858"/>
                            <w:spacing w:val="-4"/>
                            <w:sz w:val="18"/>
                          </w:rPr>
                          <w:t>2022</w:t>
                        </w:r>
                        <w:r>
                          <w:rPr>
                            <w:rFonts w:ascii="Calibri"/>
                            <w:color w:val="585858"/>
                            <w:sz w:val="18"/>
                          </w:rPr>
                          <w:tab/>
                        </w:r>
                        <w:r>
                          <w:rPr>
                            <w:rFonts w:ascii="Calibri"/>
                            <w:color w:val="585858"/>
                            <w:spacing w:val="-4"/>
                            <w:sz w:val="18"/>
                          </w:rPr>
                          <w:t>2023</w:t>
                        </w:r>
                        <w:r>
                          <w:rPr>
                            <w:rFonts w:ascii="Calibri"/>
                            <w:color w:val="585858"/>
                            <w:sz w:val="18"/>
                          </w:rPr>
                          <w:tab/>
                        </w: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v:textbox>
                  <w10:wrap type="none"/>
                </v:shape>
                <v:shape style="position:absolute;left:3844;top:3641;width:1290;height:180" type="#_x0000_t202" id="docshape234"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5832;top:3641;width:1261;height:180" type="#_x0000_t202" id="docshape235"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7790;top:3641;width:789;height:180" type="#_x0000_t202" id="docshape236"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1831;top:2240;width:376;height:200" type="#_x0000_t202" id="docshape237" filled="false" stroked="false">
                  <v:textbox inset="0,0,0,0">
                    <w:txbxContent>
                      <w:p>
                        <w:pPr>
                          <w:spacing w:line="199" w:lineRule="exact" w:before="0"/>
                          <w:ind w:left="0" w:right="0" w:firstLine="0"/>
                          <w:jc w:val="left"/>
                          <w:rPr>
                            <w:rFonts w:ascii="Calibri"/>
                            <w:sz w:val="20"/>
                          </w:rPr>
                        </w:pPr>
                        <w:r>
                          <w:rPr>
                            <w:rFonts w:ascii="Calibri"/>
                            <w:spacing w:val="-4"/>
                            <w:sz w:val="20"/>
                          </w:rPr>
                          <w:t>0.35</w:t>
                        </w:r>
                      </w:p>
                    </w:txbxContent>
                  </v:textbox>
                  <w10:wrap type="none"/>
                </v:shape>
                <v:shape style="position:absolute;left:9516;top:1693;width:376;height:200" type="#_x0000_t202" id="docshape238"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0.44</w:t>
                        </w:r>
                      </w:p>
                    </w:txbxContent>
                  </v:textbox>
                  <w10:wrap type="none"/>
                </v:shape>
                <v:shape style="position:absolute;left:9004;top:1723;width:376;height:200" type="#_x0000_t202" id="docshape239"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0.44</w:t>
                        </w:r>
                      </w:p>
                    </w:txbxContent>
                  </v:textbox>
                  <w10:wrap type="none"/>
                </v:shape>
                <v:shape style="position:absolute;left:8419;top:1776;width:376;height:200" type="#_x0000_t202" id="docshape240"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0.43</w:t>
                        </w:r>
                      </w:p>
                    </w:txbxContent>
                  </v:textbox>
                  <w10:wrap type="none"/>
                </v:shape>
                <v:shape style="position:absolute;left:7817;top:1837;width:377;height:200" type="#_x0000_t202" id="docshape241"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0.43</w:t>
                        </w:r>
                      </w:p>
                    </w:txbxContent>
                  </v:textbox>
                  <w10:wrap type="none"/>
                </v:shape>
                <v:shape style="position:absolute;left:7247;top:1915;width:376;height:200" type="#_x0000_t202" id="docshape242"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0.42</w:t>
                        </w:r>
                      </w:p>
                    </w:txbxContent>
                  </v:textbox>
                  <w10:wrap type="none"/>
                </v:shape>
                <v:shape style="position:absolute;left:3669;top:1907;width:377;height:200" type="#_x0000_t202" id="docshape243"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0.37</w:t>
                        </w:r>
                      </w:p>
                    </w:txbxContent>
                  </v:textbox>
                  <w10:wrap type="none"/>
                </v:shape>
                <v:shape style="position:absolute;left:3015;top:1806;width:376;height:200" type="#_x0000_t202" id="docshape244"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0.38</w:t>
                        </w:r>
                      </w:p>
                    </w:txbxContent>
                  </v:textbox>
                  <w10:wrap type="none"/>
                </v:shape>
                <v:shape style="position:absolute;left:1831;top:1861;width:376;height:200" type="#_x0000_t202" id="docshape245" filled="false" stroked="false">
                  <v:textbox inset="0,0,0,0">
                    <w:txbxContent>
                      <w:p>
                        <w:pPr>
                          <w:spacing w:line="199" w:lineRule="exact" w:before="0"/>
                          <w:ind w:left="0" w:right="0" w:firstLine="0"/>
                          <w:jc w:val="left"/>
                          <w:rPr>
                            <w:rFonts w:ascii="Calibri"/>
                            <w:sz w:val="20"/>
                          </w:rPr>
                        </w:pPr>
                        <w:r>
                          <w:rPr>
                            <w:rFonts w:ascii="Calibri"/>
                            <w:spacing w:val="-4"/>
                            <w:sz w:val="20"/>
                          </w:rPr>
                          <w:t>0.40</w:t>
                        </w:r>
                      </w:p>
                    </w:txbxContent>
                  </v:textbox>
                  <w10:wrap type="none"/>
                </v:shape>
                <v:shape style="position:absolute;left:5061;top:1619;width:376;height:200" type="#_x0000_t202" id="docshape246"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0.43</w:t>
                        </w:r>
                      </w:p>
                    </w:txbxContent>
                  </v:textbox>
                  <w10:wrap type="none"/>
                </v:shape>
                <v:shape style="position:absolute;left:4322;top:1443;width:376;height:200" type="#_x0000_t202" id="docshape247"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0.43</w:t>
                        </w:r>
                      </w:p>
                    </w:txbxContent>
                  </v:textbox>
                  <w10:wrap type="none"/>
                </v:shape>
                <v:shape style="position:absolute;left:5407;top:284;width:376;height:200" type="#_x0000_t202" id="docshape248" filled="false" stroked="false">
                  <v:textbox inset="0,0,0,0">
                    <w:txbxContent>
                      <w:p>
                        <w:pPr>
                          <w:spacing w:line="199" w:lineRule="exact" w:before="0"/>
                          <w:ind w:left="0" w:right="0" w:firstLine="0"/>
                          <w:jc w:val="left"/>
                          <w:rPr>
                            <w:rFonts w:ascii="Calibri"/>
                            <w:b/>
                            <w:sz w:val="20"/>
                          </w:rPr>
                        </w:pPr>
                        <w:r>
                          <w:rPr>
                            <w:rFonts w:ascii="Calibri"/>
                            <w:b/>
                            <w:color w:val="EC7C30"/>
                            <w:spacing w:val="-4"/>
                            <w:sz w:val="20"/>
                          </w:rPr>
                          <w:t>0.58</w:t>
                        </w:r>
                      </w:p>
                    </w:txbxContent>
                  </v:textbox>
                  <w10:wrap type="none"/>
                </v:shape>
                <v:shape style="position:absolute;left:1831;top:343;width:376;height:1338" type="#_x0000_t202" id="docshape249" filled="false" stroked="false">
                  <v:textbox inset="0,0,0,0">
                    <w:txbxContent>
                      <w:p>
                        <w:pPr>
                          <w:spacing w:line="203" w:lineRule="exact" w:before="0"/>
                          <w:ind w:left="0" w:right="0" w:firstLine="0"/>
                          <w:jc w:val="left"/>
                          <w:rPr>
                            <w:rFonts w:ascii="Calibri"/>
                            <w:sz w:val="20"/>
                          </w:rPr>
                        </w:pPr>
                        <w:r>
                          <w:rPr>
                            <w:rFonts w:ascii="Calibri"/>
                            <w:spacing w:val="-4"/>
                            <w:sz w:val="20"/>
                          </w:rPr>
                          <w:t>0.60</w:t>
                        </w:r>
                      </w:p>
                      <w:p>
                        <w:pPr>
                          <w:spacing w:before="135"/>
                          <w:ind w:left="0" w:right="0" w:firstLine="0"/>
                          <w:jc w:val="left"/>
                          <w:rPr>
                            <w:rFonts w:ascii="Calibri"/>
                            <w:sz w:val="20"/>
                          </w:rPr>
                        </w:pPr>
                        <w:r>
                          <w:rPr>
                            <w:rFonts w:ascii="Calibri"/>
                            <w:spacing w:val="-4"/>
                            <w:sz w:val="20"/>
                          </w:rPr>
                          <w:t>0.55</w:t>
                        </w:r>
                      </w:p>
                      <w:p>
                        <w:pPr>
                          <w:spacing w:before="136"/>
                          <w:ind w:left="0" w:right="0" w:firstLine="0"/>
                          <w:jc w:val="left"/>
                          <w:rPr>
                            <w:rFonts w:ascii="Calibri"/>
                            <w:sz w:val="20"/>
                          </w:rPr>
                        </w:pPr>
                        <w:r>
                          <w:rPr>
                            <w:rFonts w:ascii="Calibri"/>
                            <w:spacing w:val="-4"/>
                            <w:sz w:val="20"/>
                          </w:rPr>
                          <w:t>0.50</w:t>
                        </w:r>
                      </w:p>
                      <w:p>
                        <w:pPr>
                          <w:spacing w:line="240" w:lineRule="exact" w:before="135"/>
                          <w:ind w:left="0" w:right="0" w:firstLine="0"/>
                          <w:jc w:val="left"/>
                          <w:rPr>
                            <w:rFonts w:ascii="Calibri"/>
                            <w:sz w:val="20"/>
                          </w:rPr>
                        </w:pPr>
                        <w:r>
                          <w:rPr>
                            <w:rFonts w:ascii="Calibri"/>
                            <w:spacing w:val="-4"/>
                            <w:sz w:val="20"/>
                          </w:rPr>
                          <w:t>0.45</w:t>
                        </w:r>
                      </w:p>
                    </w:txbxContent>
                  </v:textbox>
                  <w10:wrap type="none"/>
                </v:shape>
                <w10:wrap type="topAndBottom"/>
              </v:group>
            </w:pict>
          </mc:Fallback>
        </mc:AlternateContent>
      </w:r>
    </w:p>
    <w:p>
      <w:pPr>
        <w:pStyle w:val="BodyText"/>
        <w:rPr>
          <w:sz w:val="20"/>
        </w:rPr>
      </w:pPr>
    </w:p>
    <w:p>
      <w:pPr>
        <w:pStyle w:val="BodyText"/>
        <w:spacing w:before="14"/>
        <w:rPr>
          <w:sz w:val="20"/>
        </w:rPr>
      </w:pPr>
      <w:r>
        <w:rPr>
          <w:sz w:val="20"/>
        </w:rPr>
        <mc:AlternateContent>
          <mc:Choice Requires="wps">
            <w:drawing>
              <wp:anchor distT="0" distB="0" distL="0" distR="0" allowOverlap="1" layoutInCell="1" locked="0" behindDoc="1" simplePos="0" relativeHeight="487591424">
                <wp:simplePos x="0" y="0"/>
                <wp:positionH relativeFrom="page">
                  <wp:posOffset>1080820</wp:posOffset>
                </wp:positionH>
                <wp:positionV relativeFrom="paragraph">
                  <wp:posOffset>170446</wp:posOffset>
                </wp:positionV>
                <wp:extent cx="1829435" cy="9525"/>
                <wp:effectExtent l="0" t="0" r="0" b="0"/>
                <wp:wrapTopAndBottom/>
                <wp:docPr id="253" name="Graphic 253"/>
                <wp:cNvGraphicFramePr>
                  <a:graphicFrameLocks/>
                </wp:cNvGraphicFramePr>
                <a:graphic>
                  <a:graphicData uri="http://schemas.microsoft.com/office/word/2010/wordprocessingShape">
                    <wps:wsp>
                      <wps:cNvPr id="253" name="Graphic 253"/>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13.421006pt;width:144.020pt;height:.71997pt;mso-position-horizontal-relative:page;mso-position-vertical-relative:paragraph;z-index:-15725056;mso-wrap-distance-left:0;mso-wrap-distance-right:0" id="docshape250" filled="true" fillcolor="#000000" stroked="false">
                <v:fill type="solid"/>
                <w10:wrap type="topAndBottom"/>
              </v:rect>
            </w:pict>
          </mc:Fallback>
        </mc:AlternateContent>
      </w:r>
    </w:p>
    <w:p>
      <w:pPr>
        <w:spacing w:before="100"/>
        <w:ind w:left="143" w:right="0" w:firstLine="0"/>
        <w:jc w:val="left"/>
        <w:rPr>
          <w:rFonts w:ascii="Calibri" w:hAnsi="Calibri"/>
          <w:sz w:val="20"/>
        </w:rPr>
      </w:pPr>
      <w:bookmarkStart w:name="_bookmark11" w:id="12"/>
      <w:bookmarkEnd w:id="12"/>
      <w:r>
        <w:rPr/>
      </w:r>
      <w:r>
        <w:rPr>
          <w:rFonts w:ascii="Calibri" w:hAnsi="Calibri"/>
          <w:sz w:val="20"/>
          <w:vertAlign w:val="superscript"/>
        </w:rPr>
        <w:t>4</w:t>
      </w:r>
      <w:r>
        <w:rPr>
          <w:rFonts w:ascii="Calibri" w:hAnsi="Calibri"/>
          <w:sz w:val="20"/>
          <w:vertAlign w:val="baseline"/>
        </w:rPr>
        <w:t> En años distintos a los electorales se pueden presentar modificaciones mínimas debidas a procesos de revocación, fallecimiento u otro.</w:t>
      </w:r>
    </w:p>
    <w:p>
      <w:pPr>
        <w:spacing w:after="0"/>
        <w:jc w:val="left"/>
        <w:rPr>
          <w:rFonts w:ascii="Calibri" w:hAnsi="Calibri"/>
          <w:sz w:val="20"/>
        </w:rPr>
        <w:sectPr>
          <w:pgSz w:w="11910" w:h="16840"/>
          <w:pgMar w:header="713" w:footer="1000" w:top="1420" w:bottom="1200" w:left="1559" w:right="992"/>
        </w:sectPr>
      </w:pPr>
    </w:p>
    <w:p>
      <w:pPr>
        <w:spacing w:line="326" w:lineRule="auto" w:before="111"/>
        <w:ind w:left="143" w:right="5492" w:firstLine="0"/>
        <w:jc w:val="left"/>
        <w:rPr>
          <w:sz w:val="16"/>
        </w:rPr>
      </w:pPr>
      <w:r>
        <w:rPr>
          <w:sz w:val="16"/>
        </w:rPr>
        <w:t>Fuente:</w:t>
      </w:r>
      <w:r>
        <w:rPr>
          <w:spacing w:val="-8"/>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pStyle w:val="BodyText"/>
        <w:spacing w:line="326" w:lineRule="auto" w:before="174"/>
        <w:ind w:left="143" w:right="715"/>
        <w:jc w:val="both"/>
      </w:pPr>
      <w:r>
        <w:rPr/>
        <w:t>OP.04 Garantizar el ejercicio de los derechos económicos y sociales de las </w:t>
      </w:r>
      <w:r>
        <w:rPr>
          <w:spacing w:val="-2"/>
        </w:rPr>
        <w:t>mujeres.</w:t>
      </w:r>
    </w:p>
    <w:p>
      <w:pPr>
        <w:pStyle w:val="BodyText"/>
        <w:spacing w:line="326" w:lineRule="auto" w:before="162"/>
        <w:ind w:left="143" w:right="704"/>
        <w:jc w:val="both"/>
      </w:pPr>
      <w:r>
        <w:rPr/>
        <w:t>El OP.04 se mide a través de tres indicadores: i) Índice de empoderamiento económico de las mujeres, ii) Índice de empoderamiento social de las</w:t>
      </w:r>
      <w:r>
        <w:rPr>
          <w:spacing w:val="20"/>
        </w:rPr>
        <w:t> </w:t>
      </w:r>
      <w:r>
        <w:rPr/>
        <w:t>mujeres</w:t>
      </w:r>
      <w:r>
        <w:rPr>
          <w:spacing w:val="40"/>
        </w:rPr>
        <w:t> </w:t>
      </w:r>
      <w:r>
        <w:rPr/>
        <w:t>y iii) Índice de empoderamiento social de niñas y adolescentes. Respecto a los avances del 2023, los componentes que conforman los 2 primeros índices no han sido publicados por el INEI. Asimismo, el tercer indicador tiene un componente</w:t>
      </w:r>
      <w:r>
        <w:rPr>
          <w:spacing w:val="-17"/>
        </w:rPr>
        <w:t> </w:t>
      </w:r>
      <w:r>
        <w:rPr/>
        <w:t>con</w:t>
      </w:r>
      <w:r>
        <w:rPr>
          <w:spacing w:val="-17"/>
        </w:rPr>
        <w:t> </w:t>
      </w:r>
      <w:r>
        <w:rPr/>
        <w:t>fuente</w:t>
      </w:r>
      <w:r>
        <w:rPr>
          <w:spacing w:val="-16"/>
        </w:rPr>
        <w:t> </w:t>
      </w:r>
      <w:r>
        <w:rPr/>
        <w:t>la</w:t>
      </w:r>
      <w:r>
        <w:rPr>
          <w:spacing w:val="-17"/>
        </w:rPr>
        <w:t> </w:t>
      </w:r>
      <w:r>
        <w:rPr/>
        <w:t>Evaluación</w:t>
      </w:r>
      <w:r>
        <w:rPr>
          <w:spacing w:val="-17"/>
        </w:rPr>
        <w:t> </w:t>
      </w:r>
      <w:r>
        <w:rPr/>
        <w:t>Censal</w:t>
      </w:r>
      <w:r>
        <w:rPr>
          <w:spacing w:val="-17"/>
        </w:rPr>
        <w:t> </w:t>
      </w:r>
      <w:r>
        <w:rPr/>
        <w:t>de</w:t>
      </w:r>
      <w:r>
        <w:rPr>
          <w:spacing w:val="-16"/>
        </w:rPr>
        <w:t> </w:t>
      </w:r>
      <w:r>
        <w:rPr/>
        <w:t>Estudiantes</w:t>
      </w:r>
      <w:r>
        <w:rPr>
          <w:spacing w:val="-17"/>
        </w:rPr>
        <w:t> </w:t>
      </w:r>
      <w:r>
        <w:rPr/>
        <w:t>(ECE)</w:t>
      </w:r>
      <w:r>
        <w:rPr>
          <w:spacing w:val="-17"/>
        </w:rPr>
        <w:t> </w:t>
      </w:r>
      <w:r>
        <w:rPr/>
        <w:t>del</w:t>
      </w:r>
      <w:r>
        <w:rPr>
          <w:spacing w:val="-16"/>
        </w:rPr>
        <w:t> </w:t>
      </w:r>
      <w:r>
        <w:rPr/>
        <w:t>MINEDU, la cual no se realiza desde el 2019. Respecto a este último, es importante establecer coordinaciones con el MINEDU para proponer el uso de</w:t>
      </w:r>
      <w:r>
        <w:rPr>
          <w:spacing w:val="-2"/>
        </w:rPr>
        <w:t> </w:t>
      </w:r>
      <w:r>
        <w:rPr/>
        <w:t>la Encuesta Nacional de Logros de Aprendizaje (ENLA), implementada desde 2022, como fuente alternativa para el cálculo de este indicador.</w:t>
      </w:r>
    </w:p>
    <w:p>
      <w:pPr>
        <w:pStyle w:val="BodyText"/>
      </w:pPr>
    </w:p>
    <w:p>
      <w:pPr>
        <w:pStyle w:val="BodyText"/>
        <w:spacing w:before="149"/>
      </w:pPr>
    </w:p>
    <w:p>
      <w:pPr>
        <w:pStyle w:val="BodyText"/>
        <w:spacing w:line="326" w:lineRule="auto"/>
        <w:ind w:left="143" w:right="715"/>
        <w:jc w:val="both"/>
      </w:pPr>
      <w:r>
        <w:rPr/>
        <w:t>OP.05 Reducir las barreras institucionales que obstaculizan la igualdad en los ámbitos público y privado entre hombres y mujeres.</w:t>
      </w:r>
    </w:p>
    <w:p>
      <w:pPr>
        <w:spacing w:line="326" w:lineRule="auto" w:before="162"/>
        <w:ind w:left="143" w:right="706" w:firstLine="0"/>
        <w:jc w:val="both"/>
        <w:rPr>
          <w:rFonts w:ascii="Arial" w:hAnsi="Arial"/>
          <w:i/>
          <w:sz w:val="24"/>
        </w:rPr>
      </w:pPr>
      <w:r>
        <w:rPr>
          <w:spacing w:val="-2"/>
          <w:sz w:val="24"/>
        </w:rPr>
        <w:t>El</w:t>
      </w:r>
      <w:r>
        <w:rPr>
          <w:spacing w:val="-11"/>
          <w:sz w:val="24"/>
        </w:rPr>
        <w:t> </w:t>
      </w:r>
      <w:r>
        <w:rPr>
          <w:spacing w:val="-2"/>
          <w:sz w:val="24"/>
        </w:rPr>
        <w:t>OP.05</w:t>
      </w:r>
      <w:r>
        <w:rPr>
          <w:spacing w:val="-12"/>
          <w:sz w:val="24"/>
        </w:rPr>
        <w:t> </w:t>
      </w:r>
      <w:r>
        <w:rPr>
          <w:spacing w:val="-2"/>
          <w:sz w:val="24"/>
        </w:rPr>
        <w:t>se</w:t>
      </w:r>
      <w:r>
        <w:rPr>
          <w:spacing w:val="-11"/>
          <w:sz w:val="24"/>
        </w:rPr>
        <w:t> </w:t>
      </w:r>
      <w:r>
        <w:rPr>
          <w:spacing w:val="-2"/>
          <w:sz w:val="24"/>
        </w:rPr>
        <w:t>mide</w:t>
      </w:r>
      <w:r>
        <w:rPr>
          <w:spacing w:val="-10"/>
          <w:sz w:val="24"/>
        </w:rPr>
        <w:t> </w:t>
      </w:r>
      <w:r>
        <w:rPr>
          <w:spacing w:val="-2"/>
          <w:sz w:val="24"/>
        </w:rPr>
        <w:t>a</w:t>
      </w:r>
      <w:r>
        <w:rPr>
          <w:spacing w:val="-14"/>
          <w:sz w:val="24"/>
        </w:rPr>
        <w:t> </w:t>
      </w:r>
      <w:r>
        <w:rPr>
          <w:spacing w:val="-2"/>
          <w:sz w:val="24"/>
        </w:rPr>
        <w:t>través</w:t>
      </w:r>
      <w:r>
        <w:rPr>
          <w:spacing w:val="-10"/>
          <w:sz w:val="24"/>
        </w:rPr>
        <w:t> </w:t>
      </w:r>
      <w:r>
        <w:rPr>
          <w:spacing w:val="-2"/>
          <w:sz w:val="24"/>
        </w:rPr>
        <w:t>de</w:t>
      </w:r>
      <w:r>
        <w:rPr>
          <w:spacing w:val="-14"/>
          <w:sz w:val="24"/>
        </w:rPr>
        <w:t> </w:t>
      </w:r>
      <w:r>
        <w:rPr>
          <w:spacing w:val="-2"/>
          <w:sz w:val="24"/>
        </w:rPr>
        <w:t>tres</w:t>
      </w:r>
      <w:r>
        <w:rPr>
          <w:spacing w:val="-9"/>
          <w:sz w:val="24"/>
        </w:rPr>
        <w:t> </w:t>
      </w:r>
      <w:r>
        <w:rPr>
          <w:spacing w:val="-2"/>
          <w:sz w:val="24"/>
        </w:rPr>
        <w:t>indicadores:</w:t>
      </w:r>
      <w:r>
        <w:rPr>
          <w:spacing w:val="-11"/>
          <w:sz w:val="24"/>
        </w:rPr>
        <w:t> </w:t>
      </w:r>
      <w:r>
        <w:rPr>
          <w:spacing w:val="-2"/>
          <w:sz w:val="24"/>
        </w:rPr>
        <w:t>i)</w:t>
      </w:r>
      <w:r>
        <w:rPr>
          <w:spacing w:val="-11"/>
          <w:sz w:val="24"/>
        </w:rPr>
        <w:t> </w:t>
      </w:r>
      <w:r>
        <w:rPr>
          <w:rFonts w:ascii="Arial" w:hAnsi="Arial"/>
          <w:i/>
          <w:spacing w:val="-2"/>
          <w:sz w:val="24"/>
        </w:rPr>
        <w:t>Porcentaje</w:t>
      </w:r>
      <w:r>
        <w:rPr>
          <w:rFonts w:ascii="Arial" w:hAnsi="Arial"/>
          <w:i/>
          <w:spacing w:val="-12"/>
          <w:sz w:val="24"/>
        </w:rPr>
        <w:t> </w:t>
      </w:r>
      <w:r>
        <w:rPr>
          <w:rFonts w:ascii="Arial" w:hAnsi="Arial"/>
          <w:i/>
          <w:spacing w:val="-2"/>
          <w:sz w:val="24"/>
        </w:rPr>
        <w:t>de</w:t>
      </w:r>
      <w:r>
        <w:rPr>
          <w:rFonts w:ascii="Arial" w:hAnsi="Arial"/>
          <w:i/>
          <w:spacing w:val="-11"/>
          <w:sz w:val="24"/>
        </w:rPr>
        <w:t> </w:t>
      </w:r>
      <w:r>
        <w:rPr>
          <w:rFonts w:ascii="Arial" w:hAnsi="Arial"/>
          <w:i/>
          <w:spacing w:val="-2"/>
          <w:sz w:val="24"/>
        </w:rPr>
        <w:t>entidades</w:t>
      </w:r>
      <w:r>
        <w:rPr>
          <w:rFonts w:ascii="Arial" w:hAnsi="Arial"/>
          <w:i/>
          <w:spacing w:val="-13"/>
          <w:sz w:val="24"/>
        </w:rPr>
        <w:t> </w:t>
      </w:r>
      <w:r>
        <w:rPr>
          <w:rFonts w:ascii="Arial" w:hAnsi="Arial"/>
          <w:i/>
          <w:spacing w:val="-2"/>
          <w:sz w:val="24"/>
        </w:rPr>
        <w:t>públicas </w:t>
      </w:r>
      <w:r>
        <w:rPr>
          <w:rFonts w:ascii="Arial" w:hAnsi="Arial"/>
          <w:i/>
          <w:sz w:val="24"/>
        </w:rPr>
        <w:t>que</w:t>
      </w:r>
      <w:r>
        <w:rPr>
          <w:rFonts w:ascii="Arial" w:hAnsi="Arial"/>
          <w:i/>
          <w:spacing w:val="-16"/>
          <w:sz w:val="24"/>
        </w:rPr>
        <w:t> </w:t>
      </w:r>
      <w:r>
        <w:rPr>
          <w:rFonts w:ascii="Arial" w:hAnsi="Arial"/>
          <w:i/>
          <w:sz w:val="24"/>
        </w:rPr>
        <w:t>incorporan</w:t>
      </w:r>
      <w:r>
        <w:rPr>
          <w:rFonts w:ascii="Arial" w:hAnsi="Arial"/>
          <w:i/>
          <w:spacing w:val="-16"/>
          <w:sz w:val="24"/>
        </w:rPr>
        <w:t> </w:t>
      </w:r>
      <w:r>
        <w:rPr>
          <w:rFonts w:ascii="Arial" w:hAnsi="Arial"/>
          <w:i/>
          <w:sz w:val="24"/>
        </w:rPr>
        <w:t>el</w:t>
      </w:r>
      <w:r>
        <w:rPr>
          <w:rFonts w:ascii="Arial" w:hAnsi="Arial"/>
          <w:i/>
          <w:spacing w:val="-17"/>
          <w:sz w:val="24"/>
        </w:rPr>
        <w:t> </w:t>
      </w:r>
      <w:r>
        <w:rPr>
          <w:rFonts w:ascii="Arial" w:hAnsi="Arial"/>
          <w:i/>
          <w:sz w:val="24"/>
        </w:rPr>
        <w:t>enfoque</w:t>
      </w:r>
      <w:r>
        <w:rPr>
          <w:rFonts w:ascii="Arial" w:hAnsi="Arial"/>
          <w:i/>
          <w:spacing w:val="-16"/>
          <w:sz w:val="24"/>
        </w:rPr>
        <w:t> </w:t>
      </w:r>
      <w:r>
        <w:rPr>
          <w:rFonts w:ascii="Arial" w:hAnsi="Arial"/>
          <w:i/>
          <w:sz w:val="24"/>
        </w:rPr>
        <w:t>de</w:t>
      </w:r>
      <w:r>
        <w:rPr>
          <w:rFonts w:ascii="Arial" w:hAnsi="Arial"/>
          <w:i/>
          <w:spacing w:val="-17"/>
          <w:sz w:val="24"/>
        </w:rPr>
        <w:t> </w:t>
      </w:r>
      <w:r>
        <w:rPr>
          <w:rFonts w:ascii="Arial" w:hAnsi="Arial"/>
          <w:i/>
          <w:sz w:val="24"/>
        </w:rPr>
        <w:t>género</w:t>
      </w:r>
      <w:r>
        <w:rPr>
          <w:rFonts w:ascii="Arial" w:hAnsi="Arial"/>
          <w:i/>
          <w:spacing w:val="-15"/>
          <w:sz w:val="24"/>
        </w:rPr>
        <w:t> </w:t>
      </w:r>
      <w:r>
        <w:rPr>
          <w:rFonts w:ascii="Arial" w:hAnsi="Arial"/>
          <w:i/>
          <w:sz w:val="24"/>
        </w:rPr>
        <w:t>en</w:t>
      </w:r>
      <w:r>
        <w:rPr>
          <w:rFonts w:ascii="Arial" w:hAnsi="Arial"/>
          <w:i/>
          <w:spacing w:val="-16"/>
          <w:sz w:val="24"/>
        </w:rPr>
        <w:t> </w:t>
      </w:r>
      <w:r>
        <w:rPr>
          <w:rFonts w:ascii="Arial" w:hAnsi="Arial"/>
          <w:i/>
          <w:sz w:val="24"/>
        </w:rPr>
        <w:t>la</w:t>
      </w:r>
      <w:r>
        <w:rPr>
          <w:rFonts w:ascii="Arial" w:hAnsi="Arial"/>
          <w:i/>
          <w:spacing w:val="-17"/>
          <w:sz w:val="24"/>
        </w:rPr>
        <w:t> </w:t>
      </w:r>
      <w:r>
        <w:rPr>
          <w:rFonts w:ascii="Arial" w:hAnsi="Arial"/>
          <w:i/>
          <w:sz w:val="24"/>
        </w:rPr>
        <w:t>gestión</w:t>
      </w:r>
      <w:r>
        <w:rPr>
          <w:rFonts w:ascii="Arial" w:hAnsi="Arial"/>
          <w:i/>
          <w:spacing w:val="-15"/>
          <w:sz w:val="24"/>
        </w:rPr>
        <w:t> </w:t>
      </w:r>
      <w:r>
        <w:rPr>
          <w:rFonts w:ascii="Arial" w:hAnsi="Arial"/>
          <w:i/>
          <w:sz w:val="24"/>
        </w:rPr>
        <w:t>institucional</w:t>
      </w:r>
      <w:r>
        <w:rPr>
          <w:sz w:val="24"/>
        </w:rPr>
        <w:t>,</w:t>
      </w:r>
      <w:r>
        <w:rPr>
          <w:spacing w:val="-15"/>
          <w:sz w:val="24"/>
        </w:rPr>
        <w:t> </w:t>
      </w:r>
      <w:r>
        <w:rPr>
          <w:sz w:val="24"/>
        </w:rPr>
        <w:t>ii)</w:t>
      </w:r>
      <w:r>
        <w:rPr>
          <w:spacing w:val="-16"/>
          <w:sz w:val="24"/>
        </w:rPr>
        <w:t> </w:t>
      </w:r>
      <w:r>
        <w:rPr>
          <w:rFonts w:ascii="Arial" w:hAnsi="Arial"/>
          <w:i/>
          <w:sz w:val="24"/>
        </w:rPr>
        <w:t>Brecha</w:t>
      </w:r>
      <w:r>
        <w:rPr>
          <w:rFonts w:ascii="Arial" w:hAnsi="Arial"/>
          <w:i/>
          <w:spacing w:val="-16"/>
          <w:sz w:val="24"/>
        </w:rPr>
        <w:t> </w:t>
      </w:r>
      <w:r>
        <w:rPr>
          <w:rFonts w:ascii="Arial" w:hAnsi="Arial"/>
          <w:i/>
          <w:sz w:val="24"/>
        </w:rPr>
        <w:t>salarial </w:t>
      </w:r>
      <w:r>
        <w:rPr>
          <w:rFonts w:ascii="Arial" w:hAnsi="Arial"/>
          <w:i/>
          <w:spacing w:val="-4"/>
          <w:sz w:val="24"/>
        </w:rPr>
        <w:t>entre</w:t>
      </w:r>
      <w:r>
        <w:rPr>
          <w:rFonts w:ascii="Arial" w:hAnsi="Arial"/>
          <w:i/>
          <w:spacing w:val="-13"/>
          <w:sz w:val="24"/>
        </w:rPr>
        <w:t> </w:t>
      </w:r>
      <w:r>
        <w:rPr>
          <w:rFonts w:ascii="Arial" w:hAnsi="Arial"/>
          <w:i/>
          <w:spacing w:val="-4"/>
          <w:sz w:val="24"/>
        </w:rPr>
        <w:t>el</w:t>
      </w:r>
      <w:r>
        <w:rPr>
          <w:rFonts w:ascii="Arial" w:hAnsi="Arial"/>
          <w:i/>
          <w:spacing w:val="-13"/>
          <w:sz w:val="24"/>
        </w:rPr>
        <w:t> </w:t>
      </w:r>
      <w:r>
        <w:rPr>
          <w:rFonts w:ascii="Arial" w:hAnsi="Arial"/>
          <w:i/>
          <w:spacing w:val="-4"/>
          <w:sz w:val="24"/>
        </w:rPr>
        <w:t>hombre</w:t>
      </w:r>
      <w:r>
        <w:rPr>
          <w:rFonts w:ascii="Arial" w:hAnsi="Arial"/>
          <w:i/>
          <w:spacing w:val="-12"/>
          <w:sz w:val="24"/>
        </w:rPr>
        <w:t> </w:t>
      </w:r>
      <w:r>
        <w:rPr>
          <w:rFonts w:ascii="Arial" w:hAnsi="Arial"/>
          <w:i/>
          <w:spacing w:val="-4"/>
          <w:sz w:val="24"/>
        </w:rPr>
        <w:t>y</w:t>
      </w:r>
      <w:r>
        <w:rPr>
          <w:rFonts w:ascii="Arial" w:hAnsi="Arial"/>
          <w:i/>
          <w:spacing w:val="-13"/>
          <w:sz w:val="24"/>
        </w:rPr>
        <w:t> </w:t>
      </w:r>
      <w:r>
        <w:rPr>
          <w:rFonts w:ascii="Arial" w:hAnsi="Arial"/>
          <w:i/>
          <w:spacing w:val="-4"/>
          <w:sz w:val="24"/>
        </w:rPr>
        <w:t>la</w:t>
      </w:r>
      <w:r>
        <w:rPr>
          <w:rFonts w:ascii="Arial" w:hAnsi="Arial"/>
          <w:i/>
          <w:spacing w:val="-13"/>
          <w:sz w:val="24"/>
        </w:rPr>
        <w:t> </w:t>
      </w:r>
      <w:r>
        <w:rPr>
          <w:rFonts w:ascii="Arial" w:hAnsi="Arial"/>
          <w:i/>
          <w:spacing w:val="-4"/>
          <w:sz w:val="24"/>
        </w:rPr>
        <w:t>mujer</w:t>
      </w:r>
      <w:r>
        <w:rPr>
          <w:rFonts w:ascii="Arial" w:hAnsi="Arial"/>
          <w:i/>
          <w:spacing w:val="-13"/>
          <w:sz w:val="24"/>
        </w:rPr>
        <w:t> </w:t>
      </w:r>
      <w:r>
        <w:rPr>
          <w:rFonts w:ascii="Arial" w:hAnsi="Arial"/>
          <w:i/>
          <w:spacing w:val="-4"/>
          <w:sz w:val="24"/>
        </w:rPr>
        <w:t>en</w:t>
      </w:r>
      <w:r>
        <w:rPr>
          <w:rFonts w:ascii="Arial" w:hAnsi="Arial"/>
          <w:i/>
          <w:spacing w:val="-12"/>
          <w:sz w:val="24"/>
        </w:rPr>
        <w:t> </w:t>
      </w:r>
      <w:r>
        <w:rPr>
          <w:rFonts w:ascii="Arial" w:hAnsi="Arial"/>
          <w:i/>
          <w:spacing w:val="-4"/>
          <w:sz w:val="24"/>
        </w:rPr>
        <w:t>el</w:t>
      </w:r>
      <w:r>
        <w:rPr>
          <w:rFonts w:ascii="Arial" w:hAnsi="Arial"/>
          <w:i/>
          <w:spacing w:val="-13"/>
          <w:sz w:val="24"/>
        </w:rPr>
        <w:t> </w:t>
      </w:r>
      <w:r>
        <w:rPr>
          <w:rFonts w:ascii="Arial" w:hAnsi="Arial"/>
          <w:i/>
          <w:spacing w:val="-4"/>
          <w:sz w:val="24"/>
        </w:rPr>
        <w:t>sector</w:t>
      </w:r>
      <w:r>
        <w:rPr>
          <w:rFonts w:ascii="Arial" w:hAnsi="Arial"/>
          <w:i/>
          <w:spacing w:val="-13"/>
          <w:sz w:val="24"/>
        </w:rPr>
        <w:t> </w:t>
      </w:r>
      <w:r>
        <w:rPr>
          <w:rFonts w:ascii="Arial" w:hAnsi="Arial"/>
          <w:i/>
          <w:spacing w:val="-4"/>
          <w:sz w:val="24"/>
        </w:rPr>
        <w:t>público</w:t>
      </w:r>
      <w:r>
        <w:rPr>
          <w:rFonts w:ascii="Arial" w:hAnsi="Arial"/>
          <w:i/>
          <w:spacing w:val="-12"/>
          <w:sz w:val="24"/>
        </w:rPr>
        <w:t> </w:t>
      </w:r>
      <w:r>
        <w:rPr>
          <w:spacing w:val="-4"/>
          <w:sz w:val="24"/>
        </w:rPr>
        <w:t>y</w:t>
      </w:r>
      <w:r>
        <w:rPr>
          <w:spacing w:val="-13"/>
          <w:sz w:val="24"/>
        </w:rPr>
        <w:t> </w:t>
      </w:r>
      <w:r>
        <w:rPr>
          <w:spacing w:val="-4"/>
          <w:sz w:val="24"/>
        </w:rPr>
        <w:t>iii)</w:t>
      </w:r>
      <w:r>
        <w:rPr>
          <w:spacing w:val="-13"/>
          <w:sz w:val="24"/>
        </w:rPr>
        <w:t> </w:t>
      </w:r>
      <w:r>
        <w:rPr>
          <w:rFonts w:ascii="Arial" w:hAnsi="Arial"/>
          <w:i/>
          <w:spacing w:val="-4"/>
          <w:sz w:val="24"/>
        </w:rPr>
        <w:t>Porcentaje</w:t>
      </w:r>
      <w:r>
        <w:rPr>
          <w:rFonts w:ascii="Arial" w:hAnsi="Arial"/>
          <w:i/>
          <w:spacing w:val="-12"/>
          <w:sz w:val="24"/>
        </w:rPr>
        <w:t> </w:t>
      </w:r>
      <w:r>
        <w:rPr>
          <w:rFonts w:ascii="Arial" w:hAnsi="Arial"/>
          <w:i/>
          <w:spacing w:val="-4"/>
          <w:sz w:val="24"/>
        </w:rPr>
        <w:t>de</w:t>
      </w:r>
      <w:r>
        <w:rPr>
          <w:rFonts w:ascii="Arial" w:hAnsi="Arial"/>
          <w:i/>
          <w:spacing w:val="-13"/>
          <w:sz w:val="24"/>
        </w:rPr>
        <w:t> </w:t>
      </w:r>
      <w:r>
        <w:rPr>
          <w:rFonts w:ascii="Arial" w:hAnsi="Arial"/>
          <w:i/>
          <w:spacing w:val="-4"/>
          <w:sz w:val="24"/>
        </w:rPr>
        <w:t>participación</w:t>
      </w:r>
      <w:r>
        <w:rPr>
          <w:rFonts w:ascii="Arial" w:hAnsi="Arial"/>
          <w:i/>
          <w:spacing w:val="-13"/>
          <w:sz w:val="24"/>
        </w:rPr>
        <w:t> </w:t>
      </w:r>
      <w:r>
        <w:rPr>
          <w:rFonts w:ascii="Arial" w:hAnsi="Arial"/>
          <w:i/>
          <w:spacing w:val="-4"/>
          <w:sz w:val="24"/>
        </w:rPr>
        <w:t>de</w:t>
      </w:r>
      <w:r>
        <w:rPr>
          <w:rFonts w:ascii="Arial" w:hAnsi="Arial"/>
          <w:i/>
          <w:spacing w:val="-12"/>
          <w:sz w:val="24"/>
        </w:rPr>
        <w:t> </w:t>
      </w:r>
      <w:r>
        <w:rPr>
          <w:rFonts w:ascii="Arial" w:hAnsi="Arial"/>
          <w:i/>
          <w:spacing w:val="-4"/>
          <w:sz w:val="24"/>
        </w:rPr>
        <w:t>la mujer</w:t>
      </w:r>
      <w:r>
        <w:rPr>
          <w:rFonts w:ascii="Arial" w:hAnsi="Arial"/>
          <w:i/>
          <w:spacing w:val="-9"/>
          <w:sz w:val="24"/>
        </w:rPr>
        <w:t> </w:t>
      </w:r>
      <w:r>
        <w:rPr>
          <w:rFonts w:ascii="Arial" w:hAnsi="Arial"/>
          <w:i/>
          <w:spacing w:val="-4"/>
          <w:sz w:val="24"/>
        </w:rPr>
        <w:t>en</w:t>
      </w:r>
      <w:r>
        <w:rPr>
          <w:rFonts w:ascii="Arial" w:hAnsi="Arial"/>
          <w:i/>
          <w:spacing w:val="-10"/>
          <w:sz w:val="24"/>
        </w:rPr>
        <w:t> </w:t>
      </w:r>
      <w:r>
        <w:rPr>
          <w:rFonts w:ascii="Arial" w:hAnsi="Arial"/>
          <w:i/>
          <w:spacing w:val="-4"/>
          <w:sz w:val="24"/>
        </w:rPr>
        <w:t>el</w:t>
      </w:r>
      <w:r>
        <w:rPr>
          <w:rFonts w:ascii="Arial" w:hAnsi="Arial"/>
          <w:i/>
          <w:spacing w:val="-10"/>
          <w:sz w:val="24"/>
        </w:rPr>
        <w:t> </w:t>
      </w:r>
      <w:r>
        <w:rPr>
          <w:rFonts w:ascii="Arial" w:hAnsi="Arial"/>
          <w:i/>
          <w:spacing w:val="-4"/>
          <w:sz w:val="24"/>
        </w:rPr>
        <w:t>servicio</w:t>
      </w:r>
      <w:r>
        <w:rPr>
          <w:rFonts w:ascii="Arial" w:hAnsi="Arial"/>
          <w:i/>
          <w:spacing w:val="-10"/>
          <w:sz w:val="24"/>
        </w:rPr>
        <w:t> </w:t>
      </w:r>
      <w:r>
        <w:rPr>
          <w:rFonts w:ascii="Arial" w:hAnsi="Arial"/>
          <w:i/>
          <w:spacing w:val="-4"/>
          <w:sz w:val="24"/>
        </w:rPr>
        <w:t>civil,</w:t>
      </w:r>
      <w:r>
        <w:rPr>
          <w:rFonts w:ascii="Arial" w:hAnsi="Arial"/>
          <w:i/>
          <w:spacing w:val="-8"/>
          <w:sz w:val="24"/>
        </w:rPr>
        <w:t> </w:t>
      </w:r>
      <w:r>
        <w:rPr>
          <w:rFonts w:ascii="Arial" w:hAnsi="Arial"/>
          <w:i/>
          <w:spacing w:val="-4"/>
          <w:sz w:val="24"/>
        </w:rPr>
        <w:t>los</w:t>
      </w:r>
      <w:r>
        <w:rPr>
          <w:rFonts w:ascii="Arial" w:hAnsi="Arial"/>
          <w:i/>
          <w:spacing w:val="-11"/>
          <w:sz w:val="24"/>
        </w:rPr>
        <w:t> </w:t>
      </w:r>
      <w:r>
        <w:rPr>
          <w:rFonts w:ascii="Arial" w:hAnsi="Arial"/>
          <w:i/>
          <w:spacing w:val="-4"/>
          <w:sz w:val="24"/>
        </w:rPr>
        <w:t>cuales</w:t>
      </w:r>
      <w:r>
        <w:rPr>
          <w:rFonts w:ascii="Arial" w:hAnsi="Arial"/>
          <w:i/>
          <w:spacing w:val="-11"/>
          <w:sz w:val="24"/>
        </w:rPr>
        <w:t> </w:t>
      </w:r>
      <w:r>
        <w:rPr>
          <w:rFonts w:ascii="Arial" w:hAnsi="Arial"/>
          <w:i/>
          <w:spacing w:val="-4"/>
          <w:sz w:val="24"/>
        </w:rPr>
        <w:t>se</w:t>
      </w:r>
      <w:r>
        <w:rPr>
          <w:rFonts w:ascii="Arial" w:hAnsi="Arial"/>
          <w:i/>
          <w:spacing w:val="-8"/>
          <w:sz w:val="24"/>
        </w:rPr>
        <w:t> </w:t>
      </w:r>
      <w:r>
        <w:rPr>
          <w:rFonts w:ascii="Arial" w:hAnsi="Arial"/>
          <w:i/>
          <w:spacing w:val="-4"/>
          <w:sz w:val="24"/>
        </w:rPr>
        <w:t>describen</w:t>
      </w:r>
      <w:r>
        <w:rPr>
          <w:rFonts w:ascii="Arial" w:hAnsi="Arial"/>
          <w:i/>
          <w:spacing w:val="-7"/>
          <w:sz w:val="24"/>
        </w:rPr>
        <w:t> </w:t>
      </w:r>
      <w:r>
        <w:rPr>
          <w:rFonts w:ascii="Arial" w:hAnsi="Arial"/>
          <w:i/>
          <w:spacing w:val="-4"/>
          <w:sz w:val="24"/>
        </w:rPr>
        <w:t>a</w:t>
      </w:r>
      <w:r>
        <w:rPr>
          <w:rFonts w:ascii="Arial" w:hAnsi="Arial"/>
          <w:i/>
          <w:spacing w:val="-10"/>
          <w:sz w:val="24"/>
        </w:rPr>
        <w:t> </w:t>
      </w:r>
      <w:r>
        <w:rPr>
          <w:rFonts w:ascii="Arial" w:hAnsi="Arial"/>
          <w:i/>
          <w:spacing w:val="-4"/>
          <w:sz w:val="24"/>
        </w:rPr>
        <w:t>continuación:</w:t>
      </w:r>
    </w:p>
    <w:p>
      <w:pPr>
        <w:spacing w:line="326" w:lineRule="auto" w:before="162"/>
        <w:ind w:left="143" w:right="705" w:firstLine="0"/>
        <w:jc w:val="both"/>
        <w:rPr>
          <w:sz w:val="24"/>
        </w:rPr>
      </w:pPr>
      <w:r>
        <w:rPr>
          <w:spacing w:val="-6"/>
          <w:sz w:val="24"/>
        </w:rPr>
        <w:t>El indicador “</w:t>
      </w:r>
      <w:r>
        <w:rPr>
          <w:rFonts w:ascii="Arial" w:hAnsi="Arial"/>
          <w:i/>
          <w:spacing w:val="-6"/>
          <w:sz w:val="24"/>
        </w:rPr>
        <w:t>Porcentaje de entidades públicas que incorporan el enfoque de género </w:t>
      </w:r>
      <w:r>
        <w:rPr>
          <w:rFonts w:ascii="Arial" w:hAnsi="Arial"/>
          <w:i/>
          <w:sz w:val="24"/>
        </w:rPr>
        <w:t>en la gestión institucional” </w:t>
      </w:r>
      <w:r>
        <w:rPr>
          <w:sz w:val="24"/>
        </w:rPr>
        <w:t>tiene como fuente de datos los registros administrativos de la Dirección de Transversalización del Enfoque de Género (DTEG).</w:t>
      </w:r>
      <w:r>
        <w:rPr>
          <w:spacing w:val="-17"/>
          <w:sz w:val="24"/>
        </w:rPr>
        <w:t> </w:t>
      </w:r>
      <w:r>
        <w:rPr>
          <w:sz w:val="24"/>
        </w:rPr>
        <w:t>Asimismo,</w:t>
      </w:r>
      <w:r>
        <w:rPr>
          <w:spacing w:val="-17"/>
          <w:sz w:val="24"/>
        </w:rPr>
        <w:t> </w:t>
      </w:r>
      <w:r>
        <w:rPr>
          <w:sz w:val="24"/>
        </w:rPr>
        <w:t>el</w:t>
      </w:r>
      <w:r>
        <w:rPr>
          <w:spacing w:val="-16"/>
          <w:sz w:val="24"/>
        </w:rPr>
        <w:t> </w:t>
      </w:r>
      <w:r>
        <w:rPr>
          <w:sz w:val="24"/>
        </w:rPr>
        <w:t>responsable</w:t>
      </w:r>
      <w:r>
        <w:rPr>
          <w:spacing w:val="-17"/>
          <w:sz w:val="24"/>
        </w:rPr>
        <w:t> </w:t>
      </w:r>
      <w:r>
        <w:rPr>
          <w:sz w:val="24"/>
        </w:rPr>
        <w:t>del</w:t>
      </w:r>
      <w:r>
        <w:rPr>
          <w:spacing w:val="-17"/>
          <w:sz w:val="24"/>
        </w:rPr>
        <w:t> </w:t>
      </w:r>
      <w:r>
        <w:rPr>
          <w:sz w:val="24"/>
        </w:rPr>
        <w:t>indicador</w:t>
      </w:r>
      <w:r>
        <w:rPr>
          <w:spacing w:val="-17"/>
          <w:sz w:val="24"/>
        </w:rPr>
        <w:t> </w:t>
      </w:r>
      <w:r>
        <w:rPr>
          <w:sz w:val="24"/>
        </w:rPr>
        <w:t>es</w:t>
      </w:r>
      <w:r>
        <w:rPr>
          <w:spacing w:val="-16"/>
          <w:sz w:val="24"/>
        </w:rPr>
        <w:t> </w:t>
      </w:r>
      <w:r>
        <w:rPr>
          <w:sz w:val="24"/>
        </w:rPr>
        <w:t>la</w:t>
      </w:r>
      <w:r>
        <w:rPr>
          <w:spacing w:val="-17"/>
          <w:sz w:val="24"/>
        </w:rPr>
        <w:t> </w:t>
      </w:r>
      <w:r>
        <w:rPr>
          <w:sz w:val="24"/>
        </w:rPr>
        <w:t>DTEG.</w:t>
      </w:r>
      <w:r>
        <w:rPr>
          <w:spacing w:val="-17"/>
          <w:sz w:val="24"/>
        </w:rPr>
        <w:t> </w:t>
      </w:r>
      <w:r>
        <w:rPr>
          <w:sz w:val="24"/>
        </w:rPr>
        <w:t>Este</w:t>
      </w:r>
      <w:r>
        <w:rPr>
          <w:spacing w:val="-16"/>
          <w:sz w:val="24"/>
        </w:rPr>
        <w:t> </w:t>
      </w:r>
      <w:r>
        <w:rPr>
          <w:sz w:val="24"/>
        </w:rPr>
        <w:t>indicador</w:t>
      </w:r>
      <w:r>
        <w:rPr>
          <w:spacing w:val="-17"/>
          <w:sz w:val="24"/>
        </w:rPr>
        <w:t> </w:t>
      </w:r>
      <w:r>
        <w:rPr>
          <w:sz w:val="24"/>
        </w:rPr>
        <w:t>tiene un sentido ascendente y se espera que su valor incremente cada año. Al </w:t>
      </w:r>
      <w:r>
        <w:rPr>
          <w:spacing w:val="-2"/>
          <w:sz w:val="24"/>
        </w:rPr>
        <w:t>respecto:</w:t>
      </w:r>
    </w:p>
    <w:p>
      <w:pPr>
        <w:pStyle w:val="ListParagraph"/>
        <w:numPr>
          <w:ilvl w:val="0"/>
          <w:numId w:val="11"/>
        </w:numPr>
        <w:tabs>
          <w:tab w:pos="862" w:val="left" w:leader="none"/>
        </w:tabs>
        <w:spacing w:line="326" w:lineRule="auto" w:before="162" w:after="0"/>
        <w:ind w:left="862" w:right="705" w:hanging="360"/>
        <w:jc w:val="both"/>
        <w:rPr>
          <w:sz w:val="24"/>
        </w:rPr>
      </w:pPr>
      <w:r>
        <w:rPr>
          <w:sz w:val="24"/>
        </w:rPr>
        <w:t>Para el año 2023 el valor del indicador registró un 1.0% de entidades públicas que incorporan el enfoque de género, lo cual se encuentra muy por debajo de la meta programada (19.0 %).</w:t>
      </w:r>
    </w:p>
    <w:p>
      <w:pPr>
        <w:pStyle w:val="ListParagraph"/>
        <w:numPr>
          <w:ilvl w:val="0"/>
          <w:numId w:val="11"/>
        </w:numPr>
        <w:tabs>
          <w:tab w:pos="862" w:val="left" w:leader="none"/>
        </w:tabs>
        <w:spacing w:line="326" w:lineRule="auto" w:before="2" w:after="0"/>
        <w:ind w:left="862" w:right="705" w:hanging="360"/>
        <w:jc w:val="both"/>
        <w:rPr>
          <w:sz w:val="24"/>
        </w:rPr>
      </w:pPr>
      <w:r>
        <w:rPr>
          <w:sz w:val="24"/>
        </w:rPr>
        <w:t>En ese sentido el nivel de avance, considerado como un nivel de cumplimiento bajo con posible falla de planeamiento, corresponde a 5.37%</w:t>
      </w:r>
      <w:r>
        <w:rPr>
          <w:spacing w:val="-15"/>
          <w:sz w:val="24"/>
        </w:rPr>
        <w:t> </w:t>
      </w:r>
      <w:r>
        <w:rPr>
          <w:sz w:val="24"/>
        </w:rPr>
        <w:t>para</w:t>
      </w:r>
      <w:r>
        <w:rPr>
          <w:spacing w:val="-16"/>
          <w:sz w:val="24"/>
        </w:rPr>
        <w:t> </w:t>
      </w:r>
      <w:r>
        <w:rPr>
          <w:sz w:val="24"/>
        </w:rPr>
        <w:t>el</w:t>
      </w:r>
      <w:r>
        <w:rPr>
          <w:spacing w:val="-15"/>
          <w:sz w:val="24"/>
        </w:rPr>
        <w:t> </w:t>
      </w:r>
      <w:r>
        <w:rPr>
          <w:sz w:val="24"/>
        </w:rPr>
        <w:t>2023</w:t>
      </w:r>
      <w:r>
        <w:rPr>
          <w:spacing w:val="-16"/>
          <w:sz w:val="24"/>
        </w:rPr>
        <w:t> </w:t>
      </w:r>
      <w:r>
        <w:rPr>
          <w:sz w:val="24"/>
        </w:rPr>
        <w:t>respecto</w:t>
      </w:r>
      <w:r>
        <w:rPr>
          <w:spacing w:val="-15"/>
          <w:sz w:val="24"/>
        </w:rPr>
        <w:t> </w:t>
      </w:r>
      <w:r>
        <w:rPr>
          <w:sz w:val="24"/>
        </w:rPr>
        <w:t>a</w:t>
      </w:r>
      <w:r>
        <w:rPr>
          <w:spacing w:val="-19"/>
          <w:sz w:val="24"/>
        </w:rPr>
        <w:t> </w:t>
      </w:r>
      <w:r>
        <w:rPr>
          <w:sz w:val="24"/>
        </w:rPr>
        <w:t>la</w:t>
      </w:r>
      <w:r>
        <w:rPr>
          <w:spacing w:val="-16"/>
          <w:sz w:val="24"/>
        </w:rPr>
        <w:t> </w:t>
      </w:r>
      <w:r>
        <w:rPr>
          <w:sz w:val="24"/>
        </w:rPr>
        <w:t>meta</w:t>
      </w:r>
      <w:r>
        <w:rPr>
          <w:spacing w:val="-19"/>
          <w:sz w:val="24"/>
        </w:rPr>
        <w:t> </w:t>
      </w:r>
      <w:r>
        <w:rPr>
          <w:sz w:val="24"/>
        </w:rPr>
        <w:t>programada.</w:t>
      </w:r>
      <w:r>
        <w:rPr>
          <w:spacing w:val="-16"/>
          <w:sz w:val="24"/>
        </w:rPr>
        <w:t> </w:t>
      </w:r>
      <w:r>
        <w:rPr>
          <w:sz w:val="24"/>
        </w:rPr>
        <w:t>Asimismo,</w:t>
      </w:r>
      <w:r>
        <w:rPr>
          <w:spacing w:val="-15"/>
          <w:sz w:val="24"/>
        </w:rPr>
        <w:t> </w:t>
      </w:r>
      <w:r>
        <w:rPr>
          <w:sz w:val="24"/>
        </w:rPr>
        <w:t>dicho</w:t>
      </w:r>
      <w:r>
        <w:rPr>
          <w:spacing w:val="-18"/>
          <w:sz w:val="24"/>
        </w:rPr>
        <w:t> </w:t>
      </w:r>
      <w:r>
        <w:rPr>
          <w:sz w:val="24"/>
        </w:rPr>
        <w:t>nivel</w:t>
      </w:r>
    </w:p>
    <w:p>
      <w:pPr>
        <w:pStyle w:val="ListParagraph"/>
        <w:spacing w:after="0" w:line="326" w:lineRule="auto"/>
        <w:jc w:val="both"/>
        <w:rPr>
          <w:sz w:val="24"/>
        </w:rPr>
        <w:sectPr>
          <w:pgSz w:w="11910" w:h="16840"/>
          <w:pgMar w:header="713" w:footer="1000" w:top="1420" w:bottom="1200" w:left="1559" w:right="992"/>
        </w:sectPr>
      </w:pPr>
    </w:p>
    <w:p>
      <w:pPr>
        <w:pStyle w:val="BodyText"/>
        <w:spacing w:line="326" w:lineRule="auto" w:before="126"/>
        <w:ind w:left="862" w:right="711"/>
        <w:jc w:val="both"/>
      </w:pPr>
      <w:r>
        <w:rPr/>
        <w:t>de</w:t>
      </w:r>
      <w:r>
        <w:rPr>
          <w:spacing w:val="-5"/>
        </w:rPr>
        <w:t> </w:t>
      </w:r>
      <w:r>
        <w:rPr/>
        <w:t>avance</w:t>
      </w:r>
      <w:r>
        <w:rPr>
          <w:spacing w:val="-5"/>
        </w:rPr>
        <w:t> </w:t>
      </w:r>
      <w:r>
        <w:rPr/>
        <w:t>ha</w:t>
      </w:r>
      <w:r>
        <w:rPr>
          <w:spacing w:val="-5"/>
        </w:rPr>
        <w:t> </w:t>
      </w:r>
      <w:r>
        <w:rPr/>
        <w:t>incrementado</w:t>
      </w:r>
      <w:r>
        <w:rPr>
          <w:spacing w:val="-4"/>
        </w:rPr>
        <w:t> </w:t>
      </w:r>
      <w:r>
        <w:rPr/>
        <w:t>en</w:t>
      </w:r>
      <w:r>
        <w:rPr>
          <w:spacing w:val="-7"/>
        </w:rPr>
        <w:t> </w:t>
      </w:r>
      <w:r>
        <w:rPr/>
        <w:t>comparación</w:t>
      </w:r>
      <w:r>
        <w:rPr>
          <w:spacing w:val="-8"/>
        </w:rPr>
        <w:t> </w:t>
      </w:r>
      <w:r>
        <w:rPr/>
        <w:t>con</w:t>
      </w:r>
      <w:r>
        <w:rPr>
          <w:spacing w:val="-5"/>
        </w:rPr>
        <w:t> </w:t>
      </w:r>
      <w:r>
        <w:rPr/>
        <w:t>el</w:t>
      </w:r>
      <w:r>
        <w:rPr>
          <w:spacing w:val="-4"/>
        </w:rPr>
        <w:t> </w:t>
      </w:r>
      <w:r>
        <w:rPr/>
        <w:t>año</w:t>
      </w:r>
      <w:r>
        <w:rPr>
          <w:spacing w:val="-4"/>
        </w:rPr>
        <w:t> </w:t>
      </w:r>
      <w:r>
        <w:rPr/>
        <w:t>2022</w:t>
      </w:r>
      <w:r>
        <w:rPr>
          <w:spacing w:val="-6"/>
        </w:rPr>
        <w:t> </w:t>
      </w:r>
      <w:r>
        <w:rPr/>
        <w:t>(0.0%)</w:t>
      </w:r>
      <w:r>
        <w:rPr>
          <w:spacing w:val="-6"/>
        </w:rPr>
        <w:t> </w:t>
      </w:r>
      <w:r>
        <w:rPr/>
        <w:t>y</w:t>
      </w:r>
      <w:r>
        <w:rPr>
          <w:spacing w:val="-5"/>
        </w:rPr>
        <w:t> </w:t>
      </w:r>
      <w:r>
        <w:rPr/>
        <w:t>ha disminuido respecto al año 2021(15.1 %).</w:t>
      </w:r>
    </w:p>
    <w:p>
      <w:pPr>
        <w:pStyle w:val="ListParagraph"/>
        <w:numPr>
          <w:ilvl w:val="0"/>
          <w:numId w:val="11"/>
        </w:numPr>
        <w:tabs>
          <w:tab w:pos="862" w:val="left" w:leader="none"/>
        </w:tabs>
        <w:spacing w:line="326" w:lineRule="auto" w:before="0" w:after="0"/>
        <w:ind w:left="862" w:right="704" w:hanging="360"/>
        <w:jc w:val="both"/>
        <w:rPr>
          <w:sz w:val="24"/>
        </w:rPr>
      </w:pPr>
      <w:r>
        <w:rPr>
          <w:sz w:val="24"/>
        </w:rPr>
        <w:t>Asimismo, se observa que el valor del indicador se incrementó en 1 p.p. respecto del 2022 (0.0%) y disminuyó en 0.4 p.p. respecto del 2021 (1.4%), lo que sugiere una tendencia general que oscila entre 0% y 1%, contraria a la tendencia de las metas programadas.</w:t>
      </w:r>
    </w:p>
    <w:p>
      <w:pPr>
        <w:pStyle w:val="ListParagraph"/>
        <w:numPr>
          <w:ilvl w:val="0"/>
          <w:numId w:val="11"/>
        </w:numPr>
        <w:tabs>
          <w:tab w:pos="862" w:val="left" w:leader="none"/>
        </w:tabs>
        <w:spacing w:line="326" w:lineRule="auto" w:before="161" w:after="0"/>
        <w:ind w:left="862" w:right="703" w:hanging="360"/>
        <w:jc w:val="both"/>
        <w:rPr>
          <w:sz w:val="24"/>
        </w:rPr>
      </w:pPr>
      <w:r>
        <w:rPr>
          <w:sz w:val="24"/>
        </w:rPr>
        <w:t>Cabe precisar que, acorde de a lo reportado por DTEG, la demora en la designación del funcionariado y equipo</w:t>
      </w:r>
      <w:r>
        <w:rPr>
          <w:spacing w:val="-1"/>
          <w:sz w:val="24"/>
        </w:rPr>
        <w:t> </w:t>
      </w:r>
      <w:r>
        <w:rPr>
          <w:sz w:val="24"/>
        </w:rPr>
        <w:t>técnico en las entidades del</w:t>
      </w:r>
      <w:r>
        <w:rPr>
          <w:spacing w:val="-1"/>
          <w:sz w:val="24"/>
        </w:rPr>
        <w:t> </w:t>
      </w:r>
      <w:r>
        <w:rPr>
          <w:sz w:val="24"/>
        </w:rPr>
        <w:t>nivel subnacional por el inicio de gestión de las nuevas autoridades electas (regionales y locales) y la alta rotación del funcionariado regional y local que no cumplían con el perfil requerido, afectaron el normal desarrollo</w:t>
      </w:r>
      <w:r>
        <w:rPr>
          <w:spacing w:val="80"/>
          <w:sz w:val="24"/>
        </w:rPr>
        <w:t> </w:t>
      </w:r>
      <w:r>
        <w:rPr>
          <w:sz w:val="24"/>
        </w:rPr>
        <w:t>de las asistencias técnicas programadas para contribuir al indicador. Asimismo, la Transversalización del Enfoque de Género (TEG) no está comprendida en la política de gobierno.</w:t>
      </w:r>
    </w:p>
    <w:p>
      <w:pPr>
        <w:spacing w:line="288" w:lineRule="auto" w:before="154"/>
        <w:ind w:left="3854" w:right="0" w:hanging="3711"/>
        <w:jc w:val="left"/>
        <w:rPr>
          <w:sz w:val="20"/>
        </w:rPr>
      </w:pPr>
      <w:r>
        <w:rPr>
          <w:color w:val="44536A"/>
          <w:sz w:val="20"/>
        </w:rPr>
        <w:t>Gráfico 6. Porcentaje de entidades públicas que incorporan el enfoque de género en la gestión </w:t>
      </w:r>
      <w:r>
        <w:rPr>
          <w:color w:val="44536A"/>
          <w:spacing w:val="-2"/>
          <w:sz w:val="20"/>
        </w:rPr>
        <w:t>institucional</w:t>
      </w:r>
    </w:p>
    <w:p>
      <w:pPr>
        <w:pStyle w:val="BodyText"/>
        <w:rPr>
          <w:sz w:val="12"/>
        </w:rPr>
      </w:pPr>
      <w:r>
        <w:rPr>
          <w:sz w:val="12"/>
        </w:rPr>
        <mc:AlternateContent>
          <mc:Choice Requires="wps">
            <w:drawing>
              <wp:anchor distT="0" distB="0" distL="0" distR="0" allowOverlap="1" layoutInCell="1" locked="0" behindDoc="1" simplePos="0" relativeHeight="487591936">
                <wp:simplePos x="0" y="0"/>
                <wp:positionH relativeFrom="page">
                  <wp:posOffset>1148080</wp:posOffset>
                </wp:positionH>
                <wp:positionV relativeFrom="paragraph">
                  <wp:posOffset>103133</wp:posOffset>
                </wp:positionV>
                <wp:extent cx="5253990" cy="2892425"/>
                <wp:effectExtent l="0" t="0" r="0" b="0"/>
                <wp:wrapTopAndBottom/>
                <wp:docPr id="254" name="Group 254"/>
                <wp:cNvGraphicFramePr>
                  <a:graphicFrameLocks/>
                </wp:cNvGraphicFramePr>
                <a:graphic>
                  <a:graphicData uri="http://schemas.microsoft.com/office/word/2010/wordprocessingGroup">
                    <wpg:wgp>
                      <wpg:cNvPr id="254" name="Group 254"/>
                      <wpg:cNvGrpSpPr/>
                      <wpg:grpSpPr>
                        <a:xfrm>
                          <a:off x="0" y="0"/>
                          <a:ext cx="5253990" cy="2892425"/>
                          <a:chExt cx="5253990" cy="2892425"/>
                        </a:xfrm>
                      </wpg:grpSpPr>
                      <wps:wsp>
                        <wps:cNvPr id="255" name="Graphic 255"/>
                        <wps:cNvSpPr/>
                        <wps:spPr>
                          <a:xfrm>
                            <a:off x="382777" y="144145"/>
                            <a:ext cx="40640" cy="2160270"/>
                          </a:xfrm>
                          <a:custGeom>
                            <a:avLst/>
                            <a:gdLst/>
                            <a:ahLst/>
                            <a:cxnLst/>
                            <a:rect l="l" t="t" r="r" b="b"/>
                            <a:pathLst>
                              <a:path w="40640" h="2160270">
                                <a:moveTo>
                                  <a:pt x="40385" y="2160016"/>
                                </a:moveTo>
                                <a:lnTo>
                                  <a:pt x="40385" y="0"/>
                                </a:lnTo>
                              </a:path>
                              <a:path w="40640" h="2160270">
                                <a:moveTo>
                                  <a:pt x="0" y="2160016"/>
                                </a:moveTo>
                                <a:lnTo>
                                  <a:pt x="40385" y="2160016"/>
                                </a:lnTo>
                              </a:path>
                              <a:path w="40640" h="2160270">
                                <a:moveTo>
                                  <a:pt x="0" y="1799589"/>
                                </a:moveTo>
                                <a:lnTo>
                                  <a:pt x="40385" y="1799589"/>
                                </a:lnTo>
                              </a:path>
                              <a:path w="40640" h="2160270">
                                <a:moveTo>
                                  <a:pt x="0" y="1439926"/>
                                </a:moveTo>
                                <a:lnTo>
                                  <a:pt x="40385" y="1439926"/>
                                </a:lnTo>
                              </a:path>
                              <a:path w="40640" h="2160270">
                                <a:moveTo>
                                  <a:pt x="0" y="1080262"/>
                                </a:moveTo>
                                <a:lnTo>
                                  <a:pt x="40385" y="1080262"/>
                                </a:lnTo>
                              </a:path>
                              <a:path w="40640" h="2160270">
                                <a:moveTo>
                                  <a:pt x="0" y="720598"/>
                                </a:moveTo>
                                <a:lnTo>
                                  <a:pt x="40385" y="720598"/>
                                </a:lnTo>
                              </a:path>
                              <a:path w="40640" h="2160270">
                                <a:moveTo>
                                  <a:pt x="0" y="359410"/>
                                </a:moveTo>
                                <a:lnTo>
                                  <a:pt x="40385" y="359410"/>
                                </a:lnTo>
                              </a:path>
                              <a:path w="40640" h="2160270">
                                <a:moveTo>
                                  <a:pt x="0" y="0"/>
                                </a:moveTo>
                                <a:lnTo>
                                  <a:pt x="40385" y="0"/>
                                </a:lnTo>
                              </a:path>
                            </a:pathLst>
                          </a:custGeom>
                          <a:ln w="6350">
                            <a:solidFill>
                              <a:srgbClr val="888888"/>
                            </a:solidFill>
                            <a:prstDash val="solid"/>
                          </a:ln>
                        </wps:spPr>
                        <wps:bodyPr wrap="square" lIns="0" tIns="0" rIns="0" bIns="0" rtlCol="0">
                          <a:prstTxWarp prst="textNoShape">
                            <a:avLst/>
                          </a:prstTxWarp>
                          <a:noAutofit/>
                        </wps:bodyPr>
                      </wps:wsp>
                      <wps:wsp>
                        <wps:cNvPr id="256" name="Graphic 256"/>
                        <wps:cNvSpPr/>
                        <wps:spPr>
                          <a:xfrm>
                            <a:off x="423163" y="2304160"/>
                            <a:ext cx="4688205" cy="36195"/>
                          </a:xfrm>
                          <a:custGeom>
                            <a:avLst/>
                            <a:gdLst/>
                            <a:ahLst/>
                            <a:cxnLst/>
                            <a:rect l="l" t="t" r="r" b="b"/>
                            <a:pathLst>
                              <a:path w="4688205" h="36195">
                                <a:moveTo>
                                  <a:pt x="0" y="0"/>
                                </a:moveTo>
                                <a:lnTo>
                                  <a:pt x="4687951" y="0"/>
                                </a:lnTo>
                              </a:path>
                              <a:path w="4688205" h="36195">
                                <a:moveTo>
                                  <a:pt x="0" y="0"/>
                                </a:moveTo>
                                <a:lnTo>
                                  <a:pt x="0" y="36195"/>
                                </a:lnTo>
                              </a:path>
                              <a:path w="4688205" h="36195">
                                <a:moveTo>
                                  <a:pt x="390144" y="0"/>
                                </a:moveTo>
                                <a:lnTo>
                                  <a:pt x="390144" y="36195"/>
                                </a:lnTo>
                              </a:path>
                              <a:path w="4688205" h="36195">
                                <a:moveTo>
                                  <a:pt x="781812" y="0"/>
                                </a:moveTo>
                                <a:lnTo>
                                  <a:pt x="781812" y="36195"/>
                                </a:lnTo>
                              </a:path>
                              <a:path w="4688205" h="36195">
                                <a:moveTo>
                                  <a:pt x="1171956" y="0"/>
                                </a:moveTo>
                                <a:lnTo>
                                  <a:pt x="1171956" y="36195"/>
                                </a:lnTo>
                              </a:path>
                              <a:path w="4688205" h="36195">
                                <a:moveTo>
                                  <a:pt x="1562100" y="0"/>
                                </a:moveTo>
                                <a:lnTo>
                                  <a:pt x="1562100" y="36195"/>
                                </a:lnTo>
                              </a:path>
                              <a:path w="4688205" h="36195">
                                <a:moveTo>
                                  <a:pt x="1953768" y="0"/>
                                </a:moveTo>
                                <a:lnTo>
                                  <a:pt x="1953768" y="36195"/>
                                </a:lnTo>
                              </a:path>
                              <a:path w="4688205" h="36195">
                                <a:moveTo>
                                  <a:pt x="2343911" y="0"/>
                                </a:moveTo>
                                <a:lnTo>
                                  <a:pt x="2343911" y="36195"/>
                                </a:lnTo>
                              </a:path>
                              <a:path w="4688205" h="36195">
                                <a:moveTo>
                                  <a:pt x="2734056" y="0"/>
                                </a:moveTo>
                                <a:lnTo>
                                  <a:pt x="2734056" y="36195"/>
                                </a:lnTo>
                              </a:path>
                              <a:path w="4688205" h="36195">
                                <a:moveTo>
                                  <a:pt x="3125723" y="0"/>
                                </a:moveTo>
                                <a:lnTo>
                                  <a:pt x="3125723" y="36195"/>
                                </a:lnTo>
                              </a:path>
                              <a:path w="4688205" h="36195">
                                <a:moveTo>
                                  <a:pt x="3515868" y="0"/>
                                </a:moveTo>
                                <a:lnTo>
                                  <a:pt x="3515868" y="36195"/>
                                </a:lnTo>
                              </a:path>
                              <a:path w="4688205" h="36195">
                                <a:moveTo>
                                  <a:pt x="3906011" y="0"/>
                                </a:moveTo>
                                <a:lnTo>
                                  <a:pt x="3906011" y="36195"/>
                                </a:lnTo>
                              </a:path>
                              <a:path w="4688205" h="36195">
                                <a:moveTo>
                                  <a:pt x="4297680" y="0"/>
                                </a:moveTo>
                                <a:lnTo>
                                  <a:pt x="4297680" y="36195"/>
                                </a:lnTo>
                              </a:path>
                              <a:path w="4688205" h="36195">
                                <a:moveTo>
                                  <a:pt x="4687951" y="0"/>
                                </a:moveTo>
                                <a:lnTo>
                                  <a:pt x="4687951" y="36195"/>
                                </a:lnTo>
                              </a:path>
                            </a:pathLst>
                          </a:custGeom>
                          <a:ln w="9525">
                            <a:solidFill>
                              <a:srgbClr val="D9D9D9"/>
                            </a:solidFill>
                            <a:prstDash val="solid"/>
                          </a:ln>
                        </wps:spPr>
                        <wps:bodyPr wrap="square" lIns="0" tIns="0" rIns="0" bIns="0" rtlCol="0">
                          <a:prstTxWarp prst="textNoShape">
                            <a:avLst/>
                          </a:prstTxWarp>
                          <a:noAutofit/>
                        </wps:bodyPr>
                      </wps:wsp>
                      <wps:wsp>
                        <wps:cNvPr id="257" name="Graphic 257"/>
                        <wps:cNvSpPr/>
                        <wps:spPr>
                          <a:xfrm>
                            <a:off x="1009141" y="360172"/>
                            <a:ext cx="3907154" cy="1800225"/>
                          </a:xfrm>
                          <a:custGeom>
                            <a:avLst/>
                            <a:gdLst/>
                            <a:ahLst/>
                            <a:cxnLst/>
                            <a:rect l="l" t="t" r="r" b="b"/>
                            <a:pathLst>
                              <a:path w="3907154" h="1800225">
                                <a:moveTo>
                                  <a:pt x="0" y="1799971"/>
                                </a:moveTo>
                                <a:lnTo>
                                  <a:pt x="390905" y="1620139"/>
                                </a:lnTo>
                                <a:lnTo>
                                  <a:pt x="781050" y="1440307"/>
                                </a:lnTo>
                                <a:lnTo>
                                  <a:pt x="1172717" y="1260475"/>
                                </a:lnTo>
                                <a:lnTo>
                                  <a:pt x="1562862" y="1080643"/>
                                </a:lnTo>
                                <a:lnTo>
                                  <a:pt x="1953005" y="899287"/>
                                </a:lnTo>
                                <a:lnTo>
                                  <a:pt x="2344674" y="719455"/>
                                </a:lnTo>
                                <a:lnTo>
                                  <a:pt x="2734817" y="539623"/>
                                </a:lnTo>
                                <a:lnTo>
                                  <a:pt x="3124962" y="359790"/>
                                </a:lnTo>
                                <a:lnTo>
                                  <a:pt x="3516629" y="179959"/>
                                </a:lnTo>
                                <a:lnTo>
                                  <a:pt x="3906647" y="0"/>
                                </a:lnTo>
                              </a:path>
                            </a:pathLst>
                          </a:custGeom>
                          <a:ln w="28575">
                            <a:solidFill>
                              <a:srgbClr val="A4A4A4"/>
                            </a:solidFill>
                            <a:prstDash val="solid"/>
                          </a:ln>
                        </wps:spPr>
                        <wps:bodyPr wrap="square" lIns="0" tIns="0" rIns="0" bIns="0" rtlCol="0">
                          <a:prstTxWarp prst="textNoShape">
                            <a:avLst/>
                          </a:prstTxWarp>
                          <a:noAutofit/>
                        </wps:bodyPr>
                      </wps:wsp>
                      <pic:pic>
                        <pic:nvPicPr>
                          <pic:cNvPr id="258" name="Image 258"/>
                          <pic:cNvPicPr/>
                        </pic:nvPicPr>
                        <pic:blipFill>
                          <a:blip r:embed="rId11" cstate="print"/>
                          <a:stretch>
                            <a:fillRect/>
                          </a:stretch>
                        </pic:blipFill>
                        <pic:spPr>
                          <a:xfrm>
                            <a:off x="972248" y="2122868"/>
                            <a:ext cx="73532" cy="73532"/>
                          </a:xfrm>
                          <a:prstGeom prst="rect">
                            <a:avLst/>
                          </a:prstGeom>
                        </pic:spPr>
                      </pic:pic>
                      <pic:pic>
                        <pic:nvPicPr>
                          <pic:cNvPr id="259" name="Image 259"/>
                          <pic:cNvPicPr/>
                        </pic:nvPicPr>
                        <pic:blipFill>
                          <a:blip r:embed="rId9" cstate="print"/>
                          <a:stretch>
                            <a:fillRect/>
                          </a:stretch>
                        </pic:blipFill>
                        <pic:spPr>
                          <a:xfrm>
                            <a:off x="1363916" y="1943036"/>
                            <a:ext cx="73533" cy="73533"/>
                          </a:xfrm>
                          <a:prstGeom prst="rect">
                            <a:avLst/>
                          </a:prstGeom>
                        </pic:spPr>
                      </pic:pic>
                      <pic:pic>
                        <pic:nvPicPr>
                          <pic:cNvPr id="260" name="Image 260"/>
                          <pic:cNvPicPr/>
                        </pic:nvPicPr>
                        <pic:blipFill>
                          <a:blip r:embed="rId9" cstate="print"/>
                          <a:stretch>
                            <a:fillRect/>
                          </a:stretch>
                        </pic:blipFill>
                        <pic:spPr>
                          <a:xfrm>
                            <a:off x="1754060" y="1763204"/>
                            <a:ext cx="73533" cy="73532"/>
                          </a:xfrm>
                          <a:prstGeom prst="rect">
                            <a:avLst/>
                          </a:prstGeom>
                        </pic:spPr>
                      </pic:pic>
                      <pic:pic>
                        <pic:nvPicPr>
                          <pic:cNvPr id="261" name="Image 261"/>
                          <pic:cNvPicPr/>
                        </pic:nvPicPr>
                        <pic:blipFill>
                          <a:blip r:embed="rId8" cstate="print"/>
                          <a:stretch>
                            <a:fillRect/>
                          </a:stretch>
                        </pic:blipFill>
                        <pic:spPr>
                          <a:xfrm>
                            <a:off x="2145728" y="1583372"/>
                            <a:ext cx="73532" cy="73533"/>
                          </a:xfrm>
                          <a:prstGeom prst="rect">
                            <a:avLst/>
                          </a:prstGeom>
                        </pic:spPr>
                      </pic:pic>
                      <pic:pic>
                        <pic:nvPicPr>
                          <pic:cNvPr id="262" name="Image 262"/>
                          <pic:cNvPicPr/>
                        </pic:nvPicPr>
                        <pic:blipFill>
                          <a:blip r:embed="rId8" cstate="print"/>
                          <a:stretch>
                            <a:fillRect/>
                          </a:stretch>
                        </pic:blipFill>
                        <pic:spPr>
                          <a:xfrm>
                            <a:off x="2535872" y="1403540"/>
                            <a:ext cx="73533" cy="73532"/>
                          </a:xfrm>
                          <a:prstGeom prst="rect">
                            <a:avLst/>
                          </a:prstGeom>
                        </pic:spPr>
                      </pic:pic>
                      <pic:pic>
                        <pic:nvPicPr>
                          <pic:cNvPr id="263" name="Image 263"/>
                          <pic:cNvPicPr/>
                        </pic:nvPicPr>
                        <pic:blipFill>
                          <a:blip r:embed="rId11" cstate="print"/>
                          <a:stretch>
                            <a:fillRect/>
                          </a:stretch>
                        </pic:blipFill>
                        <pic:spPr>
                          <a:xfrm>
                            <a:off x="2926016" y="1222184"/>
                            <a:ext cx="73532" cy="73533"/>
                          </a:xfrm>
                          <a:prstGeom prst="rect">
                            <a:avLst/>
                          </a:prstGeom>
                        </pic:spPr>
                      </pic:pic>
                      <pic:pic>
                        <pic:nvPicPr>
                          <pic:cNvPr id="264" name="Image 264"/>
                          <pic:cNvPicPr/>
                        </pic:nvPicPr>
                        <pic:blipFill>
                          <a:blip r:embed="rId10" cstate="print"/>
                          <a:stretch>
                            <a:fillRect/>
                          </a:stretch>
                        </pic:blipFill>
                        <pic:spPr>
                          <a:xfrm>
                            <a:off x="3317684" y="1042352"/>
                            <a:ext cx="73533" cy="73532"/>
                          </a:xfrm>
                          <a:prstGeom prst="rect">
                            <a:avLst/>
                          </a:prstGeom>
                        </pic:spPr>
                      </pic:pic>
                      <pic:pic>
                        <pic:nvPicPr>
                          <pic:cNvPr id="265" name="Image 265"/>
                          <pic:cNvPicPr/>
                        </pic:nvPicPr>
                        <pic:blipFill>
                          <a:blip r:embed="rId10" cstate="print"/>
                          <a:stretch>
                            <a:fillRect/>
                          </a:stretch>
                        </pic:blipFill>
                        <pic:spPr>
                          <a:xfrm>
                            <a:off x="3707828" y="862520"/>
                            <a:ext cx="73532" cy="73533"/>
                          </a:xfrm>
                          <a:prstGeom prst="rect">
                            <a:avLst/>
                          </a:prstGeom>
                        </pic:spPr>
                      </pic:pic>
                      <pic:pic>
                        <pic:nvPicPr>
                          <pic:cNvPr id="266" name="Image 266"/>
                          <pic:cNvPicPr/>
                        </pic:nvPicPr>
                        <pic:blipFill>
                          <a:blip r:embed="rId8" cstate="print"/>
                          <a:stretch>
                            <a:fillRect/>
                          </a:stretch>
                        </pic:blipFill>
                        <pic:spPr>
                          <a:xfrm>
                            <a:off x="4097972" y="682688"/>
                            <a:ext cx="73533" cy="73533"/>
                          </a:xfrm>
                          <a:prstGeom prst="rect">
                            <a:avLst/>
                          </a:prstGeom>
                        </pic:spPr>
                      </pic:pic>
                      <pic:pic>
                        <pic:nvPicPr>
                          <pic:cNvPr id="267" name="Image 267"/>
                          <pic:cNvPicPr/>
                        </pic:nvPicPr>
                        <pic:blipFill>
                          <a:blip r:embed="rId8" cstate="print"/>
                          <a:stretch>
                            <a:fillRect/>
                          </a:stretch>
                        </pic:blipFill>
                        <pic:spPr>
                          <a:xfrm>
                            <a:off x="4489640" y="502856"/>
                            <a:ext cx="73532" cy="73533"/>
                          </a:xfrm>
                          <a:prstGeom prst="rect">
                            <a:avLst/>
                          </a:prstGeom>
                        </pic:spPr>
                      </pic:pic>
                      <pic:pic>
                        <pic:nvPicPr>
                          <pic:cNvPr id="268" name="Image 268"/>
                          <pic:cNvPicPr/>
                        </pic:nvPicPr>
                        <pic:blipFill>
                          <a:blip r:embed="rId8" cstate="print"/>
                          <a:stretch>
                            <a:fillRect/>
                          </a:stretch>
                        </pic:blipFill>
                        <pic:spPr>
                          <a:xfrm>
                            <a:off x="4879784" y="323024"/>
                            <a:ext cx="73533" cy="73533"/>
                          </a:xfrm>
                          <a:prstGeom prst="rect">
                            <a:avLst/>
                          </a:prstGeom>
                        </pic:spPr>
                      </pic:pic>
                      <wps:wsp>
                        <wps:cNvPr id="269" name="Graphic 269"/>
                        <wps:cNvSpPr/>
                        <wps:spPr>
                          <a:xfrm>
                            <a:off x="1009141" y="2253742"/>
                            <a:ext cx="1172210" cy="50800"/>
                          </a:xfrm>
                          <a:custGeom>
                            <a:avLst/>
                            <a:gdLst/>
                            <a:ahLst/>
                            <a:cxnLst/>
                            <a:rect l="l" t="t" r="r" b="b"/>
                            <a:pathLst>
                              <a:path w="1172210" h="50800">
                                <a:moveTo>
                                  <a:pt x="0" y="50418"/>
                                </a:moveTo>
                                <a:lnTo>
                                  <a:pt x="390905" y="0"/>
                                </a:lnTo>
                                <a:lnTo>
                                  <a:pt x="781050" y="50418"/>
                                </a:lnTo>
                                <a:lnTo>
                                  <a:pt x="1171955" y="13080"/>
                                </a:lnTo>
                              </a:path>
                            </a:pathLst>
                          </a:custGeom>
                          <a:ln w="28575">
                            <a:solidFill>
                              <a:srgbClr val="EC7C30"/>
                            </a:solidFill>
                            <a:prstDash val="solid"/>
                          </a:ln>
                        </wps:spPr>
                        <wps:bodyPr wrap="square" lIns="0" tIns="0" rIns="0" bIns="0" rtlCol="0">
                          <a:prstTxWarp prst="textNoShape">
                            <a:avLst/>
                          </a:prstTxWarp>
                          <a:noAutofit/>
                        </wps:bodyPr>
                      </wps:wsp>
                      <pic:pic>
                        <pic:nvPicPr>
                          <pic:cNvPr id="270" name="Image 270"/>
                          <pic:cNvPicPr/>
                        </pic:nvPicPr>
                        <pic:blipFill>
                          <a:blip r:embed="rId19" cstate="print"/>
                          <a:stretch>
                            <a:fillRect/>
                          </a:stretch>
                        </pic:blipFill>
                        <pic:spPr>
                          <a:xfrm>
                            <a:off x="960056" y="2253932"/>
                            <a:ext cx="97917" cy="97916"/>
                          </a:xfrm>
                          <a:prstGeom prst="rect">
                            <a:avLst/>
                          </a:prstGeom>
                        </pic:spPr>
                      </pic:pic>
                      <pic:pic>
                        <pic:nvPicPr>
                          <pic:cNvPr id="271" name="Image 271"/>
                          <pic:cNvPicPr/>
                        </pic:nvPicPr>
                        <pic:blipFill>
                          <a:blip r:embed="rId13" cstate="print"/>
                          <a:stretch>
                            <a:fillRect/>
                          </a:stretch>
                        </pic:blipFill>
                        <pic:spPr>
                          <a:xfrm>
                            <a:off x="1351724" y="2203640"/>
                            <a:ext cx="97916" cy="97916"/>
                          </a:xfrm>
                          <a:prstGeom prst="rect">
                            <a:avLst/>
                          </a:prstGeom>
                        </pic:spPr>
                      </pic:pic>
                      <pic:pic>
                        <pic:nvPicPr>
                          <pic:cNvPr id="272" name="Image 272"/>
                          <pic:cNvPicPr/>
                        </pic:nvPicPr>
                        <pic:blipFill>
                          <a:blip r:embed="rId19" cstate="print"/>
                          <a:stretch>
                            <a:fillRect/>
                          </a:stretch>
                        </pic:blipFill>
                        <pic:spPr>
                          <a:xfrm>
                            <a:off x="1741868" y="2253932"/>
                            <a:ext cx="97916" cy="97916"/>
                          </a:xfrm>
                          <a:prstGeom prst="rect">
                            <a:avLst/>
                          </a:prstGeom>
                        </pic:spPr>
                      </pic:pic>
                      <pic:pic>
                        <pic:nvPicPr>
                          <pic:cNvPr id="273" name="Image 273"/>
                          <pic:cNvPicPr/>
                        </pic:nvPicPr>
                        <pic:blipFill>
                          <a:blip r:embed="rId12" cstate="print"/>
                          <a:stretch>
                            <a:fillRect/>
                          </a:stretch>
                        </pic:blipFill>
                        <pic:spPr>
                          <a:xfrm>
                            <a:off x="2133536" y="2217356"/>
                            <a:ext cx="97917" cy="97916"/>
                          </a:xfrm>
                          <a:prstGeom prst="rect">
                            <a:avLst/>
                          </a:prstGeom>
                        </pic:spPr>
                      </pic:pic>
                      <pic:pic>
                        <pic:nvPicPr>
                          <pic:cNvPr id="274" name="Image 274"/>
                          <pic:cNvPicPr/>
                        </pic:nvPicPr>
                        <pic:blipFill>
                          <a:blip r:embed="rId23" cstate="print"/>
                          <a:stretch>
                            <a:fillRect/>
                          </a:stretch>
                        </pic:blipFill>
                        <pic:spPr>
                          <a:xfrm>
                            <a:off x="569277" y="2254440"/>
                            <a:ext cx="97917" cy="97916"/>
                          </a:xfrm>
                          <a:prstGeom prst="rect">
                            <a:avLst/>
                          </a:prstGeom>
                        </pic:spPr>
                      </pic:pic>
                      <wps:wsp>
                        <wps:cNvPr id="275" name="Graphic 275"/>
                        <wps:cNvSpPr/>
                        <wps:spPr>
                          <a:xfrm>
                            <a:off x="1379347" y="480822"/>
                            <a:ext cx="3154680" cy="1499870"/>
                          </a:xfrm>
                          <a:custGeom>
                            <a:avLst/>
                            <a:gdLst/>
                            <a:ahLst/>
                            <a:cxnLst/>
                            <a:rect l="l" t="t" r="r" b="b"/>
                            <a:pathLst>
                              <a:path w="3154680" h="1499870">
                                <a:moveTo>
                                  <a:pt x="20447" y="1499362"/>
                                </a:moveTo>
                                <a:lnTo>
                                  <a:pt x="0" y="1438656"/>
                                </a:lnTo>
                              </a:path>
                              <a:path w="3154680" h="1499870">
                                <a:moveTo>
                                  <a:pt x="2755138" y="239395"/>
                                </a:moveTo>
                                <a:lnTo>
                                  <a:pt x="2776855" y="180466"/>
                                </a:lnTo>
                              </a:path>
                              <a:path w="3154680" h="1499870">
                                <a:moveTo>
                                  <a:pt x="3145790" y="59309"/>
                                </a:moveTo>
                                <a:lnTo>
                                  <a:pt x="3154680" y="0"/>
                                </a:lnTo>
                              </a:path>
                            </a:pathLst>
                          </a:custGeom>
                          <a:ln w="9525">
                            <a:solidFill>
                              <a:srgbClr val="A6A6A6"/>
                            </a:solidFill>
                            <a:prstDash val="solid"/>
                          </a:ln>
                        </wps:spPr>
                        <wps:bodyPr wrap="square" lIns="0" tIns="0" rIns="0" bIns="0" rtlCol="0">
                          <a:prstTxWarp prst="textNoShape">
                            <a:avLst/>
                          </a:prstTxWarp>
                          <a:noAutofit/>
                        </wps:bodyPr>
                      </wps:wsp>
                      <pic:pic>
                        <pic:nvPicPr>
                          <pic:cNvPr id="276" name="Image 276"/>
                          <pic:cNvPicPr/>
                        </pic:nvPicPr>
                        <pic:blipFill>
                          <a:blip r:embed="rId35" cstate="print"/>
                          <a:stretch>
                            <a:fillRect/>
                          </a:stretch>
                        </pic:blipFill>
                        <pic:spPr>
                          <a:xfrm>
                            <a:off x="1017905" y="2668968"/>
                            <a:ext cx="243839" cy="73532"/>
                          </a:xfrm>
                          <a:prstGeom prst="rect">
                            <a:avLst/>
                          </a:prstGeom>
                        </pic:spPr>
                      </pic:pic>
                      <pic:pic>
                        <pic:nvPicPr>
                          <pic:cNvPr id="277" name="Image 277"/>
                          <pic:cNvPicPr/>
                        </pic:nvPicPr>
                        <pic:blipFill>
                          <a:blip r:embed="rId36" cstate="print"/>
                          <a:stretch>
                            <a:fillRect/>
                          </a:stretch>
                        </pic:blipFill>
                        <pic:spPr>
                          <a:xfrm>
                            <a:off x="2280030" y="2668968"/>
                            <a:ext cx="243839" cy="73532"/>
                          </a:xfrm>
                          <a:prstGeom prst="rect">
                            <a:avLst/>
                          </a:prstGeom>
                        </pic:spPr>
                      </pic:pic>
                      <pic:pic>
                        <pic:nvPicPr>
                          <pic:cNvPr id="278" name="Image 278"/>
                          <pic:cNvPicPr/>
                        </pic:nvPicPr>
                        <pic:blipFill>
                          <a:blip r:embed="rId37" cstate="print"/>
                          <a:stretch>
                            <a:fillRect/>
                          </a:stretch>
                        </pic:blipFill>
                        <pic:spPr>
                          <a:xfrm>
                            <a:off x="3522979" y="2668968"/>
                            <a:ext cx="243839" cy="73532"/>
                          </a:xfrm>
                          <a:prstGeom prst="rect">
                            <a:avLst/>
                          </a:prstGeom>
                        </pic:spPr>
                      </pic:pic>
                      <wps:wsp>
                        <wps:cNvPr id="279" name="Graphic 279"/>
                        <wps:cNvSpPr/>
                        <wps:spPr>
                          <a:xfrm>
                            <a:off x="3175" y="3175"/>
                            <a:ext cx="5247640" cy="2886075"/>
                          </a:xfrm>
                          <a:custGeom>
                            <a:avLst/>
                            <a:gdLst/>
                            <a:ahLst/>
                            <a:cxnLst/>
                            <a:rect l="l" t="t" r="r" b="b"/>
                            <a:pathLst>
                              <a:path w="5247640" h="2886075">
                                <a:moveTo>
                                  <a:pt x="0" y="2886074"/>
                                </a:moveTo>
                                <a:lnTo>
                                  <a:pt x="5247640" y="2886074"/>
                                </a:lnTo>
                                <a:lnTo>
                                  <a:pt x="5247640" y="0"/>
                                </a:lnTo>
                                <a:lnTo>
                                  <a:pt x="0" y="0"/>
                                </a:lnTo>
                                <a:lnTo>
                                  <a:pt x="0" y="2886074"/>
                                </a:lnTo>
                                <a:close/>
                              </a:path>
                            </a:pathLst>
                          </a:custGeom>
                          <a:ln w="6350">
                            <a:solidFill>
                              <a:srgbClr val="A6A6A6"/>
                            </a:solidFill>
                            <a:prstDash val="solid"/>
                          </a:ln>
                        </wps:spPr>
                        <wps:bodyPr wrap="square" lIns="0" tIns="0" rIns="0" bIns="0" rtlCol="0">
                          <a:prstTxWarp prst="textNoShape">
                            <a:avLst/>
                          </a:prstTxWarp>
                          <a:noAutofit/>
                        </wps:bodyPr>
                      </wps:wsp>
                      <wps:wsp>
                        <wps:cNvPr id="280" name="Textbox 280"/>
                        <wps:cNvSpPr txBox="1"/>
                        <wps:spPr>
                          <a:xfrm>
                            <a:off x="1252855" y="1771776"/>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9.0%</w:t>
                              </w:r>
                            </w:p>
                          </w:txbxContent>
                        </wps:txbx>
                        <wps:bodyPr wrap="square" lIns="0" tIns="0" rIns="0" bIns="0" rtlCol="0">
                          <a:noAutofit/>
                        </wps:bodyPr>
                      </wps:wsp>
                      <wps:wsp>
                        <wps:cNvPr id="281" name="Textbox 281"/>
                        <wps:cNvSpPr txBox="1"/>
                        <wps:spPr>
                          <a:xfrm>
                            <a:off x="3793363" y="2653283"/>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282" name="Textbox 282"/>
                        <wps:cNvSpPr txBox="1"/>
                        <wps:spPr>
                          <a:xfrm>
                            <a:off x="86055" y="1886076"/>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10%</w:t>
                              </w:r>
                            </w:p>
                          </w:txbxContent>
                        </wps:txbx>
                        <wps:bodyPr wrap="square" lIns="0" tIns="0" rIns="0" bIns="0" rtlCol="0">
                          <a:noAutofit/>
                        </wps:bodyPr>
                      </wps:wsp>
                      <wps:wsp>
                        <wps:cNvPr id="283" name="Textbox 283"/>
                        <wps:cNvSpPr txBox="1"/>
                        <wps:spPr>
                          <a:xfrm>
                            <a:off x="491744" y="2073554"/>
                            <a:ext cx="266700" cy="127000"/>
                          </a:xfrm>
                          <a:prstGeom prst="rect">
                            <a:avLst/>
                          </a:prstGeom>
                        </wps:spPr>
                        <wps:txbx>
                          <w:txbxContent>
                            <w:p>
                              <w:pPr>
                                <w:spacing w:line="200" w:lineRule="exact" w:before="0"/>
                                <w:ind w:left="0" w:right="0" w:firstLine="0"/>
                                <w:jc w:val="left"/>
                                <w:rPr>
                                  <w:rFonts w:ascii="Calibri"/>
                                  <w:b/>
                                  <w:sz w:val="20"/>
                                </w:rPr>
                              </w:pPr>
                              <w:r>
                                <w:rPr>
                                  <w:rFonts w:ascii="Calibri"/>
                                  <w:b/>
                                  <w:color w:val="4471C4"/>
                                  <w:spacing w:val="-4"/>
                                  <w:sz w:val="20"/>
                                </w:rPr>
                                <w:t>0.0%</w:t>
                              </w:r>
                            </w:p>
                          </w:txbxContent>
                        </wps:txbx>
                        <wps:bodyPr wrap="square" lIns="0" tIns="0" rIns="0" bIns="0" rtlCol="0">
                          <a:noAutofit/>
                        </wps:bodyPr>
                      </wps:wsp>
                      <wps:wsp>
                        <wps:cNvPr id="284" name="Textbox 284"/>
                        <wps:cNvSpPr txBox="1"/>
                        <wps:spPr>
                          <a:xfrm>
                            <a:off x="150368" y="2245995"/>
                            <a:ext cx="16764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0%</w:t>
                              </w:r>
                            </w:p>
                          </w:txbxContent>
                        </wps:txbx>
                        <wps:bodyPr wrap="square" lIns="0" tIns="0" rIns="0" bIns="0" rtlCol="0">
                          <a:noAutofit/>
                        </wps:bodyPr>
                      </wps:wsp>
                      <wps:wsp>
                        <wps:cNvPr id="285" name="Textbox 285"/>
                        <wps:cNvSpPr txBox="1"/>
                        <wps:spPr>
                          <a:xfrm>
                            <a:off x="503047" y="240030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2019</w:t>
                              </w:r>
                            </w:p>
                          </w:txbxContent>
                        </wps:txbx>
                        <wps:bodyPr wrap="square" lIns="0" tIns="0" rIns="0" bIns="0" rtlCol="0">
                          <a:noAutofit/>
                        </wps:bodyPr>
                      </wps:wsp>
                      <wps:wsp>
                        <wps:cNvPr id="286" name="Textbox 286"/>
                        <wps:cNvSpPr txBox="1"/>
                        <wps:spPr>
                          <a:xfrm>
                            <a:off x="834644" y="1961007"/>
                            <a:ext cx="318135" cy="553720"/>
                          </a:xfrm>
                          <a:prstGeom prst="rect">
                            <a:avLst/>
                          </a:prstGeom>
                        </wps:spPr>
                        <wps:txbx>
                          <w:txbxContent>
                            <w:p>
                              <w:pPr>
                                <w:spacing w:line="203" w:lineRule="exact" w:before="0"/>
                                <w:ind w:left="80" w:right="0" w:firstLine="0"/>
                                <w:jc w:val="left"/>
                                <w:rPr>
                                  <w:rFonts w:ascii="Calibri"/>
                                  <w:b/>
                                  <w:sz w:val="20"/>
                                </w:rPr>
                              </w:pPr>
                              <w:r>
                                <w:rPr>
                                  <w:rFonts w:ascii="Calibri"/>
                                  <w:b/>
                                  <w:color w:val="A4A4A4"/>
                                  <w:spacing w:val="-4"/>
                                  <w:sz w:val="20"/>
                                </w:rPr>
                                <w:t>4.0%</w:t>
                              </w:r>
                            </w:p>
                            <w:p>
                              <w:pPr>
                                <w:spacing w:before="90"/>
                                <w:ind w:left="0" w:right="0" w:firstLine="0"/>
                                <w:jc w:val="left"/>
                                <w:rPr>
                                  <w:rFonts w:ascii="Calibri"/>
                                  <w:b/>
                                  <w:sz w:val="20"/>
                                </w:rPr>
                              </w:pPr>
                              <w:r>
                                <w:rPr>
                                  <w:rFonts w:ascii="Calibri"/>
                                  <w:b/>
                                  <w:color w:val="EC7C30"/>
                                  <w:spacing w:val="-4"/>
                                  <w:sz w:val="20"/>
                                </w:rPr>
                                <w:t>0.0%</w:t>
                              </w:r>
                            </w:p>
                            <w:p>
                              <w:pPr>
                                <w:spacing w:line="216" w:lineRule="exact" w:before="118"/>
                                <w:ind w:left="93" w:right="0" w:firstLine="0"/>
                                <w:jc w:val="left"/>
                                <w:rPr>
                                  <w:rFonts w:ascii="Calibri"/>
                                  <w:sz w:val="18"/>
                                </w:rPr>
                              </w:pPr>
                              <w:r>
                                <w:rPr>
                                  <w:rFonts w:ascii="Calibri"/>
                                  <w:color w:val="585858"/>
                                  <w:spacing w:val="-4"/>
                                  <w:sz w:val="18"/>
                                </w:rPr>
                                <w:t>2020</w:t>
                              </w:r>
                            </w:p>
                          </w:txbxContent>
                        </wps:txbx>
                        <wps:bodyPr wrap="square" lIns="0" tIns="0" rIns="0" bIns="0" rtlCol="0">
                          <a:noAutofit/>
                        </wps:bodyPr>
                      </wps:wsp>
                      <wps:wsp>
                        <wps:cNvPr id="287" name="Textbox 287"/>
                        <wps:cNvSpPr txBox="1"/>
                        <wps:spPr>
                          <a:xfrm>
                            <a:off x="1300988" y="2056764"/>
                            <a:ext cx="1036319" cy="193040"/>
                          </a:xfrm>
                          <a:prstGeom prst="rect">
                            <a:avLst/>
                          </a:prstGeom>
                        </wps:spPr>
                        <wps:txbx>
                          <w:txbxContent>
                            <w:p>
                              <w:pPr>
                                <w:tabs>
                                  <w:tab w:pos="681" w:val="left" w:leader="none"/>
                                </w:tabs>
                                <w:spacing w:line="211" w:lineRule="auto" w:before="0"/>
                                <w:ind w:left="0" w:right="0" w:firstLine="0"/>
                                <w:jc w:val="left"/>
                                <w:rPr>
                                  <w:rFonts w:ascii="Calibri"/>
                                  <w:b/>
                                  <w:sz w:val="20"/>
                                </w:rPr>
                              </w:pPr>
                              <w:r>
                                <w:rPr>
                                  <w:rFonts w:ascii="Calibri"/>
                                  <w:b/>
                                  <w:color w:val="EC7C30"/>
                                  <w:spacing w:val="-4"/>
                                  <w:position w:val="2"/>
                                  <w:sz w:val="20"/>
                                </w:rPr>
                                <w:t>1.4%</w:t>
                              </w:r>
                              <w:r>
                                <w:rPr>
                                  <w:rFonts w:ascii="Calibri"/>
                                  <w:b/>
                                  <w:color w:val="EC7C30"/>
                                  <w:position w:val="2"/>
                                  <w:sz w:val="20"/>
                                </w:rPr>
                                <w:tab/>
                              </w:r>
                              <w:r>
                                <w:rPr>
                                  <w:rFonts w:ascii="Calibri"/>
                                  <w:b/>
                                  <w:color w:val="EC7C30"/>
                                  <w:position w:val="-8"/>
                                  <w:sz w:val="20"/>
                                </w:rPr>
                                <w:t>0.0%</w:t>
                              </w:r>
                              <w:r>
                                <w:rPr>
                                  <w:rFonts w:ascii="Calibri"/>
                                  <w:b/>
                                  <w:color w:val="EC7C30"/>
                                  <w:spacing w:val="79"/>
                                  <w:position w:val="-8"/>
                                  <w:sz w:val="20"/>
                                </w:rPr>
                                <w:t> </w:t>
                              </w:r>
                              <w:r>
                                <w:rPr>
                                  <w:rFonts w:ascii="Calibri"/>
                                  <w:b/>
                                  <w:color w:val="EC7C30"/>
                                  <w:spacing w:val="-4"/>
                                  <w:sz w:val="20"/>
                                </w:rPr>
                                <w:t>1.0%</w:t>
                              </w:r>
                            </w:p>
                          </w:txbxContent>
                        </wps:txbx>
                        <wps:bodyPr wrap="square" lIns="0" tIns="0" rIns="0" bIns="0" rtlCol="0">
                          <a:noAutofit/>
                        </wps:bodyPr>
                      </wps:wsp>
                      <wps:wsp>
                        <wps:cNvPr id="288" name="Textbox 288"/>
                        <wps:cNvSpPr txBox="1"/>
                        <wps:spPr>
                          <a:xfrm>
                            <a:off x="1284477" y="240030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2021</w:t>
                              </w:r>
                            </w:p>
                          </w:txbxContent>
                        </wps:txbx>
                        <wps:bodyPr wrap="square" lIns="0" tIns="0" rIns="0" bIns="0" rtlCol="0">
                          <a:noAutofit/>
                        </wps:bodyPr>
                      </wps:wsp>
                      <wps:wsp>
                        <wps:cNvPr id="289" name="Textbox 289"/>
                        <wps:cNvSpPr txBox="1"/>
                        <wps:spPr>
                          <a:xfrm>
                            <a:off x="1675257" y="240030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2022</w:t>
                              </w:r>
                            </w:p>
                          </w:txbxContent>
                        </wps:txbx>
                        <wps:bodyPr wrap="square" lIns="0" tIns="0" rIns="0" bIns="0" rtlCol="0">
                          <a:noAutofit/>
                        </wps:bodyPr>
                      </wps:wsp>
                      <wps:wsp>
                        <wps:cNvPr id="290" name="Textbox 290"/>
                        <wps:cNvSpPr txBox="1"/>
                        <wps:spPr>
                          <a:xfrm>
                            <a:off x="2065782" y="2400300"/>
                            <a:ext cx="24574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2023</w:t>
                              </w:r>
                            </w:p>
                          </w:txbxContent>
                        </wps:txbx>
                        <wps:bodyPr wrap="square" lIns="0" tIns="0" rIns="0" bIns="0" rtlCol="0">
                          <a:noAutofit/>
                        </wps:bodyPr>
                      </wps:wsp>
                      <wps:wsp>
                        <wps:cNvPr id="291" name="Textbox 291"/>
                        <wps:cNvSpPr txBox="1"/>
                        <wps:spPr>
                          <a:xfrm>
                            <a:off x="2456433" y="2400300"/>
                            <a:ext cx="2588895" cy="114300"/>
                          </a:xfrm>
                          <a:prstGeom prst="rect">
                            <a:avLst/>
                          </a:prstGeom>
                        </wps:spPr>
                        <wps:txbx>
                          <w:txbxContent>
                            <w:p>
                              <w:pPr>
                                <w:tabs>
                                  <w:tab w:pos="615" w:val="left" w:leader="none"/>
                                  <w:tab w:pos="1230" w:val="left" w:leader="none"/>
                                  <w:tab w:pos="1846" w:val="left" w:leader="none"/>
                                  <w:tab w:pos="2461" w:val="left" w:leader="none"/>
                                  <w:tab w:pos="3076" w:val="left" w:leader="none"/>
                                  <w:tab w:pos="3692" w:val="left" w:leader="none"/>
                                </w:tabs>
                                <w:spacing w:line="180" w:lineRule="exact" w:before="0"/>
                                <w:ind w:left="0" w:right="0" w:firstLine="0"/>
                                <w:jc w:val="left"/>
                                <w:rPr>
                                  <w:rFonts w:ascii="Calibri"/>
                                  <w:sz w:val="18"/>
                                </w:rPr>
                              </w:pP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wps:txbx>
                        <wps:bodyPr wrap="square" lIns="0" tIns="0" rIns="0" bIns="0" rtlCol="0">
                          <a:noAutofit/>
                        </wps:bodyPr>
                      </wps:wsp>
                      <wps:wsp>
                        <wps:cNvPr id="292" name="Textbox 292"/>
                        <wps:cNvSpPr txBox="1"/>
                        <wps:spPr>
                          <a:xfrm>
                            <a:off x="1287907" y="2653283"/>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293" name="Textbox 293"/>
                        <wps:cNvSpPr txBox="1"/>
                        <wps:spPr>
                          <a:xfrm>
                            <a:off x="2550414" y="2653283"/>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294" name="Textbox 294"/>
                        <wps:cNvSpPr txBox="1"/>
                        <wps:spPr>
                          <a:xfrm>
                            <a:off x="1640839" y="1616963"/>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14.0%</w:t>
                              </w:r>
                            </w:p>
                          </w:txbxContent>
                        </wps:txbx>
                        <wps:bodyPr wrap="square" lIns="0" tIns="0" rIns="0" bIns="0" rtlCol="0">
                          <a:noAutofit/>
                        </wps:bodyPr>
                      </wps:wsp>
                      <wps:wsp>
                        <wps:cNvPr id="295" name="Textbox 295"/>
                        <wps:cNvSpPr txBox="1"/>
                        <wps:spPr>
                          <a:xfrm>
                            <a:off x="86055" y="1526032"/>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20%</w:t>
                              </w:r>
                            </w:p>
                          </w:txbxContent>
                        </wps:txbx>
                        <wps:bodyPr wrap="square" lIns="0" tIns="0" rIns="0" bIns="0" rtlCol="0">
                          <a:noAutofit/>
                        </wps:bodyPr>
                      </wps:wsp>
                      <wps:wsp>
                        <wps:cNvPr id="296" name="Textbox 296"/>
                        <wps:cNvSpPr txBox="1"/>
                        <wps:spPr>
                          <a:xfrm>
                            <a:off x="2037714" y="1419352"/>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19.0%</w:t>
                              </w:r>
                            </w:p>
                          </w:txbxContent>
                        </wps:txbx>
                        <wps:bodyPr wrap="square" lIns="0" tIns="0" rIns="0" bIns="0" rtlCol="0">
                          <a:noAutofit/>
                        </wps:bodyPr>
                      </wps:wsp>
                      <wps:wsp>
                        <wps:cNvPr id="297" name="Textbox 297"/>
                        <wps:cNvSpPr txBox="1"/>
                        <wps:spPr>
                          <a:xfrm>
                            <a:off x="2415920" y="1238630"/>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24.0%</w:t>
                              </w:r>
                            </w:p>
                          </w:txbxContent>
                        </wps:txbx>
                        <wps:bodyPr wrap="square" lIns="0" tIns="0" rIns="0" bIns="0" rtlCol="0">
                          <a:noAutofit/>
                        </wps:bodyPr>
                      </wps:wsp>
                      <wps:wsp>
                        <wps:cNvPr id="298" name="Textbox 298"/>
                        <wps:cNvSpPr txBox="1"/>
                        <wps:spPr>
                          <a:xfrm>
                            <a:off x="2824352" y="1076452"/>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29.0%</w:t>
                              </w:r>
                            </w:p>
                          </w:txbxContent>
                        </wps:txbx>
                        <wps:bodyPr wrap="square" lIns="0" tIns="0" rIns="0" bIns="0" rtlCol="0">
                          <a:noAutofit/>
                        </wps:bodyPr>
                      </wps:wsp>
                      <wps:wsp>
                        <wps:cNvPr id="299" name="Textbox 299"/>
                        <wps:cNvSpPr txBox="1"/>
                        <wps:spPr>
                          <a:xfrm>
                            <a:off x="86055" y="1166113"/>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30%</w:t>
                              </w:r>
                            </w:p>
                          </w:txbxContent>
                        </wps:txbx>
                        <wps:bodyPr wrap="square" lIns="0" tIns="0" rIns="0" bIns="0" rtlCol="0">
                          <a:noAutofit/>
                        </wps:bodyPr>
                      </wps:wsp>
                      <wps:wsp>
                        <wps:cNvPr id="300" name="Textbox 300"/>
                        <wps:cNvSpPr txBox="1"/>
                        <wps:spPr>
                          <a:xfrm>
                            <a:off x="3215132" y="885444"/>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34.0%</w:t>
                              </w:r>
                            </w:p>
                          </w:txbxContent>
                        </wps:txbx>
                        <wps:bodyPr wrap="square" lIns="0" tIns="0" rIns="0" bIns="0" rtlCol="0">
                          <a:noAutofit/>
                        </wps:bodyPr>
                      </wps:wsp>
                      <wps:wsp>
                        <wps:cNvPr id="301" name="Textbox 301"/>
                        <wps:cNvSpPr txBox="1"/>
                        <wps:spPr>
                          <a:xfrm>
                            <a:off x="3583304" y="705866"/>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39.0%</w:t>
                              </w:r>
                            </w:p>
                          </w:txbxContent>
                        </wps:txbx>
                        <wps:bodyPr wrap="square" lIns="0" tIns="0" rIns="0" bIns="0" rtlCol="0">
                          <a:noAutofit/>
                        </wps:bodyPr>
                      </wps:wsp>
                      <wps:wsp>
                        <wps:cNvPr id="302" name="Textbox 302"/>
                        <wps:cNvSpPr txBox="1"/>
                        <wps:spPr>
                          <a:xfrm>
                            <a:off x="86055" y="805815"/>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40%</w:t>
                              </w:r>
                            </w:p>
                          </w:txbxContent>
                        </wps:txbx>
                        <wps:bodyPr wrap="square" lIns="0" tIns="0" rIns="0" bIns="0" rtlCol="0">
                          <a:noAutofit/>
                        </wps:bodyPr>
                      </wps:wsp>
                      <wps:wsp>
                        <wps:cNvPr id="303" name="Textbox 303"/>
                        <wps:cNvSpPr txBox="1"/>
                        <wps:spPr>
                          <a:xfrm>
                            <a:off x="3998214" y="513587"/>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44.0%</w:t>
                              </w:r>
                            </w:p>
                          </w:txbxContent>
                        </wps:txbx>
                        <wps:bodyPr wrap="square" lIns="0" tIns="0" rIns="0" bIns="0" rtlCol="0">
                          <a:noAutofit/>
                        </wps:bodyPr>
                      </wps:wsp>
                      <wps:wsp>
                        <wps:cNvPr id="304" name="Textbox 304"/>
                        <wps:cNvSpPr txBox="1"/>
                        <wps:spPr>
                          <a:xfrm>
                            <a:off x="86055" y="445897"/>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50%</w:t>
                              </w:r>
                            </w:p>
                          </w:txbxContent>
                        </wps:txbx>
                        <wps:bodyPr wrap="square" lIns="0" tIns="0" rIns="0" bIns="0" rtlCol="0">
                          <a:noAutofit/>
                        </wps:bodyPr>
                      </wps:wsp>
                      <wps:wsp>
                        <wps:cNvPr id="305" name="Textbox 305"/>
                        <wps:cNvSpPr txBox="1"/>
                        <wps:spPr>
                          <a:xfrm>
                            <a:off x="4376165" y="333120"/>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49.0%</w:t>
                              </w:r>
                            </w:p>
                          </w:txbxContent>
                        </wps:txbx>
                        <wps:bodyPr wrap="square" lIns="0" tIns="0" rIns="0" bIns="0" rtlCol="0">
                          <a:noAutofit/>
                        </wps:bodyPr>
                      </wps:wsp>
                      <wps:wsp>
                        <wps:cNvPr id="306" name="Textbox 306"/>
                        <wps:cNvSpPr txBox="1"/>
                        <wps:spPr>
                          <a:xfrm>
                            <a:off x="4714747" y="163956"/>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2"/>
                                  <w:sz w:val="20"/>
                                </w:rPr>
                                <w:t>54.0%</w:t>
                              </w:r>
                            </w:p>
                          </w:txbxContent>
                        </wps:txbx>
                        <wps:bodyPr wrap="square" lIns="0" tIns="0" rIns="0" bIns="0" rtlCol="0">
                          <a:noAutofit/>
                        </wps:bodyPr>
                      </wps:wsp>
                      <wps:wsp>
                        <wps:cNvPr id="307" name="Textbox 307"/>
                        <wps:cNvSpPr txBox="1"/>
                        <wps:spPr>
                          <a:xfrm>
                            <a:off x="86055" y="85852"/>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60%</w:t>
                              </w:r>
                            </w:p>
                          </w:txbxContent>
                        </wps:txbx>
                        <wps:bodyPr wrap="square" lIns="0" tIns="0" rIns="0" bIns="0" rtlCol="0">
                          <a:noAutofit/>
                        </wps:bodyPr>
                      </wps:wsp>
                    </wpg:wgp>
                  </a:graphicData>
                </a:graphic>
              </wp:anchor>
            </w:drawing>
          </mc:Choice>
          <mc:Fallback>
            <w:pict>
              <v:group style="position:absolute;margin-left:90.400002pt;margin-top:8.120723pt;width:413.7pt;height:227.75pt;mso-position-horizontal-relative:page;mso-position-vertical-relative:paragraph;z-index:-15724544;mso-wrap-distance-left:0;mso-wrap-distance-right:0" id="docshapegroup251" coordorigin="1808,162" coordsize="8274,4555">
                <v:shape style="position:absolute;left:2410;top:389;width:64;height:3402" id="docshape252" coordorigin="2411,389" coordsize="64,3402" path="m2474,3791l2474,389m2411,3791l2474,3791m2411,3223l2474,3223m2411,2657l2474,2657m2411,2091l2474,2091m2411,1524l2474,1524m2411,955l2474,955m2411,389l2474,389e" filled="false" stroked="true" strokeweight=".5pt" strokecolor="#888888">
                  <v:path arrowok="t"/>
                  <v:stroke dashstyle="solid"/>
                </v:shape>
                <v:shape style="position:absolute;left:2474;top:3791;width:7383;height:57" id="docshape253" coordorigin="2474,3791" coordsize="7383,57" path="m2474,3791l9857,3791m2474,3791l2474,3848m3089,3791l3089,3848m3706,3791l3706,3848m4320,3791l4320,3848m4934,3791l4934,3848m5551,3791l5551,3848m6166,3791l6166,3848m6780,3791l6780,3848m7397,3791l7397,3848m8011,3791l8011,3848m8626,3791l8626,3848m9242,3791l9242,3848m9857,3791l9857,3848e" filled="false" stroked="true" strokeweight=".75pt" strokecolor="#d9d9d9">
                  <v:path arrowok="t"/>
                  <v:stroke dashstyle="solid"/>
                </v:shape>
                <v:shape style="position:absolute;left:3397;top:729;width:6153;height:2835" id="docshape254" coordorigin="3397,730" coordsize="6153,2835" path="m3397,3564l4013,3281,4627,2998,5244,2715,5858,2431,6473,2146,7090,1863,7704,1579,8318,1296,8935,1013,9549,730e" filled="false" stroked="true" strokeweight="2.25pt" strokecolor="#a4a4a4">
                  <v:path arrowok="t"/>
                  <v:stroke dashstyle="solid"/>
                </v:shape>
                <v:shape style="position:absolute;left:3339;top:3505;width:116;height:116" type="#_x0000_t75" id="docshape255" stroked="false">
                  <v:imagedata r:id="rId11" o:title=""/>
                </v:shape>
                <v:shape style="position:absolute;left:3955;top:3222;width:116;height:116" type="#_x0000_t75" id="docshape256" stroked="false">
                  <v:imagedata r:id="rId9" o:title=""/>
                </v:shape>
                <v:shape style="position:absolute;left:4570;top:2939;width:116;height:116" type="#_x0000_t75" id="docshape257" stroked="false">
                  <v:imagedata r:id="rId9" o:title=""/>
                </v:shape>
                <v:shape style="position:absolute;left:5187;top:2655;width:116;height:116" type="#_x0000_t75" id="docshape258" stroked="false">
                  <v:imagedata r:id="rId8" o:title=""/>
                </v:shape>
                <v:shape style="position:absolute;left:5801;top:2372;width:116;height:116" type="#_x0000_t75" id="docshape259" stroked="false">
                  <v:imagedata r:id="rId8" o:title=""/>
                </v:shape>
                <v:shape style="position:absolute;left:6415;top:2087;width:116;height:116" type="#_x0000_t75" id="docshape260" stroked="false">
                  <v:imagedata r:id="rId11" o:title=""/>
                </v:shape>
                <v:shape style="position:absolute;left:7032;top:1803;width:116;height:116" type="#_x0000_t75" id="docshape261" stroked="false">
                  <v:imagedata r:id="rId10" o:title=""/>
                </v:shape>
                <v:shape style="position:absolute;left:7647;top:1520;width:116;height:116" type="#_x0000_t75" id="docshape262" stroked="false">
                  <v:imagedata r:id="rId10" o:title=""/>
                </v:shape>
                <v:shape style="position:absolute;left:8261;top:1237;width:116;height:116" type="#_x0000_t75" id="docshape263" stroked="false">
                  <v:imagedata r:id="rId8" o:title=""/>
                </v:shape>
                <v:shape style="position:absolute;left:8878;top:954;width:116;height:116" type="#_x0000_t75" id="docshape264" stroked="false">
                  <v:imagedata r:id="rId8" o:title=""/>
                </v:shape>
                <v:shape style="position:absolute;left:9492;top:671;width:116;height:116" type="#_x0000_t75" id="docshape265" stroked="false">
                  <v:imagedata r:id="rId8" o:title=""/>
                </v:shape>
                <v:shape style="position:absolute;left:3397;top:3711;width:1846;height:80" id="docshape266" coordorigin="3397,3712" coordsize="1846,80" path="m3397,3791l4013,3712,4627,3791,5243,3732e" filled="false" stroked="true" strokeweight="2.25pt" strokecolor="#ec7c30">
                  <v:path arrowok="t"/>
                  <v:stroke dashstyle="solid"/>
                </v:shape>
                <v:shape style="position:absolute;left:3319;top:3711;width:155;height:155" type="#_x0000_t75" id="docshape267" stroked="false">
                  <v:imagedata r:id="rId19" o:title=""/>
                </v:shape>
                <v:shape style="position:absolute;left:3936;top:3632;width:155;height:155" type="#_x0000_t75" id="docshape268" stroked="false">
                  <v:imagedata r:id="rId13" o:title=""/>
                </v:shape>
                <v:shape style="position:absolute;left:4551;top:3711;width:155;height:155" type="#_x0000_t75" id="docshape269" stroked="false">
                  <v:imagedata r:id="rId19" o:title=""/>
                </v:shape>
                <v:shape style="position:absolute;left:5167;top:3654;width:155;height:155" type="#_x0000_t75" id="docshape270" stroked="false">
                  <v:imagedata r:id="rId12" o:title=""/>
                </v:shape>
                <v:shape style="position:absolute;left:2704;top:3712;width:155;height:155" type="#_x0000_t75" id="docshape271" stroked="false">
                  <v:imagedata r:id="rId23" o:title=""/>
                </v:shape>
                <v:shape style="position:absolute;left:3980;top:919;width:4968;height:2362" id="docshape272" coordorigin="3980,920" coordsize="4968,2362" path="m4012,3281l3980,3185m8319,1297l8353,1204m8934,1013l8948,920e" filled="false" stroked="true" strokeweight=".75pt" strokecolor="#a6a6a6">
                  <v:path arrowok="t"/>
                  <v:stroke dashstyle="solid"/>
                </v:shape>
                <v:shape style="position:absolute;left:3411;top:4365;width:384;height:116" type="#_x0000_t75" id="docshape273" stroked="false">
                  <v:imagedata r:id="rId35" o:title=""/>
                </v:shape>
                <v:shape style="position:absolute;left:5398;top:4365;width:384;height:116" type="#_x0000_t75" id="docshape274" stroked="false">
                  <v:imagedata r:id="rId36" o:title=""/>
                </v:shape>
                <v:shape style="position:absolute;left:7356;top:4365;width:384;height:116" type="#_x0000_t75" id="docshape275" stroked="false">
                  <v:imagedata r:id="rId37" o:title=""/>
                </v:shape>
                <v:rect style="position:absolute;left:1813;top:167;width:8264;height:4545" id="docshape276" filled="false" stroked="true" strokeweight=".5pt" strokecolor="#a6a6a6">
                  <v:stroke dashstyle="solid"/>
                </v:rect>
                <v:shape style="position:absolute;left:3781;top:2952;width:420;height:200" type="#_x0000_t202" id="docshape277"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9.0%</w:t>
                        </w:r>
                      </w:p>
                    </w:txbxContent>
                  </v:textbox>
                  <w10:wrap type="none"/>
                </v:shape>
                <v:shape style="position:absolute;left:7781;top:4340;width:789;height:180" type="#_x0000_t202" id="docshape278"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1943;top:3132;width:367;height:200" type="#_x0000_t202" id="docshape279" filled="false" stroked="false">
                  <v:textbox inset="0,0,0,0">
                    <w:txbxContent>
                      <w:p>
                        <w:pPr>
                          <w:spacing w:line="199" w:lineRule="exact" w:before="0"/>
                          <w:ind w:left="0" w:right="0" w:firstLine="0"/>
                          <w:jc w:val="left"/>
                          <w:rPr>
                            <w:rFonts w:ascii="Calibri"/>
                            <w:sz w:val="20"/>
                          </w:rPr>
                        </w:pPr>
                        <w:r>
                          <w:rPr>
                            <w:rFonts w:ascii="Calibri"/>
                            <w:spacing w:val="-5"/>
                            <w:sz w:val="20"/>
                          </w:rPr>
                          <w:t>10%</w:t>
                        </w:r>
                      </w:p>
                    </w:txbxContent>
                  </v:textbox>
                  <w10:wrap type="none"/>
                </v:shape>
                <v:shape style="position:absolute;left:2582;top:3427;width:420;height:200" type="#_x0000_t202" id="docshape280" filled="false" stroked="false">
                  <v:textbox inset="0,0,0,0">
                    <w:txbxContent>
                      <w:p>
                        <w:pPr>
                          <w:spacing w:line="200" w:lineRule="exact" w:before="0"/>
                          <w:ind w:left="0" w:right="0" w:firstLine="0"/>
                          <w:jc w:val="left"/>
                          <w:rPr>
                            <w:rFonts w:ascii="Calibri"/>
                            <w:b/>
                            <w:sz w:val="20"/>
                          </w:rPr>
                        </w:pPr>
                        <w:r>
                          <w:rPr>
                            <w:rFonts w:ascii="Calibri"/>
                            <w:b/>
                            <w:color w:val="4471C4"/>
                            <w:spacing w:val="-4"/>
                            <w:sz w:val="20"/>
                          </w:rPr>
                          <w:t>0.0%</w:t>
                        </w:r>
                      </w:p>
                    </w:txbxContent>
                  </v:textbox>
                  <w10:wrap type="none"/>
                </v:shape>
                <v:shape style="position:absolute;left:2044;top:3699;width:264;height:200" type="#_x0000_t202" id="docshape281" filled="false" stroked="false">
                  <v:textbox inset="0,0,0,0">
                    <w:txbxContent>
                      <w:p>
                        <w:pPr>
                          <w:spacing w:line="199" w:lineRule="exact" w:before="0"/>
                          <w:ind w:left="0" w:right="0" w:firstLine="0"/>
                          <w:jc w:val="left"/>
                          <w:rPr>
                            <w:rFonts w:ascii="Calibri"/>
                            <w:sz w:val="20"/>
                          </w:rPr>
                        </w:pPr>
                        <w:r>
                          <w:rPr>
                            <w:rFonts w:ascii="Calibri"/>
                            <w:spacing w:val="-5"/>
                            <w:sz w:val="20"/>
                          </w:rPr>
                          <w:t>0%</w:t>
                        </w:r>
                      </w:p>
                    </w:txbxContent>
                  </v:textbox>
                  <w10:wrap type="none"/>
                </v:shape>
                <v:shape style="position:absolute;left:2600;top:3942;width:385;height:180" type="#_x0000_t202" id="docshape282"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2019</w:t>
                        </w:r>
                      </w:p>
                    </w:txbxContent>
                  </v:textbox>
                  <w10:wrap type="none"/>
                </v:shape>
                <v:shape style="position:absolute;left:3122;top:3250;width:501;height:872" type="#_x0000_t202" id="docshape283" filled="false" stroked="false">
                  <v:textbox inset="0,0,0,0">
                    <w:txbxContent>
                      <w:p>
                        <w:pPr>
                          <w:spacing w:line="203" w:lineRule="exact" w:before="0"/>
                          <w:ind w:left="80" w:right="0" w:firstLine="0"/>
                          <w:jc w:val="left"/>
                          <w:rPr>
                            <w:rFonts w:ascii="Calibri"/>
                            <w:b/>
                            <w:sz w:val="20"/>
                          </w:rPr>
                        </w:pPr>
                        <w:r>
                          <w:rPr>
                            <w:rFonts w:ascii="Calibri"/>
                            <w:b/>
                            <w:color w:val="A4A4A4"/>
                            <w:spacing w:val="-4"/>
                            <w:sz w:val="20"/>
                          </w:rPr>
                          <w:t>4.0%</w:t>
                        </w:r>
                      </w:p>
                      <w:p>
                        <w:pPr>
                          <w:spacing w:before="90"/>
                          <w:ind w:left="0" w:right="0" w:firstLine="0"/>
                          <w:jc w:val="left"/>
                          <w:rPr>
                            <w:rFonts w:ascii="Calibri"/>
                            <w:b/>
                            <w:sz w:val="20"/>
                          </w:rPr>
                        </w:pPr>
                        <w:r>
                          <w:rPr>
                            <w:rFonts w:ascii="Calibri"/>
                            <w:b/>
                            <w:color w:val="EC7C30"/>
                            <w:spacing w:val="-4"/>
                            <w:sz w:val="20"/>
                          </w:rPr>
                          <w:t>0.0%</w:t>
                        </w:r>
                      </w:p>
                      <w:p>
                        <w:pPr>
                          <w:spacing w:line="216" w:lineRule="exact" w:before="118"/>
                          <w:ind w:left="93" w:right="0" w:firstLine="0"/>
                          <w:jc w:val="left"/>
                          <w:rPr>
                            <w:rFonts w:ascii="Calibri"/>
                            <w:sz w:val="18"/>
                          </w:rPr>
                        </w:pPr>
                        <w:r>
                          <w:rPr>
                            <w:rFonts w:ascii="Calibri"/>
                            <w:color w:val="585858"/>
                            <w:spacing w:val="-4"/>
                            <w:sz w:val="18"/>
                          </w:rPr>
                          <w:t>2020</w:t>
                        </w:r>
                      </w:p>
                    </w:txbxContent>
                  </v:textbox>
                  <w10:wrap type="none"/>
                </v:shape>
                <v:shape style="position:absolute;left:3856;top:3401;width:1632;height:304" type="#_x0000_t202" id="docshape284" filled="false" stroked="false">
                  <v:textbox inset="0,0,0,0">
                    <w:txbxContent>
                      <w:p>
                        <w:pPr>
                          <w:tabs>
                            <w:tab w:pos="681" w:val="left" w:leader="none"/>
                          </w:tabs>
                          <w:spacing w:line="211" w:lineRule="auto" w:before="0"/>
                          <w:ind w:left="0" w:right="0" w:firstLine="0"/>
                          <w:jc w:val="left"/>
                          <w:rPr>
                            <w:rFonts w:ascii="Calibri"/>
                            <w:b/>
                            <w:sz w:val="20"/>
                          </w:rPr>
                        </w:pPr>
                        <w:r>
                          <w:rPr>
                            <w:rFonts w:ascii="Calibri"/>
                            <w:b/>
                            <w:color w:val="EC7C30"/>
                            <w:spacing w:val="-4"/>
                            <w:position w:val="2"/>
                            <w:sz w:val="20"/>
                          </w:rPr>
                          <w:t>1.4%</w:t>
                        </w:r>
                        <w:r>
                          <w:rPr>
                            <w:rFonts w:ascii="Calibri"/>
                            <w:b/>
                            <w:color w:val="EC7C30"/>
                            <w:position w:val="2"/>
                            <w:sz w:val="20"/>
                          </w:rPr>
                          <w:tab/>
                        </w:r>
                        <w:r>
                          <w:rPr>
                            <w:rFonts w:ascii="Calibri"/>
                            <w:b/>
                            <w:color w:val="EC7C30"/>
                            <w:position w:val="-8"/>
                            <w:sz w:val="20"/>
                          </w:rPr>
                          <w:t>0.0%</w:t>
                        </w:r>
                        <w:r>
                          <w:rPr>
                            <w:rFonts w:ascii="Calibri"/>
                            <w:b/>
                            <w:color w:val="EC7C30"/>
                            <w:spacing w:val="79"/>
                            <w:position w:val="-8"/>
                            <w:sz w:val="20"/>
                          </w:rPr>
                          <w:t> </w:t>
                        </w:r>
                        <w:r>
                          <w:rPr>
                            <w:rFonts w:ascii="Calibri"/>
                            <w:b/>
                            <w:color w:val="EC7C30"/>
                            <w:spacing w:val="-4"/>
                            <w:sz w:val="20"/>
                          </w:rPr>
                          <w:t>1.0%</w:t>
                        </w:r>
                      </w:p>
                    </w:txbxContent>
                  </v:textbox>
                  <w10:wrap type="none"/>
                </v:shape>
                <v:shape style="position:absolute;left:3830;top:3942;width:385;height:180" type="#_x0000_t202" id="docshape285"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2021</w:t>
                        </w:r>
                      </w:p>
                    </w:txbxContent>
                  </v:textbox>
                  <w10:wrap type="none"/>
                </v:shape>
                <v:shape style="position:absolute;left:4446;top:3942;width:385;height:180" type="#_x0000_t202" id="docshape286"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2022</w:t>
                        </w:r>
                      </w:p>
                    </w:txbxContent>
                  </v:textbox>
                  <w10:wrap type="none"/>
                </v:shape>
                <v:shape style="position:absolute;left:5061;top:3942;width:387;height:180" type="#_x0000_t202" id="docshape287"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2023</w:t>
                        </w:r>
                      </w:p>
                    </w:txbxContent>
                  </v:textbox>
                  <w10:wrap type="none"/>
                </v:shape>
                <v:shape style="position:absolute;left:5676;top:3942;width:4077;height:180" type="#_x0000_t202" id="docshape288" filled="false" stroked="false">
                  <v:textbox inset="0,0,0,0">
                    <w:txbxContent>
                      <w:p>
                        <w:pPr>
                          <w:tabs>
                            <w:tab w:pos="615" w:val="left" w:leader="none"/>
                            <w:tab w:pos="1230" w:val="left" w:leader="none"/>
                            <w:tab w:pos="1846" w:val="left" w:leader="none"/>
                            <w:tab w:pos="2461" w:val="left" w:leader="none"/>
                            <w:tab w:pos="3076" w:val="left" w:leader="none"/>
                            <w:tab w:pos="3692" w:val="left" w:leader="none"/>
                          </w:tabs>
                          <w:spacing w:line="180" w:lineRule="exact" w:before="0"/>
                          <w:ind w:left="0" w:right="0" w:firstLine="0"/>
                          <w:jc w:val="left"/>
                          <w:rPr>
                            <w:rFonts w:ascii="Calibri"/>
                            <w:sz w:val="18"/>
                          </w:rPr>
                        </w:pPr>
                        <w:r>
                          <w:rPr>
                            <w:rFonts w:ascii="Calibri"/>
                            <w:color w:val="585858"/>
                            <w:spacing w:val="-4"/>
                            <w:sz w:val="18"/>
                          </w:rPr>
                          <w:t>2024</w:t>
                        </w:r>
                        <w:r>
                          <w:rPr>
                            <w:rFonts w:ascii="Calibri"/>
                            <w:color w:val="585858"/>
                            <w:sz w:val="18"/>
                          </w:rPr>
                          <w:tab/>
                        </w:r>
                        <w:r>
                          <w:rPr>
                            <w:rFonts w:ascii="Calibri"/>
                            <w:color w:val="585858"/>
                            <w:spacing w:val="-4"/>
                            <w:sz w:val="18"/>
                          </w:rPr>
                          <w:t>2025</w:t>
                        </w:r>
                        <w:r>
                          <w:rPr>
                            <w:rFonts w:ascii="Calibri"/>
                            <w:color w:val="585858"/>
                            <w:sz w:val="18"/>
                          </w:rPr>
                          <w:tab/>
                        </w:r>
                        <w:r>
                          <w:rPr>
                            <w:rFonts w:ascii="Calibri"/>
                            <w:color w:val="585858"/>
                            <w:spacing w:val="-4"/>
                            <w:sz w:val="18"/>
                          </w:rPr>
                          <w:t>2026</w:t>
                        </w:r>
                        <w:r>
                          <w:rPr>
                            <w:rFonts w:ascii="Calibri"/>
                            <w:color w:val="585858"/>
                            <w:sz w:val="18"/>
                          </w:rPr>
                          <w:tab/>
                        </w:r>
                        <w:r>
                          <w:rPr>
                            <w:rFonts w:ascii="Calibri"/>
                            <w:color w:val="585858"/>
                            <w:spacing w:val="-4"/>
                            <w:sz w:val="18"/>
                          </w:rPr>
                          <w:t>2027</w:t>
                        </w:r>
                        <w:r>
                          <w:rPr>
                            <w:rFonts w:ascii="Calibri"/>
                            <w:color w:val="585858"/>
                            <w:sz w:val="18"/>
                          </w:rPr>
                          <w:tab/>
                        </w:r>
                        <w:r>
                          <w:rPr>
                            <w:rFonts w:ascii="Calibri"/>
                            <w:color w:val="585858"/>
                            <w:spacing w:val="-4"/>
                            <w:sz w:val="18"/>
                          </w:rPr>
                          <w:t>2028</w:t>
                        </w:r>
                        <w:r>
                          <w:rPr>
                            <w:rFonts w:ascii="Calibri"/>
                            <w:color w:val="585858"/>
                            <w:sz w:val="18"/>
                          </w:rPr>
                          <w:tab/>
                        </w:r>
                        <w:r>
                          <w:rPr>
                            <w:rFonts w:ascii="Calibri"/>
                            <w:color w:val="585858"/>
                            <w:spacing w:val="-4"/>
                            <w:sz w:val="18"/>
                          </w:rPr>
                          <w:t>2029</w:t>
                        </w:r>
                        <w:r>
                          <w:rPr>
                            <w:rFonts w:ascii="Calibri"/>
                            <w:color w:val="585858"/>
                            <w:sz w:val="18"/>
                          </w:rPr>
                          <w:tab/>
                        </w:r>
                        <w:r>
                          <w:rPr>
                            <w:rFonts w:ascii="Calibri"/>
                            <w:color w:val="585858"/>
                            <w:spacing w:val="-4"/>
                            <w:sz w:val="18"/>
                          </w:rPr>
                          <w:t>2030</w:t>
                        </w:r>
                      </w:p>
                    </w:txbxContent>
                  </v:textbox>
                  <w10:wrap type="none"/>
                </v:shape>
                <v:shape style="position:absolute;left:3836;top:4340;width:1290;height:180" type="#_x0000_t202" id="docshape289"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5824;top:4340;width:1261;height:180" type="#_x0000_t202" id="docshape290"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4392;top:2708;width:521;height:200" type="#_x0000_t202" id="docshape291"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14.0%</w:t>
                        </w:r>
                      </w:p>
                    </w:txbxContent>
                  </v:textbox>
                  <w10:wrap type="none"/>
                </v:shape>
                <v:shape style="position:absolute;left:1943;top:2565;width:367;height:200" type="#_x0000_t202" id="docshape292" filled="false" stroked="false">
                  <v:textbox inset="0,0,0,0">
                    <w:txbxContent>
                      <w:p>
                        <w:pPr>
                          <w:spacing w:line="199" w:lineRule="exact" w:before="0"/>
                          <w:ind w:left="0" w:right="0" w:firstLine="0"/>
                          <w:jc w:val="left"/>
                          <w:rPr>
                            <w:rFonts w:ascii="Calibri"/>
                            <w:sz w:val="20"/>
                          </w:rPr>
                        </w:pPr>
                        <w:r>
                          <w:rPr>
                            <w:rFonts w:ascii="Calibri"/>
                            <w:spacing w:val="-5"/>
                            <w:sz w:val="20"/>
                          </w:rPr>
                          <w:t>20%</w:t>
                        </w:r>
                      </w:p>
                    </w:txbxContent>
                  </v:textbox>
                  <w10:wrap type="none"/>
                </v:shape>
                <v:shape style="position:absolute;left:5017;top:2397;width:521;height:200" type="#_x0000_t202" id="docshape293"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19.0%</w:t>
                        </w:r>
                      </w:p>
                    </w:txbxContent>
                  </v:textbox>
                  <w10:wrap type="none"/>
                </v:shape>
                <v:shape style="position:absolute;left:5612;top:2113;width:521;height:200" type="#_x0000_t202" id="docshape294"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24.0%</w:t>
                        </w:r>
                      </w:p>
                    </w:txbxContent>
                  </v:textbox>
                  <w10:wrap type="none"/>
                </v:shape>
                <v:shape style="position:absolute;left:6255;top:1857;width:521;height:200" type="#_x0000_t202" id="docshape295"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29.0%</w:t>
                        </w:r>
                      </w:p>
                    </w:txbxContent>
                  </v:textbox>
                  <w10:wrap type="none"/>
                </v:shape>
                <v:shape style="position:absolute;left:1943;top:1998;width:367;height:200" type="#_x0000_t202" id="docshape296" filled="false" stroked="false">
                  <v:textbox inset="0,0,0,0">
                    <w:txbxContent>
                      <w:p>
                        <w:pPr>
                          <w:spacing w:line="199" w:lineRule="exact" w:before="0"/>
                          <w:ind w:left="0" w:right="0" w:firstLine="0"/>
                          <w:jc w:val="left"/>
                          <w:rPr>
                            <w:rFonts w:ascii="Calibri"/>
                            <w:sz w:val="20"/>
                          </w:rPr>
                        </w:pPr>
                        <w:r>
                          <w:rPr>
                            <w:rFonts w:ascii="Calibri"/>
                            <w:spacing w:val="-5"/>
                            <w:sz w:val="20"/>
                          </w:rPr>
                          <w:t>30%</w:t>
                        </w:r>
                      </w:p>
                    </w:txbxContent>
                  </v:textbox>
                  <w10:wrap type="none"/>
                </v:shape>
                <v:shape style="position:absolute;left:6871;top:1556;width:521;height:200" type="#_x0000_t202" id="docshape297"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34.0%</w:t>
                        </w:r>
                      </w:p>
                    </w:txbxContent>
                  </v:textbox>
                  <w10:wrap type="none"/>
                </v:shape>
                <v:shape style="position:absolute;left:7451;top:1274;width:521;height:200" type="#_x0000_t202" id="docshape298"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39.0%</w:t>
                        </w:r>
                      </w:p>
                    </w:txbxContent>
                  </v:textbox>
                  <w10:wrap type="none"/>
                </v:shape>
                <v:shape style="position:absolute;left:1943;top:1431;width:367;height:200" type="#_x0000_t202" id="docshape299" filled="false" stroked="false">
                  <v:textbox inset="0,0,0,0">
                    <w:txbxContent>
                      <w:p>
                        <w:pPr>
                          <w:spacing w:line="199" w:lineRule="exact" w:before="0"/>
                          <w:ind w:left="0" w:right="0" w:firstLine="0"/>
                          <w:jc w:val="left"/>
                          <w:rPr>
                            <w:rFonts w:ascii="Calibri"/>
                            <w:sz w:val="20"/>
                          </w:rPr>
                        </w:pPr>
                        <w:r>
                          <w:rPr>
                            <w:rFonts w:ascii="Calibri"/>
                            <w:spacing w:val="-5"/>
                            <w:sz w:val="20"/>
                          </w:rPr>
                          <w:t>40%</w:t>
                        </w:r>
                      </w:p>
                    </w:txbxContent>
                  </v:textbox>
                  <w10:wrap type="none"/>
                </v:shape>
                <v:shape style="position:absolute;left:8104;top:971;width:521;height:200" type="#_x0000_t202" id="docshape300"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44.0%</w:t>
                        </w:r>
                      </w:p>
                    </w:txbxContent>
                  </v:textbox>
                  <w10:wrap type="none"/>
                </v:shape>
                <v:shape style="position:absolute;left:1943;top:864;width:367;height:200" type="#_x0000_t202" id="docshape301" filled="false" stroked="false">
                  <v:textbox inset="0,0,0,0">
                    <w:txbxContent>
                      <w:p>
                        <w:pPr>
                          <w:spacing w:line="199" w:lineRule="exact" w:before="0"/>
                          <w:ind w:left="0" w:right="0" w:firstLine="0"/>
                          <w:jc w:val="left"/>
                          <w:rPr>
                            <w:rFonts w:ascii="Calibri"/>
                            <w:sz w:val="20"/>
                          </w:rPr>
                        </w:pPr>
                        <w:r>
                          <w:rPr>
                            <w:rFonts w:ascii="Calibri"/>
                            <w:spacing w:val="-5"/>
                            <w:sz w:val="20"/>
                          </w:rPr>
                          <w:t>50%</w:t>
                        </w:r>
                      </w:p>
                    </w:txbxContent>
                  </v:textbox>
                  <w10:wrap type="none"/>
                </v:shape>
                <v:shape style="position:absolute;left:8699;top:687;width:521;height:200" type="#_x0000_t202" id="docshape302"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49.0%</w:t>
                        </w:r>
                      </w:p>
                    </w:txbxContent>
                  </v:textbox>
                  <w10:wrap type="none"/>
                </v:shape>
                <v:shape style="position:absolute;left:9232;top:420;width:521;height:200" type="#_x0000_t202" id="docshape303" filled="false" stroked="false">
                  <v:textbox inset="0,0,0,0">
                    <w:txbxContent>
                      <w:p>
                        <w:pPr>
                          <w:spacing w:line="199" w:lineRule="exact" w:before="0"/>
                          <w:ind w:left="0" w:right="0" w:firstLine="0"/>
                          <w:jc w:val="left"/>
                          <w:rPr>
                            <w:rFonts w:ascii="Calibri"/>
                            <w:b/>
                            <w:sz w:val="20"/>
                          </w:rPr>
                        </w:pPr>
                        <w:r>
                          <w:rPr>
                            <w:rFonts w:ascii="Calibri"/>
                            <w:b/>
                            <w:color w:val="A4A4A4"/>
                            <w:spacing w:val="-2"/>
                            <w:sz w:val="20"/>
                          </w:rPr>
                          <w:t>54.0%</w:t>
                        </w:r>
                      </w:p>
                    </w:txbxContent>
                  </v:textbox>
                  <w10:wrap type="none"/>
                </v:shape>
                <v:shape style="position:absolute;left:1943;top:297;width:367;height:200" type="#_x0000_t202" id="docshape304" filled="false" stroked="false">
                  <v:textbox inset="0,0,0,0">
                    <w:txbxContent>
                      <w:p>
                        <w:pPr>
                          <w:spacing w:line="199" w:lineRule="exact" w:before="0"/>
                          <w:ind w:left="0" w:right="0" w:firstLine="0"/>
                          <w:jc w:val="left"/>
                          <w:rPr>
                            <w:rFonts w:ascii="Calibri"/>
                            <w:sz w:val="20"/>
                          </w:rPr>
                        </w:pPr>
                        <w:r>
                          <w:rPr>
                            <w:rFonts w:ascii="Calibri"/>
                            <w:spacing w:val="-5"/>
                            <w:sz w:val="20"/>
                          </w:rPr>
                          <w:t>60%</w:t>
                        </w:r>
                      </w:p>
                    </w:txbxContent>
                  </v:textbox>
                  <w10:wrap type="none"/>
                </v:shape>
                <w10:wrap type="topAndBottom"/>
              </v:group>
            </w:pict>
          </mc:Fallback>
        </mc:AlternateContent>
      </w:r>
    </w:p>
    <w:p>
      <w:pPr>
        <w:pStyle w:val="BodyText"/>
        <w:spacing w:before="1"/>
        <w:rPr>
          <w:sz w:val="20"/>
        </w:rPr>
      </w:pPr>
    </w:p>
    <w:p>
      <w:pPr>
        <w:spacing w:line="328" w:lineRule="auto" w:before="0"/>
        <w:ind w:left="143" w:right="5492" w:firstLine="0"/>
        <w:jc w:val="left"/>
        <w:rPr>
          <w:sz w:val="16"/>
        </w:rPr>
      </w:pPr>
      <w:r>
        <w:rPr>
          <w:sz w:val="16"/>
        </w:rPr>
        <w:t>Fuente:</w:t>
      </w:r>
      <w:r>
        <w:rPr>
          <w:spacing w:val="-9"/>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pStyle w:val="BodyText"/>
        <w:rPr>
          <w:sz w:val="16"/>
        </w:rPr>
      </w:pPr>
    </w:p>
    <w:p>
      <w:pPr>
        <w:pStyle w:val="BodyText"/>
        <w:spacing w:before="179"/>
        <w:rPr>
          <w:sz w:val="16"/>
        </w:rPr>
      </w:pPr>
    </w:p>
    <w:p>
      <w:pPr>
        <w:spacing w:line="326" w:lineRule="auto" w:before="1"/>
        <w:ind w:left="143" w:right="703" w:firstLine="0"/>
        <w:jc w:val="both"/>
        <w:rPr>
          <w:sz w:val="24"/>
        </w:rPr>
      </w:pPr>
      <w:r>
        <w:rPr>
          <w:sz w:val="24"/>
        </w:rPr>
        <w:t>El</w:t>
      </w:r>
      <w:r>
        <w:rPr>
          <w:spacing w:val="-13"/>
          <w:sz w:val="24"/>
        </w:rPr>
        <w:t> </w:t>
      </w:r>
      <w:r>
        <w:rPr>
          <w:sz w:val="24"/>
        </w:rPr>
        <w:t>indicador</w:t>
      </w:r>
      <w:r>
        <w:rPr>
          <w:spacing w:val="-13"/>
          <w:sz w:val="24"/>
        </w:rPr>
        <w:t> </w:t>
      </w:r>
      <w:r>
        <w:rPr>
          <w:sz w:val="24"/>
        </w:rPr>
        <w:t>“</w:t>
      </w:r>
      <w:r>
        <w:rPr>
          <w:rFonts w:ascii="Arial" w:hAnsi="Arial"/>
          <w:i/>
          <w:sz w:val="24"/>
        </w:rPr>
        <w:t>Brecha</w:t>
      </w:r>
      <w:r>
        <w:rPr>
          <w:rFonts w:ascii="Arial" w:hAnsi="Arial"/>
          <w:i/>
          <w:spacing w:val="-13"/>
          <w:sz w:val="24"/>
        </w:rPr>
        <w:t> </w:t>
      </w:r>
      <w:r>
        <w:rPr>
          <w:rFonts w:ascii="Arial" w:hAnsi="Arial"/>
          <w:i/>
          <w:sz w:val="24"/>
        </w:rPr>
        <w:t>salarial</w:t>
      </w:r>
      <w:r>
        <w:rPr>
          <w:rFonts w:ascii="Arial" w:hAnsi="Arial"/>
          <w:i/>
          <w:spacing w:val="-13"/>
          <w:sz w:val="24"/>
        </w:rPr>
        <w:t> </w:t>
      </w:r>
      <w:r>
        <w:rPr>
          <w:rFonts w:ascii="Arial" w:hAnsi="Arial"/>
          <w:i/>
          <w:sz w:val="24"/>
        </w:rPr>
        <w:t>entre</w:t>
      </w:r>
      <w:r>
        <w:rPr>
          <w:rFonts w:ascii="Arial" w:hAnsi="Arial"/>
          <w:i/>
          <w:spacing w:val="-13"/>
          <w:sz w:val="24"/>
        </w:rPr>
        <w:t> </w:t>
      </w:r>
      <w:r>
        <w:rPr>
          <w:rFonts w:ascii="Arial" w:hAnsi="Arial"/>
          <w:i/>
          <w:sz w:val="24"/>
        </w:rPr>
        <w:t>el</w:t>
      </w:r>
      <w:r>
        <w:rPr>
          <w:rFonts w:ascii="Arial" w:hAnsi="Arial"/>
          <w:i/>
          <w:spacing w:val="-13"/>
          <w:sz w:val="24"/>
        </w:rPr>
        <w:t> </w:t>
      </w:r>
      <w:r>
        <w:rPr>
          <w:rFonts w:ascii="Arial" w:hAnsi="Arial"/>
          <w:i/>
          <w:sz w:val="24"/>
        </w:rPr>
        <w:t>hombre</w:t>
      </w:r>
      <w:r>
        <w:rPr>
          <w:rFonts w:ascii="Arial" w:hAnsi="Arial"/>
          <w:i/>
          <w:spacing w:val="-13"/>
          <w:sz w:val="24"/>
        </w:rPr>
        <w:t> </w:t>
      </w:r>
      <w:r>
        <w:rPr>
          <w:rFonts w:ascii="Arial" w:hAnsi="Arial"/>
          <w:i/>
          <w:sz w:val="24"/>
        </w:rPr>
        <w:t>y</w:t>
      </w:r>
      <w:r>
        <w:rPr>
          <w:rFonts w:ascii="Arial" w:hAnsi="Arial"/>
          <w:i/>
          <w:spacing w:val="-13"/>
          <w:sz w:val="24"/>
        </w:rPr>
        <w:t> </w:t>
      </w:r>
      <w:r>
        <w:rPr>
          <w:rFonts w:ascii="Arial" w:hAnsi="Arial"/>
          <w:i/>
          <w:sz w:val="24"/>
        </w:rPr>
        <w:t>la</w:t>
      </w:r>
      <w:r>
        <w:rPr>
          <w:rFonts w:ascii="Arial" w:hAnsi="Arial"/>
          <w:i/>
          <w:spacing w:val="-13"/>
          <w:sz w:val="24"/>
        </w:rPr>
        <w:t> </w:t>
      </w:r>
      <w:r>
        <w:rPr>
          <w:rFonts w:ascii="Arial" w:hAnsi="Arial"/>
          <w:i/>
          <w:sz w:val="24"/>
        </w:rPr>
        <w:t>mujer</w:t>
      </w:r>
      <w:r>
        <w:rPr>
          <w:rFonts w:ascii="Arial" w:hAnsi="Arial"/>
          <w:i/>
          <w:spacing w:val="-12"/>
          <w:sz w:val="24"/>
        </w:rPr>
        <w:t> </w:t>
      </w:r>
      <w:r>
        <w:rPr>
          <w:rFonts w:ascii="Arial" w:hAnsi="Arial"/>
          <w:i/>
          <w:sz w:val="24"/>
        </w:rPr>
        <w:t>en</w:t>
      </w:r>
      <w:r>
        <w:rPr>
          <w:rFonts w:ascii="Arial" w:hAnsi="Arial"/>
          <w:i/>
          <w:spacing w:val="-13"/>
          <w:sz w:val="24"/>
        </w:rPr>
        <w:t> </w:t>
      </w:r>
      <w:r>
        <w:rPr>
          <w:rFonts w:ascii="Arial" w:hAnsi="Arial"/>
          <w:i/>
          <w:sz w:val="24"/>
        </w:rPr>
        <w:t>el</w:t>
      </w:r>
      <w:r>
        <w:rPr>
          <w:rFonts w:ascii="Arial" w:hAnsi="Arial"/>
          <w:i/>
          <w:spacing w:val="-13"/>
          <w:sz w:val="24"/>
        </w:rPr>
        <w:t> </w:t>
      </w:r>
      <w:r>
        <w:rPr>
          <w:rFonts w:ascii="Arial" w:hAnsi="Arial"/>
          <w:i/>
          <w:sz w:val="24"/>
        </w:rPr>
        <w:t>sector</w:t>
      </w:r>
      <w:r>
        <w:rPr>
          <w:rFonts w:ascii="Arial" w:hAnsi="Arial"/>
          <w:i/>
          <w:spacing w:val="-13"/>
          <w:sz w:val="24"/>
        </w:rPr>
        <w:t> </w:t>
      </w:r>
      <w:r>
        <w:rPr>
          <w:rFonts w:ascii="Arial" w:hAnsi="Arial"/>
          <w:i/>
          <w:sz w:val="24"/>
        </w:rPr>
        <w:t>público”</w:t>
      </w:r>
      <w:r>
        <w:rPr>
          <w:rFonts w:ascii="Arial" w:hAnsi="Arial"/>
          <w:i/>
          <w:spacing w:val="-12"/>
          <w:sz w:val="24"/>
        </w:rPr>
        <w:t> </w:t>
      </w:r>
      <w:r>
        <w:rPr>
          <w:sz w:val="24"/>
        </w:rPr>
        <w:t>tiene como fuente la ENAHO. Asimismo, el responsable del indicador es la SERVIR. Este</w:t>
      </w:r>
      <w:r>
        <w:rPr>
          <w:spacing w:val="-9"/>
          <w:sz w:val="24"/>
        </w:rPr>
        <w:t> </w:t>
      </w:r>
      <w:r>
        <w:rPr>
          <w:sz w:val="24"/>
        </w:rPr>
        <w:t>indicador</w:t>
      </w:r>
      <w:r>
        <w:rPr>
          <w:spacing w:val="-10"/>
          <w:sz w:val="24"/>
        </w:rPr>
        <w:t> </w:t>
      </w:r>
      <w:r>
        <w:rPr>
          <w:sz w:val="24"/>
        </w:rPr>
        <w:t>tiene</w:t>
      </w:r>
      <w:r>
        <w:rPr>
          <w:spacing w:val="-9"/>
          <w:sz w:val="24"/>
        </w:rPr>
        <w:t> </w:t>
      </w:r>
      <w:r>
        <w:rPr>
          <w:sz w:val="24"/>
        </w:rPr>
        <w:t>un</w:t>
      </w:r>
      <w:r>
        <w:rPr>
          <w:spacing w:val="-10"/>
          <w:sz w:val="24"/>
        </w:rPr>
        <w:t> </w:t>
      </w:r>
      <w:r>
        <w:rPr>
          <w:sz w:val="24"/>
        </w:rPr>
        <w:t>sentido</w:t>
      </w:r>
      <w:r>
        <w:rPr>
          <w:spacing w:val="-2"/>
          <w:sz w:val="24"/>
        </w:rPr>
        <w:t> </w:t>
      </w:r>
      <w:r>
        <w:rPr>
          <w:sz w:val="24"/>
        </w:rPr>
        <w:t>descendente</w:t>
      </w:r>
      <w:r>
        <w:rPr>
          <w:spacing w:val="-7"/>
          <w:sz w:val="24"/>
        </w:rPr>
        <w:t> </w:t>
      </w:r>
      <w:r>
        <w:rPr>
          <w:sz w:val="24"/>
        </w:rPr>
        <w:t>y</w:t>
      </w:r>
      <w:r>
        <w:rPr>
          <w:spacing w:val="-6"/>
          <w:sz w:val="24"/>
        </w:rPr>
        <w:t> </w:t>
      </w:r>
      <w:r>
        <w:rPr>
          <w:sz w:val="24"/>
        </w:rPr>
        <w:t>se</w:t>
      </w:r>
      <w:r>
        <w:rPr>
          <w:spacing w:val="-6"/>
          <w:sz w:val="24"/>
        </w:rPr>
        <w:t> </w:t>
      </w:r>
      <w:r>
        <w:rPr>
          <w:sz w:val="24"/>
        </w:rPr>
        <w:t>espera</w:t>
      </w:r>
      <w:r>
        <w:rPr>
          <w:spacing w:val="-9"/>
          <w:sz w:val="24"/>
        </w:rPr>
        <w:t> </w:t>
      </w:r>
      <w:r>
        <w:rPr>
          <w:sz w:val="24"/>
        </w:rPr>
        <w:t>que</w:t>
      </w:r>
      <w:r>
        <w:rPr>
          <w:spacing w:val="-9"/>
          <w:sz w:val="24"/>
        </w:rPr>
        <w:t> </w:t>
      </w:r>
      <w:r>
        <w:rPr>
          <w:sz w:val="24"/>
        </w:rPr>
        <w:t>su</w:t>
      </w:r>
      <w:r>
        <w:rPr>
          <w:spacing w:val="-6"/>
          <w:sz w:val="24"/>
        </w:rPr>
        <w:t> </w:t>
      </w:r>
      <w:r>
        <w:rPr>
          <w:sz w:val="24"/>
        </w:rPr>
        <w:t>valor</w:t>
      </w:r>
      <w:r>
        <w:rPr>
          <w:spacing w:val="-4"/>
          <w:sz w:val="24"/>
        </w:rPr>
        <w:t> </w:t>
      </w:r>
      <w:r>
        <w:rPr>
          <w:sz w:val="24"/>
        </w:rPr>
        <w:t>disminuya cada año. Al respecto:</w:t>
      </w:r>
    </w:p>
    <w:p>
      <w:pPr>
        <w:spacing w:after="0" w:line="326" w:lineRule="auto"/>
        <w:jc w:val="both"/>
        <w:rPr>
          <w:sz w:val="24"/>
        </w:rPr>
        <w:sectPr>
          <w:pgSz w:w="11910" w:h="16840"/>
          <w:pgMar w:header="713" w:footer="1000" w:top="1420" w:bottom="1200" w:left="1559" w:right="992"/>
        </w:sectPr>
      </w:pPr>
    </w:p>
    <w:p>
      <w:pPr>
        <w:pStyle w:val="ListParagraph"/>
        <w:numPr>
          <w:ilvl w:val="0"/>
          <w:numId w:val="11"/>
        </w:numPr>
        <w:tabs>
          <w:tab w:pos="862" w:val="left" w:leader="none"/>
        </w:tabs>
        <w:spacing w:line="326" w:lineRule="auto" w:before="126" w:after="0"/>
        <w:ind w:left="862" w:right="704" w:hanging="360"/>
        <w:jc w:val="both"/>
        <w:rPr>
          <w:sz w:val="24"/>
        </w:rPr>
      </w:pPr>
      <w:r>
        <w:rPr>
          <w:sz w:val="24"/>
        </w:rPr>
        <w:t>Para</w:t>
      </w:r>
      <w:r>
        <w:rPr>
          <w:spacing w:val="-6"/>
          <w:sz w:val="24"/>
        </w:rPr>
        <w:t> </w:t>
      </w:r>
      <w:r>
        <w:rPr>
          <w:sz w:val="24"/>
        </w:rPr>
        <w:t>el</w:t>
      </w:r>
      <w:r>
        <w:rPr>
          <w:spacing w:val="-5"/>
          <w:sz w:val="24"/>
        </w:rPr>
        <w:t> </w:t>
      </w:r>
      <w:r>
        <w:rPr>
          <w:sz w:val="24"/>
        </w:rPr>
        <w:t>año</w:t>
      </w:r>
      <w:r>
        <w:rPr>
          <w:spacing w:val="-5"/>
          <w:sz w:val="24"/>
        </w:rPr>
        <w:t> </w:t>
      </w:r>
      <w:r>
        <w:rPr>
          <w:sz w:val="24"/>
        </w:rPr>
        <w:t>2023</w:t>
      </w:r>
      <w:r>
        <w:rPr>
          <w:spacing w:val="-7"/>
          <w:sz w:val="24"/>
        </w:rPr>
        <w:t> </w:t>
      </w:r>
      <w:r>
        <w:rPr>
          <w:sz w:val="24"/>
        </w:rPr>
        <w:t>el</w:t>
      </w:r>
      <w:r>
        <w:rPr>
          <w:spacing w:val="-3"/>
          <w:sz w:val="24"/>
        </w:rPr>
        <w:t> </w:t>
      </w:r>
      <w:r>
        <w:rPr>
          <w:sz w:val="24"/>
        </w:rPr>
        <w:t>valor</w:t>
      </w:r>
      <w:r>
        <w:rPr>
          <w:spacing w:val="-6"/>
          <w:sz w:val="24"/>
        </w:rPr>
        <w:t> </w:t>
      </w:r>
      <w:r>
        <w:rPr>
          <w:sz w:val="24"/>
        </w:rPr>
        <w:t>del</w:t>
      </w:r>
      <w:r>
        <w:rPr>
          <w:spacing w:val="-5"/>
          <w:sz w:val="24"/>
        </w:rPr>
        <w:t> </w:t>
      </w:r>
      <w:r>
        <w:rPr>
          <w:sz w:val="24"/>
        </w:rPr>
        <w:t>indicador</w:t>
      </w:r>
      <w:r>
        <w:rPr>
          <w:spacing w:val="-6"/>
          <w:sz w:val="24"/>
        </w:rPr>
        <w:t> </w:t>
      </w:r>
      <w:r>
        <w:rPr>
          <w:sz w:val="24"/>
        </w:rPr>
        <w:t>arrojó</w:t>
      </w:r>
      <w:r>
        <w:rPr>
          <w:spacing w:val="-8"/>
          <w:sz w:val="24"/>
        </w:rPr>
        <w:t> </w:t>
      </w:r>
      <w:r>
        <w:rPr>
          <w:sz w:val="24"/>
        </w:rPr>
        <w:t>un</w:t>
      </w:r>
      <w:r>
        <w:rPr>
          <w:spacing w:val="-4"/>
          <w:sz w:val="24"/>
        </w:rPr>
        <w:t> </w:t>
      </w:r>
      <w:r>
        <w:rPr>
          <w:sz w:val="24"/>
        </w:rPr>
        <w:t>11.7%</w:t>
      </w:r>
      <w:r>
        <w:rPr>
          <w:spacing w:val="-5"/>
          <w:sz w:val="24"/>
        </w:rPr>
        <w:t> </w:t>
      </w:r>
      <w:r>
        <w:rPr>
          <w:sz w:val="24"/>
        </w:rPr>
        <w:t>de</w:t>
      </w:r>
      <w:r>
        <w:rPr>
          <w:spacing w:val="-6"/>
          <w:sz w:val="24"/>
        </w:rPr>
        <w:t> </w:t>
      </w:r>
      <w:r>
        <w:rPr>
          <w:sz w:val="24"/>
        </w:rPr>
        <w:t>brecha</w:t>
      </w:r>
      <w:r>
        <w:rPr>
          <w:spacing w:val="-6"/>
          <w:sz w:val="24"/>
        </w:rPr>
        <w:t> </w:t>
      </w:r>
      <w:r>
        <w:rPr>
          <w:sz w:val="24"/>
        </w:rPr>
        <w:t>salarial </w:t>
      </w:r>
      <w:r>
        <w:rPr>
          <w:w w:val="105"/>
          <w:sz w:val="24"/>
        </w:rPr>
        <w:t>entre</w:t>
      </w:r>
      <w:r>
        <w:rPr>
          <w:spacing w:val="-9"/>
          <w:w w:val="105"/>
          <w:sz w:val="24"/>
        </w:rPr>
        <w:t> </w:t>
      </w:r>
      <w:r>
        <w:rPr>
          <w:w w:val="105"/>
          <w:sz w:val="24"/>
        </w:rPr>
        <w:t>el</w:t>
      </w:r>
      <w:r>
        <w:rPr>
          <w:spacing w:val="-11"/>
          <w:w w:val="105"/>
          <w:sz w:val="24"/>
        </w:rPr>
        <w:t> </w:t>
      </w:r>
      <w:r>
        <w:rPr>
          <w:w w:val="105"/>
          <w:sz w:val="24"/>
        </w:rPr>
        <w:t>hombre</w:t>
      </w:r>
      <w:r>
        <w:rPr>
          <w:spacing w:val="-12"/>
          <w:w w:val="105"/>
          <w:sz w:val="24"/>
        </w:rPr>
        <w:t> </w:t>
      </w:r>
      <w:r>
        <w:rPr>
          <w:w w:val="105"/>
          <w:sz w:val="24"/>
        </w:rPr>
        <w:t>y</w:t>
      </w:r>
      <w:r>
        <w:rPr>
          <w:spacing w:val="-10"/>
          <w:w w:val="105"/>
          <w:sz w:val="24"/>
        </w:rPr>
        <w:t> </w:t>
      </w:r>
      <w:r>
        <w:rPr>
          <w:w w:val="105"/>
          <w:sz w:val="24"/>
        </w:rPr>
        <w:t>la</w:t>
      </w:r>
      <w:r>
        <w:rPr>
          <w:spacing w:val="-12"/>
          <w:w w:val="105"/>
          <w:sz w:val="24"/>
        </w:rPr>
        <w:t> </w:t>
      </w:r>
      <w:r>
        <w:rPr>
          <w:w w:val="105"/>
          <w:sz w:val="24"/>
        </w:rPr>
        <w:t>mujer,</w:t>
      </w:r>
      <w:r>
        <w:rPr>
          <w:spacing w:val="-9"/>
          <w:w w:val="105"/>
          <w:sz w:val="24"/>
        </w:rPr>
        <w:t> </w:t>
      </w:r>
      <w:r>
        <w:rPr>
          <w:w w:val="105"/>
          <w:sz w:val="24"/>
        </w:rPr>
        <w:t>lo</w:t>
      </w:r>
      <w:r>
        <w:rPr>
          <w:spacing w:val="-9"/>
          <w:w w:val="105"/>
          <w:sz w:val="24"/>
        </w:rPr>
        <w:t> </w:t>
      </w:r>
      <w:r>
        <w:rPr>
          <w:w w:val="105"/>
          <w:sz w:val="24"/>
        </w:rPr>
        <w:t>cual</w:t>
      </w:r>
      <w:r>
        <w:rPr>
          <w:spacing w:val="-9"/>
          <w:w w:val="105"/>
          <w:sz w:val="24"/>
        </w:rPr>
        <w:t> </w:t>
      </w:r>
      <w:r>
        <w:rPr>
          <w:w w:val="105"/>
          <w:sz w:val="24"/>
        </w:rPr>
        <w:t>se</w:t>
      </w:r>
      <w:r>
        <w:rPr>
          <w:spacing w:val="-10"/>
          <w:w w:val="105"/>
          <w:sz w:val="24"/>
        </w:rPr>
        <w:t> </w:t>
      </w:r>
      <w:r>
        <w:rPr>
          <w:w w:val="105"/>
          <w:sz w:val="24"/>
        </w:rPr>
        <w:t>encuentra</w:t>
      </w:r>
      <w:r>
        <w:rPr>
          <w:spacing w:val="-10"/>
          <w:w w:val="105"/>
          <w:sz w:val="24"/>
        </w:rPr>
        <w:t> </w:t>
      </w:r>
      <w:r>
        <w:rPr>
          <w:w w:val="105"/>
          <w:sz w:val="24"/>
        </w:rPr>
        <w:t>por</w:t>
      </w:r>
      <w:r>
        <w:rPr>
          <w:spacing w:val="-9"/>
          <w:w w:val="105"/>
          <w:sz w:val="24"/>
        </w:rPr>
        <w:t> </w:t>
      </w:r>
      <w:r>
        <w:rPr>
          <w:w w:val="105"/>
          <w:sz w:val="24"/>
        </w:rPr>
        <w:t>encima</w:t>
      </w:r>
      <w:r>
        <w:rPr>
          <w:spacing w:val="-9"/>
          <w:w w:val="105"/>
          <w:sz w:val="24"/>
        </w:rPr>
        <w:t> </w:t>
      </w:r>
      <w:r>
        <w:rPr>
          <w:w w:val="105"/>
          <w:sz w:val="24"/>
        </w:rPr>
        <w:t>de</w:t>
      </w:r>
      <w:r>
        <w:rPr>
          <w:spacing w:val="-10"/>
          <w:w w:val="105"/>
          <w:sz w:val="24"/>
        </w:rPr>
        <w:t> </w:t>
      </w:r>
      <w:r>
        <w:rPr>
          <w:w w:val="105"/>
          <w:sz w:val="24"/>
        </w:rPr>
        <w:t>la</w:t>
      </w:r>
      <w:r>
        <w:rPr>
          <w:spacing w:val="-10"/>
          <w:w w:val="105"/>
          <w:sz w:val="24"/>
        </w:rPr>
        <w:t> </w:t>
      </w:r>
      <w:r>
        <w:rPr>
          <w:w w:val="105"/>
          <w:sz w:val="24"/>
        </w:rPr>
        <w:t>meta programada (14.0 %).</w:t>
      </w:r>
    </w:p>
    <w:p>
      <w:pPr>
        <w:pStyle w:val="ListParagraph"/>
        <w:numPr>
          <w:ilvl w:val="0"/>
          <w:numId w:val="11"/>
        </w:numPr>
        <w:tabs>
          <w:tab w:pos="862" w:val="left" w:leader="none"/>
        </w:tabs>
        <w:spacing w:line="326" w:lineRule="auto" w:before="0" w:after="0"/>
        <w:ind w:left="862" w:right="703" w:hanging="360"/>
        <w:jc w:val="both"/>
        <w:rPr>
          <w:sz w:val="24"/>
        </w:rPr>
      </w:pPr>
      <w:r>
        <w:rPr>
          <w:sz w:val="24"/>
        </w:rPr>
        <w:t>En ese sentido el nivel de avance, considerado como un nivel de cumplimiento alto, corresponde a 119.7% para el 2023 respecto a la meta programada. Asimismo, dicho nivel de avance ha disminuido en comparación con el año 2022 (130.1%) y 2021(140.9 %).</w:t>
      </w:r>
    </w:p>
    <w:p>
      <w:pPr>
        <w:pStyle w:val="ListParagraph"/>
        <w:numPr>
          <w:ilvl w:val="0"/>
          <w:numId w:val="11"/>
        </w:numPr>
        <w:tabs>
          <w:tab w:pos="862" w:val="left" w:leader="none"/>
        </w:tabs>
        <w:spacing w:line="326" w:lineRule="auto" w:before="1" w:after="0"/>
        <w:ind w:left="862" w:right="703" w:hanging="360"/>
        <w:jc w:val="both"/>
        <w:rPr>
          <w:sz w:val="24"/>
        </w:rPr>
      </w:pPr>
      <w:r>
        <w:rPr>
          <w:sz w:val="24"/>
        </w:rPr>
        <w:t>Asimismo, se observa que el valor del indicador se mantiene constante respecto del 2022 (11.7%), disminuyo en 0.1 p.p. respecto del 2021 (11.8%) y disminuyo en 0.6 p.p. respecto al 2019 con lo que se observa una tendencia es descendente, similar a la tendencia de las metas </w:t>
      </w:r>
      <w:r>
        <w:rPr>
          <w:spacing w:val="-2"/>
          <w:sz w:val="24"/>
        </w:rPr>
        <w:t>programadas.</w:t>
      </w:r>
    </w:p>
    <w:p>
      <w:pPr>
        <w:pStyle w:val="ListParagraph"/>
        <w:numPr>
          <w:ilvl w:val="0"/>
          <w:numId w:val="11"/>
        </w:numPr>
        <w:tabs>
          <w:tab w:pos="862" w:val="left" w:leader="none"/>
        </w:tabs>
        <w:spacing w:line="326" w:lineRule="auto" w:before="160" w:after="0"/>
        <w:ind w:left="862" w:right="710" w:hanging="360"/>
        <w:jc w:val="both"/>
        <w:rPr>
          <w:sz w:val="24"/>
        </w:rPr>
      </w:pPr>
      <w:r>
        <w:rPr>
          <w:sz w:val="24"/>
        </w:rPr>
        <w:t>Cabe</w:t>
      </w:r>
      <w:r>
        <w:rPr>
          <w:spacing w:val="-6"/>
          <w:sz w:val="24"/>
        </w:rPr>
        <w:t> </w:t>
      </w:r>
      <w:r>
        <w:rPr>
          <w:sz w:val="24"/>
        </w:rPr>
        <w:t>precisar</w:t>
      </w:r>
      <w:r>
        <w:rPr>
          <w:spacing w:val="-9"/>
          <w:sz w:val="24"/>
        </w:rPr>
        <w:t> </w:t>
      </w:r>
      <w:r>
        <w:rPr>
          <w:sz w:val="24"/>
        </w:rPr>
        <w:t>que</w:t>
      </w:r>
      <w:r>
        <w:rPr>
          <w:spacing w:val="-9"/>
          <w:sz w:val="24"/>
        </w:rPr>
        <w:t> </w:t>
      </w:r>
      <w:r>
        <w:rPr>
          <w:sz w:val="24"/>
        </w:rPr>
        <w:t>la</w:t>
      </w:r>
      <w:r>
        <w:rPr>
          <w:spacing w:val="-7"/>
          <w:sz w:val="24"/>
        </w:rPr>
        <w:t> </w:t>
      </w:r>
      <w:r>
        <w:rPr>
          <w:sz w:val="24"/>
        </w:rPr>
        <w:t>tasa</w:t>
      </w:r>
      <w:r>
        <w:rPr>
          <w:spacing w:val="-7"/>
          <w:sz w:val="24"/>
        </w:rPr>
        <w:t> </w:t>
      </w:r>
      <w:r>
        <w:rPr>
          <w:sz w:val="24"/>
        </w:rPr>
        <w:t>a</w:t>
      </w:r>
      <w:r>
        <w:rPr>
          <w:spacing w:val="-7"/>
          <w:sz w:val="24"/>
        </w:rPr>
        <w:t> </w:t>
      </w:r>
      <w:r>
        <w:rPr>
          <w:sz w:val="24"/>
        </w:rPr>
        <w:t>la</w:t>
      </w:r>
      <w:r>
        <w:rPr>
          <w:spacing w:val="-7"/>
          <w:sz w:val="24"/>
        </w:rPr>
        <w:t> </w:t>
      </w:r>
      <w:r>
        <w:rPr>
          <w:sz w:val="24"/>
        </w:rPr>
        <w:t>que</w:t>
      </w:r>
      <w:r>
        <w:rPr>
          <w:spacing w:val="-9"/>
          <w:sz w:val="24"/>
        </w:rPr>
        <w:t> </w:t>
      </w:r>
      <w:r>
        <w:rPr>
          <w:sz w:val="24"/>
        </w:rPr>
        <w:t>decrece</w:t>
      </w:r>
      <w:r>
        <w:rPr>
          <w:spacing w:val="-6"/>
          <w:sz w:val="24"/>
        </w:rPr>
        <w:t> </w:t>
      </w:r>
      <w:r>
        <w:rPr>
          <w:sz w:val="24"/>
        </w:rPr>
        <w:t>el</w:t>
      </w:r>
      <w:r>
        <w:rPr>
          <w:spacing w:val="-8"/>
          <w:sz w:val="24"/>
        </w:rPr>
        <w:t> </w:t>
      </w:r>
      <w:r>
        <w:rPr>
          <w:sz w:val="24"/>
        </w:rPr>
        <w:t>indicador</w:t>
      </w:r>
      <w:r>
        <w:rPr>
          <w:spacing w:val="-9"/>
          <w:sz w:val="24"/>
        </w:rPr>
        <w:t> </w:t>
      </w:r>
      <w:r>
        <w:rPr>
          <w:sz w:val="24"/>
        </w:rPr>
        <w:t>es</w:t>
      </w:r>
      <w:r>
        <w:rPr>
          <w:spacing w:val="-8"/>
          <w:sz w:val="24"/>
        </w:rPr>
        <w:t> </w:t>
      </w:r>
      <w:r>
        <w:rPr>
          <w:sz w:val="24"/>
        </w:rPr>
        <w:t>menor</w:t>
      </w:r>
      <w:r>
        <w:rPr>
          <w:spacing w:val="-6"/>
          <w:sz w:val="24"/>
        </w:rPr>
        <w:t> </w:t>
      </w:r>
      <w:r>
        <w:rPr>
          <w:sz w:val="24"/>
        </w:rPr>
        <w:t>a</w:t>
      </w:r>
      <w:r>
        <w:rPr>
          <w:spacing w:val="-9"/>
          <w:sz w:val="24"/>
        </w:rPr>
        <w:t> </w:t>
      </w:r>
      <w:r>
        <w:rPr>
          <w:sz w:val="24"/>
        </w:rPr>
        <w:t>la</w:t>
      </w:r>
      <w:r>
        <w:rPr>
          <w:spacing w:val="-9"/>
          <w:sz w:val="24"/>
        </w:rPr>
        <w:t> </w:t>
      </w:r>
      <w:r>
        <w:rPr>
          <w:sz w:val="24"/>
        </w:rPr>
        <w:t>que </w:t>
      </w:r>
      <w:r>
        <w:rPr>
          <w:w w:val="105"/>
          <w:sz w:val="24"/>
        </w:rPr>
        <w:t>decrece las metas programas por lo que a medida que incrementa el tiempo</w:t>
      </w:r>
      <w:r>
        <w:rPr>
          <w:spacing w:val="-18"/>
          <w:w w:val="105"/>
          <w:sz w:val="24"/>
        </w:rPr>
        <w:t> </w:t>
      </w:r>
      <w:r>
        <w:rPr>
          <w:w w:val="105"/>
          <w:sz w:val="24"/>
        </w:rPr>
        <w:t>de</w:t>
      </w:r>
      <w:r>
        <w:rPr>
          <w:spacing w:val="-17"/>
          <w:w w:val="105"/>
          <w:sz w:val="24"/>
        </w:rPr>
        <w:t> </w:t>
      </w:r>
      <w:r>
        <w:rPr>
          <w:w w:val="105"/>
          <w:sz w:val="24"/>
        </w:rPr>
        <w:t>vigencia</w:t>
      </w:r>
      <w:r>
        <w:rPr>
          <w:spacing w:val="-18"/>
          <w:w w:val="105"/>
          <w:sz w:val="24"/>
        </w:rPr>
        <w:t> </w:t>
      </w:r>
      <w:r>
        <w:rPr>
          <w:w w:val="105"/>
          <w:sz w:val="24"/>
        </w:rPr>
        <w:t>de</w:t>
      </w:r>
      <w:r>
        <w:rPr>
          <w:spacing w:val="-17"/>
          <w:w w:val="105"/>
          <w:sz w:val="24"/>
        </w:rPr>
        <w:t> </w:t>
      </w:r>
      <w:r>
        <w:rPr>
          <w:w w:val="105"/>
          <w:sz w:val="24"/>
        </w:rPr>
        <w:t>la</w:t>
      </w:r>
      <w:r>
        <w:rPr>
          <w:spacing w:val="-17"/>
          <w:w w:val="105"/>
          <w:sz w:val="24"/>
        </w:rPr>
        <w:t> </w:t>
      </w:r>
      <w:r>
        <w:rPr>
          <w:w w:val="105"/>
          <w:sz w:val="24"/>
        </w:rPr>
        <w:t>política,</w:t>
      </w:r>
      <w:r>
        <w:rPr>
          <w:spacing w:val="-16"/>
          <w:w w:val="105"/>
          <w:sz w:val="24"/>
        </w:rPr>
        <w:t> </w:t>
      </w:r>
      <w:r>
        <w:rPr>
          <w:w w:val="105"/>
          <w:sz w:val="24"/>
        </w:rPr>
        <w:t>el</w:t>
      </w:r>
      <w:r>
        <w:rPr>
          <w:spacing w:val="-16"/>
          <w:w w:val="105"/>
          <w:sz w:val="24"/>
        </w:rPr>
        <w:t> </w:t>
      </w:r>
      <w:r>
        <w:rPr>
          <w:w w:val="105"/>
          <w:sz w:val="24"/>
        </w:rPr>
        <w:t>nivel</w:t>
      </w:r>
      <w:r>
        <w:rPr>
          <w:spacing w:val="-16"/>
          <w:w w:val="105"/>
          <w:sz w:val="24"/>
        </w:rPr>
        <w:t> </w:t>
      </w:r>
      <w:r>
        <w:rPr>
          <w:w w:val="105"/>
          <w:sz w:val="24"/>
        </w:rPr>
        <w:t>de</w:t>
      </w:r>
      <w:r>
        <w:rPr>
          <w:spacing w:val="-18"/>
          <w:w w:val="105"/>
          <w:sz w:val="24"/>
        </w:rPr>
        <w:t> </w:t>
      </w:r>
      <w:r>
        <w:rPr>
          <w:w w:val="105"/>
          <w:sz w:val="24"/>
        </w:rPr>
        <w:t>cumplimiento</w:t>
      </w:r>
      <w:r>
        <w:rPr>
          <w:spacing w:val="-16"/>
          <w:w w:val="105"/>
          <w:sz w:val="24"/>
        </w:rPr>
        <w:t> </w:t>
      </w:r>
      <w:r>
        <w:rPr>
          <w:w w:val="105"/>
          <w:sz w:val="24"/>
        </w:rPr>
        <w:t>es</w:t>
      </w:r>
      <w:r>
        <w:rPr>
          <w:spacing w:val="-16"/>
          <w:w w:val="105"/>
          <w:sz w:val="24"/>
        </w:rPr>
        <w:t> </w:t>
      </w:r>
      <w:r>
        <w:rPr>
          <w:w w:val="105"/>
          <w:sz w:val="24"/>
        </w:rPr>
        <w:t>menor.</w:t>
      </w:r>
    </w:p>
    <w:p>
      <w:pPr>
        <w:spacing w:before="156"/>
        <w:ind w:left="1160" w:right="0" w:firstLine="0"/>
        <w:jc w:val="left"/>
        <w:rPr>
          <w:sz w:val="20"/>
        </w:rPr>
      </w:pPr>
      <w:r>
        <w:rPr>
          <w:color w:val="44536A"/>
          <w:sz w:val="20"/>
        </w:rPr>
        <w:t>Gráfico</w:t>
      </w:r>
      <w:r>
        <w:rPr>
          <w:color w:val="44536A"/>
          <w:spacing w:val="-1"/>
          <w:sz w:val="20"/>
        </w:rPr>
        <w:t> </w:t>
      </w:r>
      <w:r>
        <w:rPr>
          <w:color w:val="44536A"/>
          <w:sz w:val="20"/>
        </w:rPr>
        <w:t>7.</w:t>
      </w:r>
      <w:r>
        <w:rPr>
          <w:color w:val="44536A"/>
          <w:spacing w:val="-1"/>
          <w:sz w:val="20"/>
        </w:rPr>
        <w:t> </w:t>
      </w:r>
      <w:r>
        <w:rPr>
          <w:color w:val="44536A"/>
          <w:sz w:val="20"/>
        </w:rPr>
        <w:t>Brecha</w:t>
      </w:r>
      <w:r>
        <w:rPr>
          <w:color w:val="44536A"/>
          <w:spacing w:val="-2"/>
          <w:sz w:val="20"/>
        </w:rPr>
        <w:t> </w:t>
      </w:r>
      <w:r>
        <w:rPr>
          <w:color w:val="44536A"/>
          <w:sz w:val="20"/>
        </w:rPr>
        <w:t>salarial</w:t>
      </w:r>
      <w:r>
        <w:rPr>
          <w:color w:val="44536A"/>
          <w:spacing w:val="-1"/>
          <w:sz w:val="20"/>
        </w:rPr>
        <w:t> </w:t>
      </w:r>
      <w:r>
        <w:rPr>
          <w:color w:val="44536A"/>
          <w:sz w:val="20"/>
        </w:rPr>
        <w:t>entre</w:t>
      </w:r>
      <w:r>
        <w:rPr>
          <w:color w:val="44536A"/>
          <w:spacing w:val="-1"/>
          <w:sz w:val="20"/>
        </w:rPr>
        <w:t> </w:t>
      </w:r>
      <w:r>
        <w:rPr>
          <w:color w:val="44536A"/>
          <w:sz w:val="20"/>
        </w:rPr>
        <w:t>el</w:t>
      </w:r>
      <w:r>
        <w:rPr>
          <w:color w:val="44536A"/>
          <w:spacing w:val="-2"/>
          <w:sz w:val="20"/>
        </w:rPr>
        <w:t> </w:t>
      </w:r>
      <w:r>
        <w:rPr>
          <w:color w:val="44536A"/>
          <w:sz w:val="20"/>
        </w:rPr>
        <w:t>hombre</w:t>
      </w:r>
      <w:r>
        <w:rPr>
          <w:color w:val="44536A"/>
          <w:spacing w:val="-1"/>
          <w:sz w:val="20"/>
        </w:rPr>
        <w:t> </w:t>
      </w:r>
      <w:r>
        <w:rPr>
          <w:color w:val="44536A"/>
          <w:sz w:val="20"/>
        </w:rPr>
        <w:t>y</w:t>
      </w:r>
      <w:r>
        <w:rPr>
          <w:color w:val="44536A"/>
          <w:spacing w:val="-3"/>
          <w:sz w:val="20"/>
        </w:rPr>
        <w:t> </w:t>
      </w:r>
      <w:r>
        <w:rPr>
          <w:color w:val="44536A"/>
          <w:sz w:val="20"/>
        </w:rPr>
        <w:t>la</w:t>
      </w:r>
      <w:r>
        <w:rPr>
          <w:color w:val="44536A"/>
          <w:spacing w:val="-1"/>
          <w:sz w:val="20"/>
        </w:rPr>
        <w:t> </w:t>
      </w:r>
      <w:r>
        <w:rPr>
          <w:color w:val="44536A"/>
          <w:sz w:val="20"/>
        </w:rPr>
        <w:t>mujer</w:t>
      </w:r>
      <w:r>
        <w:rPr>
          <w:color w:val="44536A"/>
          <w:spacing w:val="-2"/>
          <w:sz w:val="20"/>
        </w:rPr>
        <w:t> </w:t>
      </w:r>
      <w:r>
        <w:rPr>
          <w:color w:val="44536A"/>
          <w:sz w:val="20"/>
        </w:rPr>
        <w:t>en</w:t>
      </w:r>
      <w:r>
        <w:rPr>
          <w:color w:val="44536A"/>
          <w:spacing w:val="-2"/>
          <w:sz w:val="20"/>
        </w:rPr>
        <w:t> </w:t>
      </w:r>
      <w:r>
        <w:rPr>
          <w:color w:val="44536A"/>
          <w:sz w:val="20"/>
        </w:rPr>
        <w:t>el</w:t>
      </w:r>
      <w:r>
        <w:rPr>
          <w:color w:val="44536A"/>
          <w:spacing w:val="-1"/>
          <w:sz w:val="20"/>
        </w:rPr>
        <w:t> </w:t>
      </w:r>
      <w:r>
        <w:rPr>
          <w:color w:val="44536A"/>
          <w:sz w:val="20"/>
        </w:rPr>
        <w:t>sector</w:t>
      </w:r>
      <w:r>
        <w:rPr>
          <w:color w:val="44536A"/>
          <w:spacing w:val="-3"/>
          <w:sz w:val="20"/>
        </w:rPr>
        <w:t> </w:t>
      </w:r>
      <w:r>
        <w:rPr>
          <w:color w:val="44536A"/>
          <w:spacing w:val="-2"/>
          <w:sz w:val="20"/>
        </w:rPr>
        <w:t>público</w:t>
      </w:r>
    </w:p>
    <w:p>
      <w:pPr>
        <w:pStyle w:val="BodyText"/>
        <w:rPr>
          <w:sz w:val="16"/>
        </w:rPr>
      </w:pPr>
      <w:r>
        <w:rPr>
          <w:sz w:val="16"/>
        </w:rPr>
        <mc:AlternateContent>
          <mc:Choice Requires="wps">
            <w:drawing>
              <wp:anchor distT="0" distB="0" distL="0" distR="0" allowOverlap="1" layoutInCell="1" locked="0" behindDoc="1" simplePos="0" relativeHeight="487592448">
                <wp:simplePos x="0" y="0"/>
                <wp:positionH relativeFrom="page">
                  <wp:posOffset>1233805</wp:posOffset>
                </wp:positionH>
                <wp:positionV relativeFrom="paragraph">
                  <wp:posOffset>132302</wp:posOffset>
                </wp:positionV>
                <wp:extent cx="5092700" cy="2587625"/>
                <wp:effectExtent l="0" t="0" r="0" b="0"/>
                <wp:wrapTopAndBottom/>
                <wp:docPr id="308" name="Group 308"/>
                <wp:cNvGraphicFramePr>
                  <a:graphicFrameLocks/>
                </wp:cNvGraphicFramePr>
                <a:graphic>
                  <a:graphicData uri="http://schemas.microsoft.com/office/word/2010/wordprocessingGroup">
                    <wpg:wgp>
                      <wpg:cNvPr id="308" name="Group 308"/>
                      <wpg:cNvGrpSpPr/>
                      <wpg:grpSpPr>
                        <a:xfrm>
                          <a:off x="0" y="0"/>
                          <a:ext cx="5092700" cy="2587625"/>
                          <a:chExt cx="5092700" cy="2587625"/>
                        </a:xfrm>
                      </wpg:grpSpPr>
                      <wps:wsp>
                        <wps:cNvPr id="309" name="Graphic 309"/>
                        <wps:cNvSpPr/>
                        <wps:spPr>
                          <a:xfrm>
                            <a:off x="382777" y="144271"/>
                            <a:ext cx="40640" cy="1855470"/>
                          </a:xfrm>
                          <a:custGeom>
                            <a:avLst/>
                            <a:gdLst/>
                            <a:ahLst/>
                            <a:cxnLst/>
                            <a:rect l="l" t="t" r="r" b="b"/>
                            <a:pathLst>
                              <a:path w="40640" h="1855470">
                                <a:moveTo>
                                  <a:pt x="40385" y="1855089"/>
                                </a:moveTo>
                                <a:lnTo>
                                  <a:pt x="40385" y="0"/>
                                </a:lnTo>
                              </a:path>
                              <a:path w="40640" h="1855470">
                                <a:moveTo>
                                  <a:pt x="0" y="1855089"/>
                                </a:moveTo>
                                <a:lnTo>
                                  <a:pt x="40385" y="1855089"/>
                                </a:lnTo>
                              </a:path>
                              <a:path w="40640" h="1855470">
                                <a:moveTo>
                                  <a:pt x="0" y="1546352"/>
                                </a:moveTo>
                                <a:lnTo>
                                  <a:pt x="40385" y="1546352"/>
                                </a:lnTo>
                              </a:path>
                              <a:path w="40640" h="1855470">
                                <a:moveTo>
                                  <a:pt x="0" y="1236979"/>
                                </a:moveTo>
                                <a:lnTo>
                                  <a:pt x="40385" y="1236979"/>
                                </a:lnTo>
                              </a:path>
                              <a:path w="40640" h="1855470">
                                <a:moveTo>
                                  <a:pt x="0" y="927607"/>
                                </a:moveTo>
                                <a:lnTo>
                                  <a:pt x="40385" y="927607"/>
                                </a:lnTo>
                              </a:path>
                              <a:path w="40640" h="1855470">
                                <a:moveTo>
                                  <a:pt x="0" y="618236"/>
                                </a:moveTo>
                                <a:lnTo>
                                  <a:pt x="40385" y="618236"/>
                                </a:lnTo>
                              </a:path>
                              <a:path w="40640" h="1855470">
                                <a:moveTo>
                                  <a:pt x="0" y="308863"/>
                                </a:moveTo>
                                <a:lnTo>
                                  <a:pt x="40385" y="308863"/>
                                </a:lnTo>
                              </a:path>
                              <a:path w="40640" h="1855470">
                                <a:moveTo>
                                  <a:pt x="0" y="0"/>
                                </a:moveTo>
                                <a:lnTo>
                                  <a:pt x="40385" y="0"/>
                                </a:lnTo>
                              </a:path>
                            </a:pathLst>
                          </a:custGeom>
                          <a:ln w="6350">
                            <a:solidFill>
                              <a:srgbClr val="888888"/>
                            </a:solidFill>
                            <a:prstDash val="solid"/>
                          </a:ln>
                        </wps:spPr>
                        <wps:bodyPr wrap="square" lIns="0" tIns="0" rIns="0" bIns="0" rtlCol="0">
                          <a:prstTxWarp prst="textNoShape">
                            <a:avLst/>
                          </a:prstTxWarp>
                          <a:noAutofit/>
                        </wps:bodyPr>
                      </wps:wsp>
                      <wps:wsp>
                        <wps:cNvPr id="310" name="Graphic 310"/>
                        <wps:cNvSpPr/>
                        <wps:spPr>
                          <a:xfrm>
                            <a:off x="423163" y="1999360"/>
                            <a:ext cx="4526915" cy="36830"/>
                          </a:xfrm>
                          <a:custGeom>
                            <a:avLst/>
                            <a:gdLst/>
                            <a:ahLst/>
                            <a:cxnLst/>
                            <a:rect l="l" t="t" r="r" b="b"/>
                            <a:pathLst>
                              <a:path w="4526915" h="36830">
                                <a:moveTo>
                                  <a:pt x="0" y="0"/>
                                </a:moveTo>
                                <a:lnTo>
                                  <a:pt x="4526660" y="0"/>
                                </a:lnTo>
                              </a:path>
                              <a:path w="4526915" h="36830">
                                <a:moveTo>
                                  <a:pt x="0" y="0"/>
                                </a:moveTo>
                                <a:lnTo>
                                  <a:pt x="0" y="36322"/>
                                </a:lnTo>
                              </a:path>
                              <a:path w="4526915" h="36830">
                                <a:moveTo>
                                  <a:pt x="348614" y="0"/>
                                </a:moveTo>
                                <a:lnTo>
                                  <a:pt x="348614" y="36322"/>
                                </a:lnTo>
                              </a:path>
                              <a:path w="4526915" h="36830">
                                <a:moveTo>
                                  <a:pt x="696087" y="0"/>
                                </a:moveTo>
                                <a:lnTo>
                                  <a:pt x="696087" y="36322"/>
                                </a:lnTo>
                              </a:path>
                              <a:path w="4526915" h="36830">
                                <a:moveTo>
                                  <a:pt x="1045082" y="0"/>
                                </a:moveTo>
                                <a:lnTo>
                                  <a:pt x="1045082" y="36322"/>
                                </a:lnTo>
                              </a:path>
                              <a:path w="4526915" h="36830">
                                <a:moveTo>
                                  <a:pt x="1392555" y="0"/>
                                </a:moveTo>
                                <a:lnTo>
                                  <a:pt x="1392555" y="36322"/>
                                </a:lnTo>
                              </a:path>
                              <a:path w="4526915" h="36830">
                                <a:moveTo>
                                  <a:pt x="1741551" y="0"/>
                                </a:moveTo>
                                <a:lnTo>
                                  <a:pt x="1741551" y="36322"/>
                                </a:lnTo>
                              </a:path>
                              <a:path w="4526915" h="36830">
                                <a:moveTo>
                                  <a:pt x="2089022" y="0"/>
                                </a:moveTo>
                                <a:lnTo>
                                  <a:pt x="2089022" y="36322"/>
                                </a:lnTo>
                              </a:path>
                              <a:path w="4526915" h="36830">
                                <a:moveTo>
                                  <a:pt x="2438019" y="0"/>
                                </a:moveTo>
                                <a:lnTo>
                                  <a:pt x="2438019" y="36322"/>
                                </a:lnTo>
                              </a:path>
                              <a:path w="4526915" h="36830">
                                <a:moveTo>
                                  <a:pt x="2785491" y="0"/>
                                </a:moveTo>
                                <a:lnTo>
                                  <a:pt x="2785491" y="36322"/>
                                </a:lnTo>
                              </a:path>
                              <a:path w="4526915" h="36830">
                                <a:moveTo>
                                  <a:pt x="3134486" y="0"/>
                                </a:moveTo>
                                <a:lnTo>
                                  <a:pt x="3134486" y="36322"/>
                                </a:lnTo>
                              </a:path>
                              <a:path w="4526915" h="36830">
                                <a:moveTo>
                                  <a:pt x="3481958" y="0"/>
                                </a:moveTo>
                                <a:lnTo>
                                  <a:pt x="3481958" y="36322"/>
                                </a:lnTo>
                              </a:path>
                              <a:path w="4526915" h="36830">
                                <a:moveTo>
                                  <a:pt x="3830954" y="0"/>
                                </a:moveTo>
                                <a:lnTo>
                                  <a:pt x="3830954" y="36322"/>
                                </a:lnTo>
                              </a:path>
                              <a:path w="4526915" h="36830">
                                <a:moveTo>
                                  <a:pt x="4178427" y="0"/>
                                </a:moveTo>
                                <a:lnTo>
                                  <a:pt x="4178427" y="36322"/>
                                </a:lnTo>
                              </a:path>
                              <a:path w="4526915" h="36830">
                                <a:moveTo>
                                  <a:pt x="4526660" y="0"/>
                                </a:moveTo>
                                <a:lnTo>
                                  <a:pt x="4526660" y="36322"/>
                                </a:lnTo>
                              </a:path>
                            </a:pathLst>
                          </a:custGeom>
                          <a:ln w="9525">
                            <a:solidFill>
                              <a:srgbClr val="D9D9D9"/>
                            </a:solidFill>
                            <a:prstDash val="solid"/>
                          </a:ln>
                        </wps:spPr>
                        <wps:bodyPr wrap="square" lIns="0" tIns="0" rIns="0" bIns="0" rtlCol="0">
                          <a:prstTxWarp prst="textNoShape">
                            <a:avLst/>
                          </a:prstTxWarp>
                          <a:noAutofit/>
                        </wps:bodyPr>
                      </wps:wsp>
                      <wps:wsp>
                        <wps:cNvPr id="311" name="Graphic 311"/>
                        <wps:cNvSpPr/>
                        <wps:spPr>
                          <a:xfrm>
                            <a:off x="945388" y="1374775"/>
                            <a:ext cx="3830320" cy="383540"/>
                          </a:xfrm>
                          <a:custGeom>
                            <a:avLst/>
                            <a:gdLst/>
                            <a:ahLst/>
                            <a:cxnLst/>
                            <a:rect l="l" t="t" r="r" b="b"/>
                            <a:pathLst>
                              <a:path w="3830320" h="383540">
                                <a:moveTo>
                                  <a:pt x="0" y="0"/>
                                </a:moveTo>
                                <a:lnTo>
                                  <a:pt x="347599" y="68961"/>
                                </a:lnTo>
                                <a:lnTo>
                                  <a:pt x="696594" y="113157"/>
                                </a:lnTo>
                                <a:lnTo>
                                  <a:pt x="1044067" y="154304"/>
                                </a:lnTo>
                                <a:lnTo>
                                  <a:pt x="1393062" y="192404"/>
                                </a:lnTo>
                                <a:lnTo>
                                  <a:pt x="1740534" y="225933"/>
                                </a:lnTo>
                                <a:lnTo>
                                  <a:pt x="2089531" y="256412"/>
                                </a:lnTo>
                                <a:lnTo>
                                  <a:pt x="2437003" y="286893"/>
                                </a:lnTo>
                                <a:lnTo>
                                  <a:pt x="2785998" y="315849"/>
                                </a:lnTo>
                                <a:lnTo>
                                  <a:pt x="3133471" y="340233"/>
                                </a:lnTo>
                                <a:lnTo>
                                  <a:pt x="3482467" y="361569"/>
                                </a:lnTo>
                                <a:lnTo>
                                  <a:pt x="3830320" y="383413"/>
                                </a:lnTo>
                              </a:path>
                            </a:pathLst>
                          </a:custGeom>
                          <a:ln w="28574">
                            <a:solidFill>
                              <a:srgbClr val="A4A4A4"/>
                            </a:solidFill>
                            <a:prstDash val="solid"/>
                          </a:ln>
                        </wps:spPr>
                        <wps:bodyPr wrap="square" lIns="0" tIns="0" rIns="0" bIns="0" rtlCol="0">
                          <a:prstTxWarp prst="textNoShape">
                            <a:avLst/>
                          </a:prstTxWarp>
                          <a:noAutofit/>
                        </wps:bodyPr>
                      </wps:wsp>
                      <pic:pic>
                        <pic:nvPicPr>
                          <pic:cNvPr id="312" name="Image 312"/>
                          <pic:cNvPicPr/>
                        </pic:nvPicPr>
                        <pic:blipFill>
                          <a:blip r:embed="rId25" cstate="print"/>
                          <a:stretch>
                            <a:fillRect/>
                          </a:stretch>
                        </pic:blipFill>
                        <pic:spPr>
                          <a:xfrm>
                            <a:off x="908240" y="1338008"/>
                            <a:ext cx="73533" cy="73532"/>
                          </a:xfrm>
                          <a:prstGeom prst="rect">
                            <a:avLst/>
                          </a:prstGeom>
                        </pic:spPr>
                      </pic:pic>
                      <pic:pic>
                        <pic:nvPicPr>
                          <pic:cNvPr id="313" name="Image 313"/>
                          <pic:cNvPicPr/>
                        </pic:nvPicPr>
                        <pic:blipFill>
                          <a:blip r:embed="rId24" cstate="print"/>
                          <a:stretch>
                            <a:fillRect/>
                          </a:stretch>
                        </pic:blipFill>
                        <pic:spPr>
                          <a:xfrm>
                            <a:off x="1255712" y="1406588"/>
                            <a:ext cx="73532" cy="73533"/>
                          </a:xfrm>
                          <a:prstGeom prst="rect">
                            <a:avLst/>
                          </a:prstGeom>
                        </pic:spPr>
                      </pic:pic>
                      <pic:pic>
                        <pic:nvPicPr>
                          <pic:cNvPr id="314" name="Image 314"/>
                          <pic:cNvPicPr/>
                        </pic:nvPicPr>
                        <pic:blipFill>
                          <a:blip r:embed="rId25" cstate="print"/>
                          <a:stretch>
                            <a:fillRect/>
                          </a:stretch>
                        </pic:blipFill>
                        <pic:spPr>
                          <a:xfrm>
                            <a:off x="1604708" y="1450784"/>
                            <a:ext cx="73532" cy="73532"/>
                          </a:xfrm>
                          <a:prstGeom prst="rect">
                            <a:avLst/>
                          </a:prstGeom>
                        </pic:spPr>
                      </pic:pic>
                      <pic:pic>
                        <pic:nvPicPr>
                          <pic:cNvPr id="315" name="Image 315"/>
                          <pic:cNvPicPr/>
                        </pic:nvPicPr>
                        <pic:blipFill>
                          <a:blip r:embed="rId24" cstate="print"/>
                          <a:stretch>
                            <a:fillRect/>
                          </a:stretch>
                        </pic:blipFill>
                        <pic:spPr>
                          <a:xfrm>
                            <a:off x="1952180" y="1491932"/>
                            <a:ext cx="73532" cy="73532"/>
                          </a:xfrm>
                          <a:prstGeom prst="rect">
                            <a:avLst/>
                          </a:prstGeom>
                        </pic:spPr>
                      </pic:pic>
                      <pic:pic>
                        <pic:nvPicPr>
                          <pic:cNvPr id="316" name="Image 316"/>
                          <pic:cNvPicPr/>
                        </pic:nvPicPr>
                        <pic:blipFill>
                          <a:blip r:embed="rId27" cstate="print"/>
                          <a:stretch>
                            <a:fillRect/>
                          </a:stretch>
                        </pic:blipFill>
                        <pic:spPr>
                          <a:xfrm>
                            <a:off x="2301176" y="1530032"/>
                            <a:ext cx="73532" cy="73532"/>
                          </a:xfrm>
                          <a:prstGeom prst="rect">
                            <a:avLst/>
                          </a:prstGeom>
                        </pic:spPr>
                      </pic:pic>
                      <pic:pic>
                        <pic:nvPicPr>
                          <pic:cNvPr id="317" name="Image 317"/>
                          <pic:cNvPicPr/>
                        </pic:nvPicPr>
                        <pic:blipFill>
                          <a:blip r:embed="rId27" cstate="print"/>
                          <a:stretch>
                            <a:fillRect/>
                          </a:stretch>
                        </pic:blipFill>
                        <pic:spPr>
                          <a:xfrm>
                            <a:off x="2648648" y="1563560"/>
                            <a:ext cx="73533" cy="73533"/>
                          </a:xfrm>
                          <a:prstGeom prst="rect">
                            <a:avLst/>
                          </a:prstGeom>
                        </pic:spPr>
                      </pic:pic>
                      <pic:pic>
                        <pic:nvPicPr>
                          <pic:cNvPr id="318" name="Image 318"/>
                          <pic:cNvPicPr/>
                        </pic:nvPicPr>
                        <pic:blipFill>
                          <a:blip r:embed="rId26" cstate="print"/>
                          <a:stretch>
                            <a:fillRect/>
                          </a:stretch>
                        </pic:blipFill>
                        <pic:spPr>
                          <a:xfrm>
                            <a:off x="2997644" y="1594040"/>
                            <a:ext cx="73533" cy="73533"/>
                          </a:xfrm>
                          <a:prstGeom prst="rect">
                            <a:avLst/>
                          </a:prstGeom>
                        </pic:spPr>
                      </pic:pic>
                      <pic:pic>
                        <pic:nvPicPr>
                          <pic:cNvPr id="319" name="Image 319"/>
                          <pic:cNvPicPr/>
                        </pic:nvPicPr>
                        <pic:blipFill>
                          <a:blip r:embed="rId27" cstate="print"/>
                          <a:stretch>
                            <a:fillRect/>
                          </a:stretch>
                        </pic:blipFill>
                        <pic:spPr>
                          <a:xfrm>
                            <a:off x="3345116" y="1624520"/>
                            <a:ext cx="73532" cy="73532"/>
                          </a:xfrm>
                          <a:prstGeom prst="rect">
                            <a:avLst/>
                          </a:prstGeom>
                        </pic:spPr>
                      </pic:pic>
                      <pic:pic>
                        <pic:nvPicPr>
                          <pic:cNvPr id="320" name="Image 320"/>
                          <pic:cNvPicPr/>
                        </pic:nvPicPr>
                        <pic:blipFill>
                          <a:blip r:embed="rId24" cstate="print"/>
                          <a:stretch>
                            <a:fillRect/>
                          </a:stretch>
                        </pic:blipFill>
                        <pic:spPr>
                          <a:xfrm>
                            <a:off x="3694112" y="1653476"/>
                            <a:ext cx="73533" cy="73533"/>
                          </a:xfrm>
                          <a:prstGeom prst="rect">
                            <a:avLst/>
                          </a:prstGeom>
                        </pic:spPr>
                      </pic:pic>
                      <pic:pic>
                        <pic:nvPicPr>
                          <pic:cNvPr id="321" name="Image 321"/>
                          <pic:cNvPicPr/>
                        </pic:nvPicPr>
                        <pic:blipFill>
                          <a:blip r:embed="rId24" cstate="print"/>
                          <a:stretch>
                            <a:fillRect/>
                          </a:stretch>
                        </pic:blipFill>
                        <pic:spPr>
                          <a:xfrm>
                            <a:off x="4041584" y="1677860"/>
                            <a:ext cx="73533" cy="73533"/>
                          </a:xfrm>
                          <a:prstGeom prst="rect">
                            <a:avLst/>
                          </a:prstGeom>
                        </pic:spPr>
                      </pic:pic>
                      <pic:pic>
                        <pic:nvPicPr>
                          <pic:cNvPr id="322" name="Image 322"/>
                          <pic:cNvPicPr/>
                        </pic:nvPicPr>
                        <pic:blipFill>
                          <a:blip r:embed="rId25" cstate="print"/>
                          <a:stretch>
                            <a:fillRect/>
                          </a:stretch>
                        </pic:blipFill>
                        <pic:spPr>
                          <a:xfrm>
                            <a:off x="4390580" y="1699196"/>
                            <a:ext cx="73532" cy="73532"/>
                          </a:xfrm>
                          <a:prstGeom prst="rect">
                            <a:avLst/>
                          </a:prstGeom>
                        </pic:spPr>
                      </pic:pic>
                      <pic:pic>
                        <pic:nvPicPr>
                          <pic:cNvPr id="323" name="Image 323"/>
                          <pic:cNvPicPr/>
                        </pic:nvPicPr>
                        <pic:blipFill>
                          <a:blip r:embed="rId24" cstate="print"/>
                          <a:stretch>
                            <a:fillRect/>
                          </a:stretch>
                        </pic:blipFill>
                        <pic:spPr>
                          <a:xfrm>
                            <a:off x="4738052" y="1720532"/>
                            <a:ext cx="73532" cy="73532"/>
                          </a:xfrm>
                          <a:prstGeom prst="rect">
                            <a:avLst/>
                          </a:prstGeom>
                        </pic:spPr>
                      </pic:pic>
                      <wps:wsp>
                        <wps:cNvPr id="324" name="Graphic 324"/>
                        <wps:cNvSpPr/>
                        <wps:spPr>
                          <a:xfrm>
                            <a:off x="945388" y="1619122"/>
                            <a:ext cx="1393190" cy="71120"/>
                          </a:xfrm>
                          <a:custGeom>
                            <a:avLst/>
                            <a:gdLst/>
                            <a:ahLst/>
                            <a:cxnLst/>
                            <a:rect l="l" t="t" r="r" b="b"/>
                            <a:pathLst>
                              <a:path w="1393190" h="71120">
                                <a:moveTo>
                                  <a:pt x="0" y="0"/>
                                </a:moveTo>
                                <a:lnTo>
                                  <a:pt x="347599" y="71120"/>
                                </a:lnTo>
                                <a:lnTo>
                                  <a:pt x="696594" y="16637"/>
                                </a:lnTo>
                                <a:lnTo>
                                  <a:pt x="1044067" y="18161"/>
                                </a:lnTo>
                                <a:lnTo>
                                  <a:pt x="1392808" y="18161"/>
                                </a:lnTo>
                              </a:path>
                            </a:pathLst>
                          </a:custGeom>
                          <a:ln w="28575">
                            <a:solidFill>
                              <a:srgbClr val="EC7C30"/>
                            </a:solidFill>
                            <a:prstDash val="solid"/>
                          </a:ln>
                        </wps:spPr>
                        <wps:bodyPr wrap="square" lIns="0" tIns="0" rIns="0" bIns="0" rtlCol="0">
                          <a:prstTxWarp prst="textNoShape">
                            <a:avLst/>
                          </a:prstTxWarp>
                          <a:noAutofit/>
                        </wps:bodyPr>
                      </wps:wsp>
                      <pic:pic>
                        <pic:nvPicPr>
                          <pic:cNvPr id="325" name="Image 325"/>
                          <pic:cNvPicPr/>
                        </pic:nvPicPr>
                        <pic:blipFill>
                          <a:blip r:embed="rId12" cstate="print"/>
                          <a:stretch>
                            <a:fillRect/>
                          </a:stretch>
                        </pic:blipFill>
                        <pic:spPr>
                          <a:xfrm>
                            <a:off x="896048" y="1569656"/>
                            <a:ext cx="97916" cy="97916"/>
                          </a:xfrm>
                          <a:prstGeom prst="rect">
                            <a:avLst/>
                          </a:prstGeom>
                        </pic:spPr>
                      </pic:pic>
                      <pic:pic>
                        <pic:nvPicPr>
                          <pic:cNvPr id="326" name="Image 326"/>
                          <pic:cNvPicPr/>
                        </pic:nvPicPr>
                        <pic:blipFill>
                          <a:blip r:embed="rId12" cstate="print"/>
                          <a:stretch>
                            <a:fillRect/>
                          </a:stretch>
                        </pic:blipFill>
                        <pic:spPr>
                          <a:xfrm>
                            <a:off x="1243520" y="1641284"/>
                            <a:ext cx="97917" cy="97916"/>
                          </a:xfrm>
                          <a:prstGeom prst="rect">
                            <a:avLst/>
                          </a:prstGeom>
                        </pic:spPr>
                      </pic:pic>
                      <pic:pic>
                        <pic:nvPicPr>
                          <pic:cNvPr id="327" name="Image 327"/>
                          <pic:cNvPicPr/>
                        </pic:nvPicPr>
                        <pic:blipFill>
                          <a:blip r:embed="rId14" cstate="print"/>
                          <a:stretch>
                            <a:fillRect/>
                          </a:stretch>
                        </pic:blipFill>
                        <pic:spPr>
                          <a:xfrm>
                            <a:off x="1592516" y="1586420"/>
                            <a:ext cx="97917" cy="97916"/>
                          </a:xfrm>
                          <a:prstGeom prst="rect">
                            <a:avLst/>
                          </a:prstGeom>
                        </pic:spPr>
                      </pic:pic>
                      <pic:pic>
                        <pic:nvPicPr>
                          <pic:cNvPr id="328" name="Image 328"/>
                          <pic:cNvPicPr/>
                        </pic:nvPicPr>
                        <pic:blipFill>
                          <a:blip r:embed="rId14" cstate="print"/>
                          <a:stretch>
                            <a:fillRect/>
                          </a:stretch>
                        </pic:blipFill>
                        <pic:spPr>
                          <a:xfrm>
                            <a:off x="1939988" y="1587944"/>
                            <a:ext cx="97917" cy="97916"/>
                          </a:xfrm>
                          <a:prstGeom prst="rect">
                            <a:avLst/>
                          </a:prstGeom>
                        </pic:spPr>
                      </pic:pic>
                      <pic:pic>
                        <pic:nvPicPr>
                          <pic:cNvPr id="329" name="Image 329"/>
                          <pic:cNvPicPr/>
                        </pic:nvPicPr>
                        <pic:blipFill>
                          <a:blip r:embed="rId19" cstate="print"/>
                          <a:stretch>
                            <a:fillRect/>
                          </a:stretch>
                        </pic:blipFill>
                        <pic:spPr>
                          <a:xfrm>
                            <a:off x="2288984" y="1587944"/>
                            <a:ext cx="97917" cy="97916"/>
                          </a:xfrm>
                          <a:prstGeom prst="rect">
                            <a:avLst/>
                          </a:prstGeom>
                        </pic:spPr>
                      </pic:pic>
                      <pic:pic>
                        <pic:nvPicPr>
                          <pic:cNvPr id="330" name="Image 330"/>
                          <pic:cNvPicPr/>
                        </pic:nvPicPr>
                        <pic:blipFill>
                          <a:blip r:embed="rId15" cstate="print"/>
                          <a:stretch>
                            <a:fillRect/>
                          </a:stretch>
                        </pic:blipFill>
                        <pic:spPr>
                          <a:xfrm>
                            <a:off x="547560" y="1454213"/>
                            <a:ext cx="97917" cy="97917"/>
                          </a:xfrm>
                          <a:prstGeom prst="rect">
                            <a:avLst/>
                          </a:prstGeom>
                        </pic:spPr>
                      </pic:pic>
                      <pic:pic>
                        <pic:nvPicPr>
                          <pic:cNvPr id="331" name="Image 331"/>
                          <pic:cNvPicPr/>
                        </pic:nvPicPr>
                        <pic:blipFill>
                          <a:blip r:embed="rId38" cstate="print"/>
                          <a:stretch>
                            <a:fillRect/>
                          </a:stretch>
                        </pic:blipFill>
                        <pic:spPr>
                          <a:xfrm>
                            <a:off x="937260" y="2364041"/>
                            <a:ext cx="243840" cy="73533"/>
                          </a:xfrm>
                          <a:prstGeom prst="rect">
                            <a:avLst/>
                          </a:prstGeom>
                        </pic:spPr>
                      </pic:pic>
                      <pic:pic>
                        <pic:nvPicPr>
                          <pic:cNvPr id="332" name="Image 332"/>
                          <pic:cNvPicPr/>
                        </pic:nvPicPr>
                        <pic:blipFill>
                          <a:blip r:embed="rId39" cstate="print"/>
                          <a:stretch>
                            <a:fillRect/>
                          </a:stretch>
                        </pic:blipFill>
                        <pic:spPr>
                          <a:xfrm>
                            <a:off x="2199385" y="2364041"/>
                            <a:ext cx="243839" cy="73533"/>
                          </a:xfrm>
                          <a:prstGeom prst="rect">
                            <a:avLst/>
                          </a:prstGeom>
                        </pic:spPr>
                      </pic:pic>
                      <pic:pic>
                        <pic:nvPicPr>
                          <pic:cNvPr id="333" name="Image 333"/>
                          <pic:cNvPicPr/>
                        </pic:nvPicPr>
                        <pic:blipFill>
                          <a:blip r:embed="rId40" cstate="print"/>
                          <a:stretch>
                            <a:fillRect/>
                          </a:stretch>
                        </pic:blipFill>
                        <pic:spPr>
                          <a:xfrm>
                            <a:off x="3442334" y="2364041"/>
                            <a:ext cx="243839" cy="73533"/>
                          </a:xfrm>
                          <a:prstGeom prst="rect">
                            <a:avLst/>
                          </a:prstGeom>
                        </pic:spPr>
                      </pic:pic>
                      <wps:wsp>
                        <wps:cNvPr id="334" name="Graphic 334"/>
                        <wps:cNvSpPr/>
                        <wps:spPr>
                          <a:xfrm>
                            <a:off x="3175" y="3175"/>
                            <a:ext cx="5086350" cy="2581275"/>
                          </a:xfrm>
                          <a:custGeom>
                            <a:avLst/>
                            <a:gdLst/>
                            <a:ahLst/>
                            <a:cxnLst/>
                            <a:rect l="l" t="t" r="r" b="b"/>
                            <a:pathLst>
                              <a:path w="5086350" h="2581275">
                                <a:moveTo>
                                  <a:pt x="0" y="2581275"/>
                                </a:moveTo>
                                <a:lnTo>
                                  <a:pt x="5086350" y="2581275"/>
                                </a:lnTo>
                                <a:lnTo>
                                  <a:pt x="5086350" y="0"/>
                                </a:lnTo>
                                <a:lnTo>
                                  <a:pt x="0" y="0"/>
                                </a:lnTo>
                                <a:lnTo>
                                  <a:pt x="0" y="2581275"/>
                                </a:lnTo>
                                <a:close/>
                              </a:path>
                            </a:pathLst>
                          </a:custGeom>
                          <a:ln w="6350">
                            <a:solidFill>
                              <a:srgbClr val="A6A6A6"/>
                            </a:solidFill>
                            <a:prstDash val="solid"/>
                          </a:ln>
                        </wps:spPr>
                        <wps:bodyPr wrap="square" lIns="0" tIns="0" rIns="0" bIns="0" rtlCol="0">
                          <a:prstTxWarp prst="textNoShape">
                            <a:avLst/>
                          </a:prstTxWarp>
                          <a:noAutofit/>
                        </wps:bodyPr>
                      </wps:wsp>
                      <wps:wsp>
                        <wps:cNvPr id="335" name="Textbox 335"/>
                        <wps:cNvSpPr txBox="1"/>
                        <wps:spPr>
                          <a:xfrm>
                            <a:off x="3712845" y="2348610"/>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336" name="Textbox 336"/>
                        <wps:cNvSpPr txBox="1"/>
                        <wps:spPr>
                          <a:xfrm>
                            <a:off x="2469514" y="2348610"/>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337" name="Textbox 337"/>
                        <wps:cNvSpPr txBox="1"/>
                        <wps:spPr>
                          <a:xfrm>
                            <a:off x="1207388" y="2348610"/>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338" name="Textbox 338"/>
                        <wps:cNvSpPr txBox="1"/>
                        <wps:spPr>
                          <a:xfrm>
                            <a:off x="481583" y="2095373"/>
                            <a:ext cx="442404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2015</w:t>
                              </w:r>
                              <w:r>
                                <w:rPr>
                                  <w:rFonts w:ascii="Calibri"/>
                                  <w:color w:val="585858"/>
                                  <w:spacing w:val="49"/>
                                  <w:sz w:val="18"/>
                                </w:rPr>
                                <w:t>  </w:t>
                              </w:r>
                              <w:r>
                                <w:rPr>
                                  <w:rFonts w:ascii="Calibri"/>
                                  <w:color w:val="585858"/>
                                  <w:sz w:val="18"/>
                                </w:rPr>
                                <w:t>2019</w:t>
                              </w:r>
                              <w:r>
                                <w:rPr>
                                  <w:rFonts w:ascii="Calibri"/>
                                  <w:color w:val="585858"/>
                                  <w:spacing w:val="49"/>
                                  <w:sz w:val="18"/>
                                </w:rPr>
                                <w:t>  </w:t>
                              </w:r>
                              <w:r>
                                <w:rPr>
                                  <w:rFonts w:ascii="Calibri"/>
                                  <w:color w:val="585858"/>
                                  <w:sz w:val="18"/>
                                </w:rPr>
                                <w:t>2020</w:t>
                              </w:r>
                              <w:r>
                                <w:rPr>
                                  <w:rFonts w:ascii="Calibri"/>
                                  <w:color w:val="585858"/>
                                  <w:spacing w:val="48"/>
                                  <w:sz w:val="18"/>
                                </w:rPr>
                                <w:t>  </w:t>
                              </w:r>
                              <w:r>
                                <w:rPr>
                                  <w:rFonts w:ascii="Calibri"/>
                                  <w:color w:val="585858"/>
                                  <w:sz w:val="18"/>
                                </w:rPr>
                                <w:t>2021</w:t>
                              </w:r>
                              <w:r>
                                <w:rPr>
                                  <w:rFonts w:ascii="Calibri"/>
                                  <w:color w:val="585858"/>
                                  <w:spacing w:val="50"/>
                                  <w:sz w:val="18"/>
                                </w:rPr>
                                <w:t>  </w:t>
                              </w:r>
                              <w:r>
                                <w:rPr>
                                  <w:rFonts w:ascii="Calibri"/>
                                  <w:color w:val="585858"/>
                                  <w:sz w:val="18"/>
                                </w:rPr>
                                <w:t>2022</w:t>
                              </w:r>
                              <w:r>
                                <w:rPr>
                                  <w:rFonts w:ascii="Calibri"/>
                                  <w:color w:val="585858"/>
                                  <w:spacing w:val="48"/>
                                  <w:sz w:val="18"/>
                                </w:rPr>
                                <w:t>  </w:t>
                              </w:r>
                              <w:r>
                                <w:rPr>
                                  <w:rFonts w:ascii="Calibri"/>
                                  <w:color w:val="585858"/>
                                  <w:sz w:val="18"/>
                                </w:rPr>
                                <w:t>2023</w:t>
                              </w:r>
                              <w:r>
                                <w:rPr>
                                  <w:rFonts w:ascii="Calibri"/>
                                  <w:color w:val="585858"/>
                                  <w:spacing w:val="49"/>
                                  <w:sz w:val="18"/>
                                </w:rPr>
                                <w:t>  </w:t>
                              </w:r>
                              <w:r>
                                <w:rPr>
                                  <w:rFonts w:ascii="Calibri"/>
                                  <w:color w:val="585858"/>
                                  <w:sz w:val="18"/>
                                </w:rPr>
                                <w:t>2024</w:t>
                              </w:r>
                              <w:r>
                                <w:rPr>
                                  <w:rFonts w:ascii="Calibri"/>
                                  <w:color w:val="585858"/>
                                  <w:spacing w:val="50"/>
                                  <w:sz w:val="18"/>
                                </w:rPr>
                                <w:t>  </w:t>
                              </w:r>
                              <w:r>
                                <w:rPr>
                                  <w:rFonts w:ascii="Calibri"/>
                                  <w:color w:val="585858"/>
                                  <w:sz w:val="18"/>
                                </w:rPr>
                                <w:t>2025</w:t>
                              </w:r>
                              <w:r>
                                <w:rPr>
                                  <w:rFonts w:ascii="Calibri"/>
                                  <w:color w:val="585858"/>
                                  <w:spacing w:val="48"/>
                                  <w:sz w:val="18"/>
                                </w:rPr>
                                <w:t>  </w:t>
                              </w:r>
                              <w:r>
                                <w:rPr>
                                  <w:rFonts w:ascii="Calibri"/>
                                  <w:color w:val="585858"/>
                                  <w:sz w:val="18"/>
                                </w:rPr>
                                <w:t>2026</w:t>
                              </w:r>
                              <w:r>
                                <w:rPr>
                                  <w:rFonts w:ascii="Calibri"/>
                                  <w:color w:val="585858"/>
                                  <w:spacing w:val="49"/>
                                  <w:sz w:val="18"/>
                                </w:rPr>
                                <w:t>  </w:t>
                              </w:r>
                              <w:r>
                                <w:rPr>
                                  <w:rFonts w:ascii="Calibri"/>
                                  <w:color w:val="585858"/>
                                  <w:sz w:val="18"/>
                                </w:rPr>
                                <w:t>2027</w:t>
                              </w:r>
                              <w:r>
                                <w:rPr>
                                  <w:rFonts w:ascii="Calibri"/>
                                  <w:color w:val="585858"/>
                                  <w:spacing w:val="50"/>
                                  <w:sz w:val="18"/>
                                </w:rPr>
                                <w:t>  </w:t>
                              </w:r>
                              <w:r>
                                <w:rPr>
                                  <w:rFonts w:ascii="Calibri"/>
                                  <w:color w:val="585858"/>
                                  <w:sz w:val="18"/>
                                </w:rPr>
                                <w:t>2028</w:t>
                              </w:r>
                              <w:r>
                                <w:rPr>
                                  <w:rFonts w:ascii="Calibri"/>
                                  <w:color w:val="585858"/>
                                  <w:spacing w:val="48"/>
                                  <w:sz w:val="18"/>
                                </w:rPr>
                                <w:t>  </w:t>
                              </w:r>
                              <w:r>
                                <w:rPr>
                                  <w:rFonts w:ascii="Calibri"/>
                                  <w:color w:val="585858"/>
                                  <w:sz w:val="18"/>
                                </w:rPr>
                                <w:t>2029</w:t>
                              </w:r>
                              <w:r>
                                <w:rPr>
                                  <w:rFonts w:ascii="Calibri"/>
                                  <w:color w:val="585858"/>
                                  <w:spacing w:val="49"/>
                                  <w:sz w:val="18"/>
                                </w:rPr>
                                <w:t>  </w:t>
                              </w:r>
                              <w:r>
                                <w:rPr>
                                  <w:rFonts w:ascii="Calibri"/>
                                  <w:color w:val="585858"/>
                                  <w:spacing w:val="-4"/>
                                  <w:sz w:val="18"/>
                                </w:rPr>
                                <w:t>2030</w:t>
                              </w:r>
                            </w:p>
                          </w:txbxContent>
                        </wps:txbx>
                        <wps:bodyPr wrap="square" lIns="0" tIns="0" rIns="0" bIns="0" rtlCol="0">
                          <a:noAutofit/>
                        </wps:bodyPr>
                      </wps:wsp>
                      <wps:wsp>
                        <wps:cNvPr id="339" name="Textbox 339"/>
                        <wps:cNvSpPr txBox="1"/>
                        <wps:spPr>
                          <a:xfrm>
                            <a:off x="150240" y="1941448"/>
                            <a:ext cx="16764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0%</w:t>
                              </w:r>
                            </w:p>
                          </w:txbxContent>
                        </wps:txbx>
                        <wps:bodyPr wrap="square" lIns="0" tIns="0" rIns="0" bIns="0" rtlCol="0">
                          <a:noAutofit/>
                        </wps:bodyPr>
                      </wps:wsp>
                      <wps:wsp>
                        <wps:cNvPr id="340" name="Textbox 340"/>
                        <wps:cNvSpPr txBox="1"/>
                        <wps:spPr>
                          <a:xfrm>
                            <a:off x="1157605" y="1773427"/>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2"/>
                                  <w:sz w:val="20"/>
                                </w:rPr>
                                <w:t>10.0%</w:t>
                              </w:r>
                            </w:p>
                          </w:txbxContent>
                        </wps:txbx>
                        <wps:bodyPr wrap="square" lIns="0" tIns="0" rIns="0" bIns="0" rtlCol="0">
                          <a:noAutofit/>
                        </wps:bodyPr>
                      </wps:wsp>
                      <wps:wsp>
                        <wps:cNvPr id="341" name="Textbox 341"/>
                        <wps:cNvSpPr txBox="1"/>
                        <wps:spPr>
                          <a:xfrm>
                            <a:off x="4633595" y="1618614"/>
                            <a:ext cx="266700"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7.8%</w:t>
                              </w:r>
                            </w:p>
                          </w:txbxContent>
                        </wps:txbx>
                        <wps:bodyPr wrap="square" lIns="0" tIns="0" rIns="0" bIns="0" rtlCol="0">
                          <a:noAutofit/>
                        </wps:bodyPr>
                      </wps:wsp>
                      <wps:wsp>
                        <wps:cNvPr id="342" name="Textbox 342"/>
                        <wps:cNvSpPr txBox="1"/>
                        <wps:spPr>
                          <a:xfrm>
                            <a:off x="779652" y="1690242"/>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2"/>
                                  <w:sz w:val="20"/>
                                </w:rPr>
                                <w:t>12.3%</w:t>
                              </w:r>
                            </w:p>
                          </w:txbxContent>
                        </wps:txbx>
                        <wps:bodyPr wrap="square" lIns="0" tIns="0" rIns="0" bIns="0" rtlCol="0">
                          <a:noAutofit/>
                        </wps:bodyPr>
                      </wps:wsp>
                      <wps:wsp>
                        <wps:cNvPr id="343" name="Textbox 343"/>
                        <wps:cNvSpPr txBox="1"/>
                        <wps:spPr>
                          <a:xfrm>
                            <a:off x="4361688" y="1555877"/>
                            <a:ext cx="267335" cy="127000"/>
                          </a:xfrm>
                          <a:prstGeom prst="rect">
                            <a:avLst/>
                          </a:prstGeom>
                        </wps:spPr>
                        <wps:txbx>
                          <w:txbxContent>
                            <w:p>
                              <w:pPr>
                                <w:spacing w:line="199" w:lineRule="exact" w:before="0"/>
                                <w:ind w:left="0" w:right="0" w:firstLine="0"/>
                                <w:jc w:val="left"/>
                                <w:rPr>
                                  <w:rFonts w:ascii="Calibri"/>
                                  <w:b/>
                                  <w:sz w:val="20"/>
                                </w:rPr>
                              </w:pPr>
                              <w:r>
                                <w:rPr>
                                  <w:rFonts w:ascii="Calibri"/>
                                  <w:b/>
                                  <w:color w:val="A4A4A4"/>
                                  <w:spacing w:val="-4"/>
                                  <w:sz w:val="20"/>
                                </w:rPr>
                                <w:t>8.5%</w:t>
                              </w:r>
                            </w:p>
                          </w:txbxContent>
                        </wps:txbx>
                        <wps:bodyPr wrap="square" lIns="0" tIns="0" rIns="0" bIns="0" rtlCol="0">
                          <a:noAutofit/>
                        </wps:bodyPr>
                      </wps:wsp>
                      <wps:wsp>
                        <wps:cNvPr id="344" name="Textbox 344"/>
                        <wps:cNvSpPr txBox="1"/>
                        <wps:spPr>
                          <a:xfrm>
                            <a:off x="2903601" y="1451863"/>
                            <a:ext cx="1344295" cy="199390"/>
                          </a:xfrm>
                          <a:prstGeom prst="rect">
                            <a:avLst/>
                          </a:prstGeom>
                        </wps:spPr>
                        <wps:txbx>
                          <w:txbxContent>
                            <w:p>
                              <w:pPr>
                                <w:spacing w:line="187" w:lineRule="auto" w:before="0"/>
                                <w:ind w:left="0" w:right="0" w:firstLine="0"/>
                                <w:jc w:val="left"/>
                                <w:rPr>
                                  <w:rFonts w:ascii="Calibri"/>
                                  <w:b/>
                                  <w:position w:val="-10"/>
                                  <w:sz w:val="20"/>
                                </w:rPr>
                              </w:pPr>
                              <w:r>
                                <w:rPr>
                                  <w:rFonts w:ascii="Calibri"/>
                                  <w:b/>
                                  <w:color w:val="A4A4A4"/>
                                  <w:sz w:val="20"/>
                                </w:rPr>
                                <w:t>11.9%</w:t>
                              </w:r>
                              <w:r>
                                <w:rPr>
                                  <w:rFonts w:ascii="Calibri"/>
                                  <w:b/>
                                  <w:color w:val="A4A4A4"/>
                                  <w:position w:val="-4"/>
                                  <w:sz w:val="20"/>
                                </w:rPr>
                                <w:t>10.9%</w:t>
                              </w:r>
                              <w:r>
                                <w:rPr>
                                  <w:rFonts w:ascii="Calibri"/>
                                  <w:b/>
                                  <w:color w:val="A4A4A4"/>
                                  <w:spacing w:val="32"/>
                                  <w:position w:val="-4"/>
                                  <w:sz w:val="20"/>
                                </w:rPr>
                                <w:t> </w:t>
                              </w:r>
                              <w:r>
                                <w:rPr>
                                  <w:rFonts w:ascii="Calibri"/>
                                  <w:b/>
                                  <w:color w:val="A4A4A4"/>
                                  <w:position w:val="-7"/>
                                  <w:sz w:val="20"/>
                                </w:rPr>
                                <w:t>10.0%</w:t>
                              </w:r>
                              <w:r>
                                <w:rPr>
                                  <w:rFonts w:ascii="Calibri"/>
                                  <w:b/>
                                  <w:color w:val="A4A4A4"/>
                                  <w:spacing w:val="43"/>
                                  <w:position w:val="-7"/>
                                  <w:sz w:val="20"/>
                                </w:rPr>
                                <w:t> </w:t>
                              </w:r>
                              <w:r>
                                <w:rPr>
                                  <w:rFonts w:ascii="Calibri"/>
                                  <w:b/>
                                  <w:color w:val="A4A4A4"/>
                                  <w:spacing w:val="-4"/>
                                  <w:position w:val="-10"/>
                                  <w:sz w:val="20"/>
                                </w:rPr>
                                <w:t>9.2%</w:t>
                              </w:r>
                            </w:p>
                          </w:txbxContent>
                        </wps:txbx>
                        <wps:bodyPr wrap="square" lIns="0" tIns="0" rIns="0" bIns="0" rtlCol="0">
                          <a:noAutofit/>
                        </wps:bodyPr>
                      </wps:wsp>
                      <wps:wsp>
                        <wps:cNvPr id="345" name="Textbox 345"/>
                        <wps:cNvSpPr txBox="1"/>
                        <wps:spPr>
                          <a:xfrm>
                            <a:off x="1499616" y="1318386"/>
                            <a:ext cx="1386840" cy="531495"/>
                          </a:xfrm>
                          <a:prstGeom prst="rect">
                            <a:avLst/>
                          </a:prstGeom>
                        </wps:spPr>
                        <wps:txbx>
                          <w:txbxContent>
                            <w:p>
                              <w:pPr>
                                <w:spacing w:line="187" w:lineRule="auto" w:before="0"/>
                                <w:ind w:left="0" w:right="0" w:firstLine="0"/>
                                <w:jc w:val="left"/>
                                <w:rPr>
                                  <w:rFonts w:ascii="Calibri"/>
                                  <w:b/>
                                  <w:position w:val="-17"/>
                                  <w:sz w:val="20"/>
                                </w:rPr>
                              </w:pPr>
                              <w:r>
                                <w:rPr>
                                  <w:rFonts w:ascii="Calibri"/>
                                  <w:b/>
                                  <w:color w:val="A4A4A4"/>
                                  <w:sz w:val="20"/>
                                </w:rPr>
                                <w:t>16.6%</w:t>
                              </w:r>
                              <w:r>
                                <w:rPr>
                                  <w:rFonts w:ascii="Calibri"/>
                                  <w:b/>
                                  <w:color w:val="A4A4A4"/>
                                  <w:spacing w:val="-1"/>
                                  <w:sz w:val="20"/>
                                </w:rPr>
                                <w:t> </w:t>
                              </w:r>
                              <w:r>
                                <w:rPr>
                                  <w:rFonts w:ascii="Calibri"/>
                                  <w:b/>
                                  <w:color w:val="A4A4A4"/>
                                  <w:position w:val="-3"/>
                                  <w:sz w:val="20"/>
                                </w:rPr>
                                <w:t>15.2%</w:t>
                              </w:r>
                              <w:r>
                                <w:rPr>
                                  <w:rFonts w:ascii="Calibri"/>
                                  <w:b/>
                                  <w:color w:val="A4A4A4"/>
                                  <w:spacing w:val="-17"/>
                                  <w:position w:val="-3"/>
                                  <w:sz w:val="20"/>
                                </w:rPr>
                                <w:t> </w:t>
                              </w:r>
                              <w:r>
                                <w:rPr>
                                  <w:rFonts w:ascii="Calibri"/>
                                  <w:b/>
                                  <w:color w:val="A4A4A4"/>
                                  <w:position w:val="-9"/>
                                  <w:sz w:val="20"/>
                                </w:rPr>
                                <w:t>14.0%</w:t>
                              </w:r>
                              <w:r>
                                <w:rPr>
                                  <w:rFonts w:ascii="Calibri"/>
                                  <w:b/>
                                  <w:color w:val="A4A4A4"/>
                                  <w:spacing w:val="18"/>
                                  <w:position w:val="-9"/>
                                  <w:sz w:val="20"/>
                                </w:rPr>
                                <w:t> </w:t>
                              </w:r>
                              <w:r>
                                <w:rPr>
                                  <w:rFonts w:ascii="Calibri"/>
                                  <w:b/>
                                  <w:color w:val="A4A4A4"/>
                                  <w:spacing w:val="-2"/>
                                  <w:position w:val="-17"/>
                                  <w:sz w:val="20"/>
                                </w:rPr>
                                <w:t>12.9%</w:t>
                              </w:r>
                            </w:p>
                            <w:p>
                              <w:pPr>
                                <w:spacing w:line="280" w:lineRule="exact" w:before="186"/>
                                <w:ind w:left="39" w:right="0" w:firstLine="0"/>
                                <w:jc w:val="left"/>
                                <w:rPr>
                                  <w:rFonts w:ascii="Calibri"/>
                                  <w:b/>
                                  <w:sz w:val="20"/>
                                </w:rPr>
                              </w:pPr>
                              <w:r>
                                <w:rPr>
                                  <w:rFonts w:ascii="Calibri"/>
                                  <w:b/>
                                  <w:color w:val="EC7C30"/>
                                  <w:position w:val="2"/>
                                  <w:sz w:val="20"/>
                                </w:rPr>
                                <w:t>11.8%</w:t>
                              </w:r>
                              <w:r>
                                <w:rPr>
                                  <w:rFonts w:ascii="Calibri"/>
                                  <w:b/>
                                  <w:color w:val="EC7C30"/>
                                  <w:spacing w:val="-12"/>
                                  <w:position w:val="2"/>
                                  <w:sz w:val="20"/>
                                </w:rPr>
                                <w:t> </w:t>
                              </w:r>
                              <w:r>
                                <w:rPr>
                                  <w:rFonts w:ascii="Calibri"/>
                                  <w:b/>
                                  <w:color w:val="EC7C30"/>
                                  <w:position w:val="4"/>
                                  <w:sz w:val="20"/>
                                </w:rPr>
                                <w:t>11.7%</w:t>
                              </w:r>
                              <w:r>
                                <w:rPr>
                                  <w:rFonts w:ascii="Calibri"/>
                                  <w:b/>
                                  <w:color w:val="EC7C30"/>
                                  <w:spacing w:val="18"/>
                                  <w:position w:val="4"/>
                                  <w:sz w:val="20"/>
                                </w:rPr>
                                <w:t> </w:t>
                              </w:r>
                              <w:r>
                                <w:rPr>
                                  <w:rFonts w:ascii="Calibri"/>
                                  <w:b/>
                                  <w:color w:val="EC7C30"/>
                                  <w:spacing w:val="-2"/>
                                  <w:sz w:val="20"/>
                                </w:rPr>
                                <w:t>11.7%</w:t>
                              </w:r>
                            </w:p>
                          </w:txbxContent>
                        </wps:txbx>
                        <wps:bodyPr wrap="square" lIns="0" tIns="0" rIns="0" bIns="0" rtlCol="0">
                          <a:noAutofit/>
                        </wps:bodyPr>
                      </wps:wsp>
                      <wps:wsp>
                        <wps:cNvPr id="346" name="Textbox 346"/>
                        <wps:cNvSpPr txBox="1"/>
                        <wps:spPr>
                          <a:xfrm>
                            <a:off x="85978" y="1632076"/>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10%</w:t>
                              </w:r>
                            </w:p>
                          </w:txbxContent>
                        </wps:txbx>
                        <wps:bodyPr wrap="square" lIns="0" tIns="0" rIns="0" bIns="0" rtlCol="0">
                          <a:noAutofit/>
                        </wps:bodyPr>
                      </wps:wsp>
                      <wps:wsp>
                        <wps:cNvPr id="347" name="Textbox 347"/>
                        <wps:cNvSpPr txBox="1"/>
                        <wps:spPr>
                          <a:xfrm>
                            <a:off x="438023" y="1191260"/>
                            <a:ext cx="1046480" cy="210185"/>
                          </a:xfrm>
                          <a:prstGeom prst="rect">
                            <a:avLst/>
                          </a:prstGeom>
                        </wps:spPr>
                        <wps:txbx>
                          <w:txbxContent>
                            <w:p>
                              <w:pPr>
                                <w:spacing w:line="187" w:lineRule="auto" w:before="0"/>
                                <w:ind w:left="0" w:right="0" w:firstLine="0"/>
                                <w:jc w:val="left"/>
                                <w:rPr>
                                  <w:rFonts w:ascii="Calibri"/>
                                  <w:b/>
                                  <w:position w:val="-8"/>
                                  <w:sz w:val="20"/>
                                </w:rPr>
                              </w:pPr>
                              <w:r>
                                <w:rPr>
                                  <w:rFonts w:ascii="Calibri"/>
                                  <w:b/>
                                  <w:color w:val="4471C4"/>
                                  <w:position w:val="-12"/>
                                  <w:sz w:val="20"/>
                                </w:rPr>
                                <w:t>16.0%</w:t>
                              </w:r>
                              <w:r>
                                <w:rPr>
                                  <w:rFonts w:ascii="Calibri"/>
                                  <w:b/>
                                  <w:color w:val="4471C4"/>
                                  <w:spacing w:val="59"/>
                                  <w:position w:val="-12"/>
                                  <w:sz w:val="20"/>
                                </w:rPr>
                                <w:t> </w:t>
                              </w:r>
                              <w:r>
                                <w:rPr>
                                  <w:rFonts w:ascii="Calibri"/>
                                  <w:b/>
                                  <w:color w:val="A4A4A4"/>
                                  <w:spacing w:val="-2"/>
                                  <w:sz w:val="20"/>
                                </w:rPr>
                                <w:t>20.2%</w:t>
                              </w:r>
                              <w:r>
                                <w:rPr>
                                  <w:rFonts w:ascii="Calibri"/>
                                  <w:b/>
                                  <w:color w:val="A4A4A4"/>
                                  <w:spacing w:val="-2"/>
                                  <w:position w:val="-8"/>
                                  <w:sz w:val="20"/>
                                </w:rPr>
                                <w:t>18.0%</w:t>
                              </w:r>
                            </w:p>
                          </w:txbxContent>
                        </wps:txbx>
                        <wps:bodyPr wrap="square" lIns="0" tIns="0" rIns="0" bIns="0" rtlCol="0">
                          <a:noAutofit/>
                        </wps:bodyPr>
                      </wps:wsp>
                      <wps:wsp>
                        <wps:cNvPr id="348" name="Textbox 348"/>
                        <wps:cNvSpPr txBox="1"/>
                        <wps:spPr>
                          <a:xfrm>
                            <a:off x="85978" y="1322958"/>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20%</w:t>
                              </w:r>
                            </w:p>
                          </w:txbxContent>
                        </wps:txbx>
                        <wps:bodyPr wrap="square" lIns="0" tIns="0" rIns="0" bIns="0" rtlCol="0">
                          <a:noAutofit/>
                        </wps:bodyPr>
                      </wps:wsp>
                      <wps:wsp>
                        <wps:cNvPr id="349" name="Textbox 349"/>
                        <wps:cNvSpPr txBox="1"/>
                        <wps:spPr>
                          <a:xfrm>
                            <a:off x="85978" y="86106"/>
                            <a:ext cx="233045" cy="1054100"/>
                          </a:xfrm>
                          <a:prstGeom prst="rect">
                            <a:avLst/>
                          </a:prstGeom>
                        </wps:spPr>
                        <wps:txbx>
                          <w:txbxContent>
                            <w:p>
                              <w:pPr>
                                <w:spacing w:line="203" w:lineRule="exact" w:before="0"/>
                                <w:ind w:left="0" w:right="0" w:firstLine="0"/>
                                <w:jc w:val="left"/>
                                <w:rPr>
                                  <w:rFonts w:ascii="Calibri"/>
                                  <w:sz w:val="20"/>
                                </w:rPr>
                              </w:pPr>
                              <w:r>
                                <w:rPr>
                                  <w:rFonts w:ascii="Calibri"/>
                                  <w:spacing w:val="-5"/>
                                  <w:sz w:val="20"/>
                                </w:rPr>
                                <w:t>60%</w:t>
                              </w:r>
                            </w:p>
                            <w:p>
                              <w:pPr>
                                <w:spacing w:before="242"/>
                                <w:ind w:left="0" w:right="0" w:firstLine="0"/>
                                <w:jc w:val="left"/>
                                <w:rPr>
                                  <w:rFonts w:ascii="Calibri"/>
                                  <w:sz w:val="20"/>
                                </w:rPr>
                              </w:pPr>
                              <w:r>
                                <w:rPr>
                                  <w:rFonts w:ascii="Calibri"/>
                                  <w:spacing w:val="-5"/>
                                  <w:sz w:val="20"/>
                                </w:rPr>
                                <w:t>50%</w:t>
                              </w:r>
                            </w:p>
                            <w:p>
                              <w:pPr>
                                <w:spacing w:before="243"/>
                                <w:ind w:left="0" w:right="0" w:firstLine="0"/>
                                <w:jc w:val="left"/>
                                <w:rPr>
                                  <w:rFonts w:ascii="Calibri"/>
                                  <w:sz w:val="20"/>
                                </w:rPr>
                              </w:pPr>
                              <w:r>
                                <w:rPr>
                                  <w:rFonts w:ascii="Calibri"/>
                                  <w:spacing w:val="-5"/>
                                  <w:sz w:val="20"/>
                                </w:rPr>
                                <w:t>40%</w:t>
                              </w:r>
                            </w:p>
                            <w:p>
                              <w:pPr>
                                <w:spacing w:line="240" w:lineRule="exact" w:before="243"/>
                                <w:ind w:left="0" w:right="0" w:firstLine="0"/>
                                <w:jc w:val="left"/>
                                <w:rPr>
                                  <w:rFonts w:ascii="Calibri"/>
                                  <w:sz w:val="20"/>
                                </w:rPr>
                              </w:pPr>
                              <w:r>
                                <w:rPr>
                                  <w:rFonts w:ascii="Calibri"/>
                                  <w:spacing w:val="-5"/>
                                  <w:sz w:val="20"/>
                                </w:rPr>
                                <w:t>30%</w:t>
                              </w:r>
                            </w:p>
                          </w:txbxContent>
                        </wps:txbx>
                        <wps:bodyPr wrap="square" lIns="0" tIns="0" rIns="0" bIns="0" rtlCol="0">
                          <a:noAutofit/>
                        </wps:bodyPr>
                      </wps:wsp>
                    </wpg:wgp>
                  </a:graphicData>
                </a:graphic>
              </wp:anchor>
            </w:drawing>
          </mc:Choice>
          <mc:Fallback>
            <w:pict>
              <v:group style="position:absolute;margin-left:97.150002pt;margin-top:10.417480pt;width:401pt;height:203.75pt;mso-position-horizontal-relative:page;mso-position-vertical-relative:paragraph;z-index:-15724032;mso-wrap-distance-left:0;mso-wrap-distance-right:0" id="docshapegroup305" coordorigin="1943,208" coordsize="8020,4075">
                <v:shape style="position:absolute;left:2545;top:435;width:64;height:2922" id="docshape306" coordorigin="2546,436" coordsize="64,2922" path="m2609,3357l2609,436m2546,3357l2609,3357m2546,2871l2609,2871m2546,2384l2609,2384m2546,1896l2609,1896m2546,1409l2609,1409m2546,922l2609,922m2546,436l2609,436e" filled="false" stroked="true" strokeweight=".5pt" strokecolor="#888888">
                  <v:path arrowok="t"/>
                  <v:stroke dashstyle="solid"/>
                </v:shape>
                <v:shape style="position:absolute;left:2609;top:3356;width:7129;height:58" id="docshape307" coordorigin="2609,3357" coordsize="7129,58" path="m2609,3357l9738,3357m2609,3357l2609,3414m3158,3357l3158,3414m3706,3357l3706,3414m4255,3357l4255,3414m4802,3357l4802,3414m5352,3357l5352,3414m5899,3357l5899,3414m6449,3357l6449,3414m6996,3357l6996,3414m7546,3357l7546,3414m8093,3357l8093,3414m8642,3357l8642,3414m9190,3357l9190,3414m9738,3357l9738,3414e" filled="false" stroked="true" strokeweight=".75pt" strokecolor="#d9d9d9">
                  <v:path arrowok="t"/>
                  <v:stroke dashstyle="solid"/>
                </v:shape>
                <v:shape style="position:absolute;left:3431;top:2373;width:6032;height:604" id="docshape308" coordorigin="3432,2373" coordsize="6032,604" path="m3432,2373l3979,2482,4529,2552,5076,2616,5626,2676,6173,2729,6722,2777,7270,2825,7819,2871,8366,2909,8916,2943,9464,2977e" filled="false" stroked="true" strokeweight="2.25pt" strokecolor="#a4a4a4">
                  <v:path arrowok="t"/>
                  <v:stroke dashstyle="solid"/>
                </v:shape>
                <v:shape style="position:absolute;left:3373;top:2315;width:116;height:116" type="#_x0000_t75" id="docshape309" stroked="false">
                  <v:imagedata r:id="rId25" o:title=""/>
                </v:shape>
                <v:shape style="position:absolute;left:3920;top:2423;width:116;height:116" type="#_x0000_t75" id="docshape310" stroked="false">
                  <v:imagedata r:id="rId24" o:title=""/>
                </v:shape>
                <v:shape style="position:absolute;left:4470;top:2493;width:116;height:116" type="#_x0000_t75" id="docshape311" stroked="false">
                  <v:imagedata r:id="rId25" o:title=""/>
                </v:shape>
                <v:shape style="position:absolute;left:5017;top:2557;width:116;height:116" type="#_x0000_t75" id="docshape312" stroked="false">
                  <v:imagedata r:id="rId24" o:title=""/>
                </v:shape>
                <v:shape style="position:absolute;left:5566;top:2617;width:116;height:116" type="#_x0000_t75" id="docshape313" stroked="false">
                  <v:imagedata r:id="rId27" o:title=""/>
                </v:shape>
                <v:shape style="position:absolute;left:6114;top:2670;width:116;height:116" type="#_x0000_t75" id="docshape314" stroked="false">
                  <v:imagedata r:id="rId27" o:title=""/>
                </v:shape>
                <v:shape style="position:absolute;left:6663;top:2718;width:116;height:116" type="#_x0000_t75" id="docshape315" stroked="false">
                  <v:imagedata r:id="rId26" o:title=""/>
                </v:shape>
                <v:shape style="position:absolute;left:7210;top:2766;width:116;height:116" type="#_x0000_t75" id="docshape316" stroked="false">
                  <v:imagedata r:id="rId27" o:title=""/>
                </v:shape>
                <v:shape style="position:absolute;left:7760;top:2812;width:116;height:116" type="#_x0000_t75" id="docshape317" stroked="false">
                  <v:imagedata r:id="rId24" o:title=""/>
                </v:shape>
                <v:shape style="position:absolute;left:8307;top:2850;width:116;height:116" type="#_x0000_t75" id="docshape318" stroked="false">
                  <v:imagedata r:id="rId24" o:title=""/>
                </v:shape>
                <v:shape style="position:absolute;left:8857;top:2884;width:116;height:116" type="#_x0000_t75" id="docshape319" stroked="false">
                  <v:imagedata r:id="rId25" o:title=""/>
                </v:shape>
                <v:shape style="position:absolute;left:9404;top:2917;width:116;height:116" type="#_x0000_t75" id="docshape320" stroked="false">
                  <v:imagedata r:id="rId24" o:title=""/>
                </v:shape>
                <v:shape style="position:absolute;left:3431;top:2758;width:2194;height:112" id="docshape321" coordorigin="3432,2758" coordsize="2194,112" path="m3432,2758l3979,2870,4529,2784,5076,2787,5625,2787e" filled="false" stroked="true" strokeweight="2.25pt" strokecolor="#ec7c30">
                  <v:path arrowok="t"/>
                  <v:stroke dashstyle="solid"/>
                </v:shape>
                <v:shape style="position:absolute;left:3354;top:2680;width:155;height:155" type="#_x0000_t75" id="docshape322" stroked="false">
                  <v:imagedata r:id="rId12" o:title=""/>
                </v:shape>
                <v:shape style="position:absolute;left:3901;top:2793;width:155;height:155" type="#_x0000_t75" id="docshape323" stroked="false">
                  <v:imagedata r:id="rId12" o:title=""/>
                </v:shape>
                <v:shape style="position:absolute;left:4450;top:2706;width:155;height:155" type="#_x0000_t75" id="docshape324" stroked="false">
                  <v:imagedata r:id="rId14" o:title=""/>
                </v:shape>
                <v:shape style="position:absolute;left:4998;top:2709;width:155;height:155" type="#_x0000_t75" id="docshape325" stroked="false">
                  <v:imagedata r:id="rId14" o:title=""/>
                </v:shape>
                <v:shape style="position:absolute;left:5547;top:2709;width:155;height:155" type="#_x0000_t75" id="docshape326" stroked="false">
                  <v:imagedata r:id="rId19" o:title=""/>
                </v:shape>
                <v:shape style="position:absolute;left:2805;top:2498;width:155;height:155" type="#_x0000_t75" id="docshape327" stroked="false">
                  <v:imagedata r:id="rId15" o:title=""/>
                </v:shape>
                <v:shape style="position:absolute;left:3419;top:3931;width:384;height:116" type="#_x0000_t75" id="docshape328" stroked="false">
                  <v:imagedata r:id="rId38" o:title=""/>
                </v:shape>
                <v:shape style="position:absolute;left:5406;top:3931;width:384;height:116" type="#_x0000_t75" id="docshape329" stroked="false">
                  <v:imagedata r:id="rId39" o:title=""/>
                </v:shape>
                <v:shape style="position:absolute;left:7364;top:3931;width:384;height:116" type="#_x0000_t75" id="docshape330" stroked="false">
                  <v:imagedata r:id="rId40" o:title=""/>
                </v:shape>
                <v:rect style="position:absolute;left:1948;top:213;width:8010;height:4065" id="docshape331" filled="false" stroked="true" strokeweight=".5pt" strokecolor="#a6a6a6">
                  <v:stroke dashstyle="solid"/>
                </v:rect>
                <v:shape style="position:absolute;left:7790;top:3906;width:789;height:180" type="#_x0000_t202" id="docshape332"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5832;top:3906;width:1261;height:180" type="#_x0000_t202" id="docshape333"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3844;top:3906;width:1290;height:180" type="#_x0000_t202" id="docshape334"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2701;top:3508;width:6967;height:180" type="#_x0000_t202" id="docshape335" filled="false" stroked="false">
                  <v:textbox inset="0,0,0,0">
                    <w:txbxContent>
                      <w:p>
                        <w:pPr>
                          <w:spacing w:line="180" w:lineRule="exact" w:before="0"/>
                          <w:ind w:left="0" w:right="0" w:firstLine="0"/>
                          <w:jc w:val="left"/>
                          <w:rPr>
                            <w:rFonts w:ascii="Calibri"/>
                            <w:sz w:val="18"/>
                          </w:rPr>
                        </w:pPr>
                        <w:r>
                          <w:rPr>
                            <w:rFonts w:ascii="Calibri"/>
                            <w:color w:val="585858"/>
                            <w:sz w:val="18"/>
                          </w:rPr>
                          <w:t>2015</w:t>
                        </w:r>
                        <w:r>
                          <w:rPr>
                            <w:rFonts w:ascii="Calibri"/>
                            <w:color w:val="585858"/>
                            <w:spacing w:val="49"/>
                            <w:sz w:val="18"/>
                          </w:rPr>
                          <w:t>  </w:t>
                        </w:r>
                        <w:r>
                          <w:rPr>
                            <w:rFonts w:ascii="Calibri"/>
                            <w:color w:val="585858"/>
                            <w:sz w:val="18"/>
                          </w:rPr>
                          <w:t>2019</w:t>
                        </w:r>
                        <w:r>
                          <w:rPr>
                            <w:rFonts w:ascii="Calibri"/>
                            <w:color w:val="585858"/>
                            <w:spacing w:val="49"/>
                            <w:sz w:val="18"/>
                          </w:rPr>
                          <w:t>  </w:t>
                        </w:r>
                        <w:r>
                          <w:rPr>
                            <w:rFonts w:ascii="Calibri"/>
                            <w:color w:val="585858"/>
                            <w:sz w:val="18"/>
                          </w:rPr>
                          <w:t>2020</w:t>
                        </w:r>
                        <w:r>
                          <w:rPr>
                            <w:rFonts w:ascii="Calibri"/>
                            <w:color w:val="585858"/>
                            <w:spacing w:val="48"/>
                            <w:sz w:val="18"/>
                          </w:rPr>
                          <w:t>  </w:t>
                        </w:r>
                        <w:r>
                          <w:rPr>
                            <w:rFonts w:ascii="Calibri"/>
                            <w:color w:val="585858"/>
                            <w:sz w:val="18"/>
                          </w:rPr>
                          <w:t>2021</w:t>
                        </w:r>
                        <w:r>
                          <w:rPr>
                            <w:rFonts w:ascii="Calibri"/>
                            <w:color w:val="585858"/>
                            <w:spacing w:val="50"/>
                            <w:sz w:val="18"/>
                          </w:rPr>
                          <w:t>  </w:t>
                        </w:r>
                        <w:r>
                          <w:rPr>
                            <w:rFonts w:ascii="Calibri"/>
                            <w:color w:val="585858"/>
                            <w:sz w:val="18"/>
                          </w:rPr>
                          <w:t>2022</w:t>
                        </w:r>
                        <w:r>
                          <w:rPr>
                            <w:rFonts w:ascii="Calibri"/>
                            <w:color w:val="585858"/>
                            <w:spacing w:val="48"/>
                            <w:sz w:val="18"/>
                          </w:rPr>
                          <w:t>  </w:t>
                        </w:r>
                        <w:r>
                          <w:rPr>
                            <w:rFonts w:ascii="Calibri"/>
                            <w:color w:val="585858"/>
                            <w:sz w:val="18"/>
                          </w:rPr>
                          <w:t>2023</w:t>
                        </w:r>
                        <w:r>
                          <w:rPr>
                            <w:rFonts w:ascii="Calibri"/>
                            <w:color w:val="585858"/>
                            <w:spacing w:val="49"/>
                            <w:sz w:val="18"/>
                          </w:rPr>
                          <w:t>  </w:t>
                        </w:r>
                        <w:r>
                          <w:rPr>
                            <w:rFonts w:ascii="Calibri"/>
                            <w:color w:val="585858"/>
                            <w:sz w:val="18"/>
                          </w:rPr>
                          <w:t>2024</w:t>
                        </w:r>
                        <w:r>
                          <w:rPr>
                            <w:rFonts w:ascii="Calibri"/>
                            <w:color w:val="585858"/>
                            <w:spacing w:val="50"/>
                            <w:sz w:val="18"/>
                          </w:rPr>
                          <w:t>  </w:t>
                        </w:r>
                        <w:r>
                          <w:rPr>
                            <w:rFonts w:ascii="Calibri"/>
                            <w:color w:val="585858"/>
                            <w:sz w:val="18"/>
                          </w:rPr>
                          <w:t>2025</w:t>
                        </w:r>
                        <w:r>
                          <w:rPr>
                            <w:rFonts w:ascii="Calibri"/>
                            <w:color w:val="585858"/>
                            <w:spacing w:val="48"/>
                            <w:sz w:val="18"/>
                          </w:rPr>
                          <w:t>  </w:t>
                        </w:r>
                        <w:r>
                          <w:rPr>
                            <w:rFonts w:ascii="Calibri"/>
                            <w:color w:val="585858"/>
                            <w:sz w:val="18"/>
                          </w:rPr>
                          <w:t>2026</w:t>
                        </w:r>
                        <w:r>
                          <w:rPr>
                            <w:rFonts w:ascii="Calibri"/>
                            <w:color w:val="585858"/>
                            <w:spacing w:val="49"/>
                            <w:sz w:val="18"/>
                          </w:rPr>
                          <w:t>  </w:t>
                        </w:r>
                        <w:r>
                          <w:rPr>
                            <w:rFonts w:ascii="Calibri"/>
                            <w:color w:val="585858"/>
                            <w:sz w:val="18"/>
                          </w:rPr>
                          <w:t>2027</w:t>
                        </w:r>
                        <w:r>
                          <w:rPr>
                            <w:rFonts w:ascii="Calibri"/>
                            <w:color w:val="585858"/>
                            <w:spacing w:val="50"/>
                            <w:sz w:val="18"/>
                          </w:rPr>
                          <w:t>  </w:t>
                        </w:r>
                        <w:r>
                          <w:rPr>
                            <w:rFonts w:ascii="Calibri"/>
                            <w:color w:val="585858"/>
                            <w:sz w:val="18"/>
                          </w:rPr>
                          <w:t>2028</w:t>
                        </w:r>
                        <w:r>
                          <w:rPr>
                            <w:rFonts w:ascii="Calibri"/>
                            <w:color w:val="585858"/>
                            <w:spacing w:val="48"/>
                            <w:sz w:val="18"/>
                          </w:rPr>
                          <w:t>  </w:t>
                        </w:r>
                        <w:r>
                          <w:rPr>
                            <w:rFonts w:ascii="Calibri"/>
                            <w:color w:val="585858"/>
                            <w:sz w:val="18"/>
                          </w:rPr>
                          <w:t>2029</w:t>
                        </w:r>
                        <w:r>
                          <w:rPr>
                            <w:rFonts w:ascii="Calibri"/>
                            <w:color w:val="585858"/>
                            <w:spacing w:val="49"/>
                            <w:sz w:val="18"/>
                          </w:rPr>
                          <w:t>  </w:t>
                        </w:r>
                        <w:r>
                          <w:rPr>
                            <w:rFonts w:ascii="Calibri"/>
                            <w:color w:val="585858"/>
                            <w:spacing w:val="-4"/>
                            <w:sz w:val="18"/>
                          </w:rPr>
                          <w:t>2030</w:t>
                        </w:r>
                      </w:p>
                    </w:txbxContent>
                  </v:textbox>
                  <w10:wrap type="none"/>
                </v:shape>
                <v:shape style="position:absolute;left:2179;top:3265;width:264;height:200" type="#_x0000_t202" id="docshape336" filled="false" stroked="false">
                  <v:textbox inset="0,0,0,0">
                    <w:txbxContent>
                      <w:p>
                        <w:pPr>
                          <w:spacing w:line="199" w:lineRule="exact" w:before="0"/>
                          <w:ind w:left="0" w:right="0" w:firstLine="0"/>
                          <w:jc w:val="left"/>
                          <w:rPr>
                            <w:rFonts w:ascii="Calibri"/>
                            <w:sz w:val="20"/>
                          </w:rPr>
                        </w:pPr>
                        <w:r>
                          <w:rPr>
                            <w:rFonts w:ascii="Calibri"/>
                            <w:spacing w:val="-5"/>
                            <w:sz w:val="20"/>
                          </w:rPr>
                          <w:t>0%</w:t>
                        </w:r>
                      </w:p>
                    </w:txbxContent>
                  </v:textbox>
                  <w10:wrap type="none"/>
                </v:shape>
                <v:shape style="position:absolute;left:3766;top:3001;width:521;height:200" type="#_x0000_t202" id="docshape337" filled="false" stroked="false">
                  <v:textbox inset="0,0,0,0">
                    <w:txbxContent>
                      <w:p>
                        <w:pPr>
                          <w:spacing w:line="199" w:lineRule="exact" w:before="0"/>
                          <w:ind w:left="0" w:right="0" w:firstLine="0"/>
                          <w:jc w:val="left"/>
                          <w:rPr>
                            <w:rFonts w:ascii="Calibri"/>
                            <w:b/>
                            <w:sz w:val="20"/>
                          </w:rPr>
                        </w:pPr>
                        <w:r>
                          <w:rPr>
                            <w:rFonts w:ascii="Calibri"/>
                            <w:b/>
                            <w:color w:val="EC7C30"/>
                            <w:spacing w:val="-2"/>
                            <w:sz w:val="20"/>
                          </w:rPr>
                          <w:t>10.0%</w:t>
                        </w:r>
                      </w:p>
                    </w:txbxContent>
                  </v:textbox>
                  <w10:wrap type="none"/>
                </v:shape>
                <v:shape style="position:absolute;left:9240;top:2757;width:420;height:200" type="#_x0000_t202" id="docshape338"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7.8%</w:t>
                        </w:r>
                      </w:p>
                    </w:txbxContent>
                  </v:textbox>
                  <w10:wrap type="none"/>
                </v:shape>
                <v:shape style="position:absolute;left:3170;top:2870;width:521;height:200" type="#_x0000_t202" id="docshape339" filled="false" stroked="false">
                  <v:textbox inset="0,0,0,0">
                    <w:txbxContent>
                      <w:p>
                        <w:pPr>
                          <w:spacing w:line="199" w:lineRule="exact" w:before="0"/>
                          <w:ind w:left="0" w:right="0" w:firstLine="0"/>
                          <w:jc w:val="left"/>
                          <w:rPr>
                            <w:rFonts w:ascii="Calibri"/>
                            <w:b/>
                            <w:sz w:val="20"/>
                          </w:rPr>
                        </w:pPr>
                        <w:r>
                          <w:rPr>
                            <w:rFonts w:ascii="Calibri"/>
                            <w:b/>
                            <w:color w:val="EC7C30"/>
                            <w:spacing w:val="-2"/>
                            <w:sz w:val="20"/>
                          </w:rPr>
                          <w:t>12.3%</w:t>
                        </w:r>
                      </w:p>
                    </w:txbxContent>
                  </v:textbox>
                  <w10:wrap type="none"/>
                </v:shape>
                <v:shape style="position:absolute;left:8811;top:2658;width:421;height:200" type="#_x0000_t202" id="docshape340" filled="false" stroked="false">
                  <v:textbox inset="0,0,0,0">
                    <w:txbxContent>
                      <w:p>
                        <w:pPr>
                          <w:spacing w:line="199" w:lineRule="exact" w:before="0"/>
                          <w:ind w:left="0" w:right="0" w:firstLine="0"/>
                          <w:jc w:val="left"/>
                          <w:rPr>
                            <w:rFonts w:ascii="Calibri"/>
                            <w:b/>
                            <w:sz w:val="20"/>
                          </w:rPr>
                        </w:pPr>
                        <w:r>
                          <w:rPr>
                            <w:rFonts w:ascii="Calibri"/>
                            <w:b/>
                            <w:color w:val="A4A4A4"/>
                            <w:spacing w:val="-4"/>
                            <w:sz w:val="20"/>
                          </w:rPr>
                          <w:t>8.5%</w:t>
                        </w:r>
                      </w:p>
                    </w:txbxContent>
                  </v:textbox>
                  <w10:wrap type="none"/>
                </v:shape>
                <v:shape style="position:absolute;left:6515;top:2494;width:2117;height:314" type="#_x0000_t202" id="docshape341" filled="false" stroked="false">
                  <v:textbox inset="0,0,0,0">
                    <w:txbxContent>
                      <w:p>
                        <w:pPr>
                          <w:spacing w:line="187" w:lineRule="auto" w:before="0"/>
                          <w:ind w:left="0" w:right="0" w:firstLine="0"/>
                          <w:jc w:val="left"/>
                          <w:rPr>
                            <w:rFonts w:ascii="Calibri"/>
                            <w:b/>
                            <w:position w:val="-10"/>
                            <w:sz w:val="20"/>
                          </w:rPr>
                        </w:pPr>
                        <w:r>
                          <w:rPr>
                            <w:rFonts w:ascii="Calibri"/>
                            <w:b/>
                            <w:color w:val="A4A4A4"/>
                            <w:sz w:val="20"/>
                          </w:rPr>
                          <w:t>11.9%</w:t>
                        </w:r>
                        <w:r>
                          <w:rPr>
                            <w:rFonts w:ascii="Calibri"/>
                            <w:b/>
                            <w:color w:val="A4A4A4"/>
                            <w:position w:val="-4"/>
                            <w:sz w:val="20"/>
                          </w:rPr>
                          <w:t>10.9%</w:t>
                        </w:r>
                        <w:r>
                          <w:rPr>
                            <w:rFonts w:ascii="Calibri"/>
                            <w:b/>
                            <w:color w:val="A4A4A4"/>
                            <w:spacing w:val="32"/>
                            <w:position w:val="-4"/>
                            <w:sz w:val="20"/>
                          </w:rPr>
                          <w:t> </w:t>
                        </w:r>
                        <w:r>
                          <w:rPr>
                            <w:rFonts w:ascii="Calibri"/>
                            <w:b/>
                            <w:color w:val="A4A4A4"/>
                            <w:position w:val="-7"/>
                            <w:sz w:val="20"/>
                          </w:rPr>
                          <w:t>10.0%</w:t>
                        </w:r>
                        <w:r>
                          <w:rPr>
                            <w:rFonts w:ascii="Calibri"/>
                            <w:b/>
                            <w:color w:val="A4A4A4"/>
                            <w:spacing w:val="43"/>
                            <w:position w:val="-7"/>
                            <w:sz w:val="20"/>
                          </w:rPr>
                          <w:t> </w:t>
                        </w:r>
                        <w:r>
                          <w:rPr>
                            <w:rFonts w:ascii="Calibri"/>
                            <w:b/>
                            <w:color w:val="A4A4A4"/>
                            <w:spacing w:val="-4"/>
                            <w:position w:val="-10"/>
                            <w:sz w:val="20"/>
                          </w:rPr>
                          <w:t>9.2%</w:t>
                        </w:r>
                      </w:p>
                    </w:txbxContent>
                  </v:textbox>
                  <w10:wrap type="none"/>
                </v:shape>
                <v:shape style="position:absolute;left:4304;top:2284;width:2184;height:837" type="#_x0000_t202" id="docshape342" filled="false" stroked="false">
                  <v:textbox inset="0,0,0,0">
                    <w:txbxContent>
                      <w:p>
                        <w:pPr>
                          <w:spacing w:line="187" w:lineRule="auto" w:before="0"/>
                          <w:ind w:left="0" w:right="0" w:firstLine="0"/>
                          <w:jc w:val="left"/>
                          <w:rPr>
                            <w:rFonts w:ascii="Calibri"/>
                            <w:b/>
                            <w:position w:val="-17"/>
                            <w:sz w:val="20"/>
                          </w:rPr>
                        </w:pPr>
                        <w:r>
                          <w:rPr>
                            <w:rFonts w:ascii="Calibri"/>
                            <w:b/>
                            <w:color w:val="A4A4A4"/>
                            <w:sz w:val="20"/>
                          </w:rPr>
                          <w:t>16.6%</w:t>
                        </w:r>
                        <w:r>
                          <w:rPr>
                            <w:rFonts w:ascii="Calibri"/>
                            <w:b/>
                            <w:color w:val="A4A4A4"/>
                            <w:spacing w:val="-1"/>
                            <w:sz w:val="20"/>
                          </w:rPr>
                          <w:t> </w:t>
                        </w:r>
                        <w:r>
                          <w:rPr>
                            <w:rFonts w:ascii="Calibri"/>
                            <w:b/>
                            <w:color w:val="A4A4A4"/>
                            <w:position w:val="-3"/>
                            <w:sz w:val="20"/>
                          </w:rPr>
                          <w:t>15.2%</w:t>
                        </w:r>
                        <w:r>
                          <w:rPr>
                            <w:rFonts w:ascii="Calibri"/>
                            <w:b/>
                            <w:color w:val="A4A4A4"/>
                            <w:spacing w:val="-17"/>
                            <w:position w:val="-3"/>
                            <w:sz w:val="20"/>
                          </w:rPr>
                          <w:t> </w:t>
                        </w:r>
                        <w:r>
                          <w:rPr>
                            <w:rFonts w:ascii="Calibri"/>
                            <w:b/>
                            <w:color w:val="A4A4A4"/>
                            <w:position w:val="-9"/>
                            <w:sz w:val="20"/>
                          </w:rPr>
                          <w:t>14.0%</w:t>
                        </w:r>
                        <w:r>
                          <w:rPr>
                            <w:rFonts w:ascii="Calibri"/>
                            <w:b/>
                            <w:color w:val="A4A4A4"/>
                            <w:spacing w:val="18"/>
                            <w:position w:val="-9"/>
                            <w:sz w:val="20"/>
                          </w:rPr>
                          <w:t> </w:t>
                        </w:r>
                        <w:r>
                          <w:rPr>
                            <w:rFonts w:ascii="Calibri"/>
                            <w:b/>
                            <w:color w:val="A4A4A4"/>
                            <w:spacing w:val="-2"/>
                            <w:position w:val="-17"/>
                            <w:sz w:val="20"/>
                          </w:rPr>
                          <w:t>12.9%</w:t>
                        </w:r>
                      </w:p>
                      <w:p>
                        <w:pPr>
                          <w:spacing w:line="280" w:lineRule="exact" w:before="186"/>
                          <w:ind w:left="39" w:right="0" w:firstLine="0"/>
                          <w:jc w:val="left"/>
                          <w:rPr>
                            <w:rFonts w:ascii="Calibri"/>
                            <w:b/>
                            <w:sz w:val="20"/>
                          </w:rPr>
                        </w:pPr>
                        <w:r>
                          <w:rPr>
                            <w:rFonts w:ascii="Calibri"/>
                            <w:b/>
                            <w:color w:val="EC7C30"/>
                            <w:position w:val="2"/>
                            <w:sz w:val="20"/>
                          </w:rPr>
                          <w:t>11.8%</w:t>
                        </w:r>
                        <w:r>
                          <w:rPr>
                            <w:rFonts w:ascii="Calibri"/>
                            <w:b/>
                            <w:color w:val="EC7C30"/>
                            <w:spacing w:val="-12"/>
                            <w:position w:val="2"/>
                            <w:sz w:val="20"/>
                          </w:rPr>
                          <w:t> </w:t>
                        </w:r>
                        <w:r>
                          <w:rPr>
                            <w:rFonts w:ascii="Calibri"/>
                            <w:b/>
                            <w:color w:val="EC7C30"/>
                            <w:position w:val="4"/>
                            <w:sz w:val="20"/>
                          </w:rPr>
                          <w:t>11.7%</w:t>
                        </w:r>
                        <w:r>
                          <w:rPr>
                            <w:rFonts w:ascii="Calibri"/>
                            <w:b/>
                            <w:color w:val="EC7C30"/>
                            <w:spacing w:val="18"/>
                            <w:position w:val="4"/>
                            <w:sz w:val="20"/>
                          </w:rPr>
                          <w:t> </w:t>
                        </w:r>
                        <w:r>
                          <w:rPr>
                            <w:rFonts w:ascii="Calibri"/>
                            <w:b/>
                            <w:color w:val="EC7C30"/>
                            <w:spacing w:val="-2"/>
                            <w:sz w:val="20"/>
                          </w:rPr>
                          <w:t>11.7%</w:t>
                        </w:r>
                      </w:p>
                    </w:txbxContent>
                  </v:textbox>
                  <w10:wrap type="none"/>
                </v:shape>
                <v:shape style="position:absolute;left:2078;top:2778;width:367;height:200" type="#_x0000_t202" id="docshape343" filled="false" stroked="false">
                  <v:textbox inset="0,0,0,0">
                    <w:txbxContent>
                      <w:p>
                        <w:pPr>
                          <w:spacing w:line="199" w:lineRule="exact" w:before="0"/>
                          <w:ind w:left="0" w:right="0" w:firstLine="0"/>
                          <w:jc w:val="left"/>
                          <w:rPr>
                            <w:rFonts w:ascii="Calibri"/>
                            <w:sz w:val="20"/>
                          </w:rPr>
                        </w:pPr>
                        <w:r>
                          <w:rPr>
                            <w:rFonts w:ascii="Calibri"/>
                            <w:spacing w:val="-5"/>
                            <w:sz w:val="20"/>
                          </w:rPr>
                          <w:t>10%</w:t>
                        </w:r>
                      </w:p>
                    </w:txbxContent>
                  </v:textbox>
                  <w10:wrap type="none"/>
                </v:shape>
                <v:shape style="position:absolute;left:2632;top:2084;width:1648;height:331" type="#_x0000_t202" id="docshape344" filled="false" stroked="false">
                  <v:textbox inset="0,0,0,0">
                    <w:txbxContent>
                      <w:p>
                        <w:pPr>
                          <w:spacing w:line="187" w:lineRule="auto" w:before="0"/>
                          <w:ind w:left="0" w:right="0" w:firstLine="0"/>
                          <w:jc w:val="left"/>
                          <w:rPr>
                            <w:rFonts w:ascii="Calibri"/>
                            <w:b/>
                            <w:position w:val="-8"/>
                            <w:sz w:val="20"/>
                          </w:rPr>
                        </w:pPr>
                        <w:r>
                          <w:rPr>
                            <w:rFonts w:ascii="Calibri"/>
                            <w:b/>
                            <w:color w:val="4471C4"/>
                            <w:position w:val="-12"/>
                            <w:sz w:val="20"/>
                          </w:rPr>
                          <w:t>16.0%</w:t>
                        </w:r>
                        <w:r>
                          <w:rPr>
                            <w:rFonts w:ascii="Calibri"/>
                            <w:b/>
                            <w:color w:val="4471C4"/>
                            <w:spacing w:val="59"/>
                            <w:position w:val="-12"/>
                            <w:sz w:val="20"/>
                          </w:rPr>
                          <w:t> </w:t>
                        </w:r>
                        <w:r>
                          <w:rPr>
                            <w:rFonts w:ascii="Calibri"/>
                            <w:b/>
                            <w:color w:val="A4A4A4"/>
                            <w:spacing w:val="-2"/>
                            <w:sz w:val="20"/>
                          </w:rPr>
                          <w:t>20.2%</w:t>
                        </w:r>
                        <w:r>
                          <w:rPr>
                            <w:rFonts w:ascii="Calibri"/>
                            <w:b/>
                            <w:color w:val="A4A4A4"/>
                            <w:spacing w:val="-2"/>
                            <w:position w:val="-8"/>
                            <w:sz w:val="20"/>
                          </w:rPr>
                          <w:t>18.0%</w:t>
                        </w:r>
                      </w:p>
                    </w:txbxContent>
                  </v:textbox>
                  <w10:wrap type="none"/>
                </v:shape>
                <v:shape style="position:absolute;left:2078;top:2291;width:367;height:200" type="#_x0000_t202" id="docshape345" filled="false" stroked="false">
                  <v:textbox inset="0,0,0,0">
                    <w:txbxContent>
                      <w:p>
                        <w:pPr>
                          <w:spacing w:line="199" w:lineRule="exact" w:before="0"/>
                          <w:ind w:left="0" w:right="0" w:firstLine="0"/>
                          <w:jc w:val="left"/>
                          <w:rPr>
                            <w:rFonts w:ascii="Calibri"/>
                            <w:sz w:val="20"/>
                          </w:rPr>
                        </w:pPr>
                        <w:r>
                          <w:rPr>
                            <w:rFonts w:ascii="Calibri"/>
                            <w:spacing w:val="-5"/>
                            <w:sz w:val="20"/>
                          </w:rPr>
                          <w:t>20%</w:t>
                        </w:r>
                      </w:p>
                    </w:txbxContent>
                  </v:textbox>
                  <w10:wrap type="none"/>
                </v:shape>
                <v:shape style="position:absolute;left:2078;top:343;width:367;height:1660" type="#_x0000_t202" id="docshape346" filled="false" stroked="false">
                  <v:textbox inset="0,0,0,0">
                    <w:txbxContent>
                      <w:p>
                        <w:pPr>
                          <w:spacing w:line="203" w:lineRule="exact" w:before="0"/>
                          <w:ind w:left="0" w:right="0" w:firstLine="0"/>
                          <w:jc w:val="left"/>
                          <w:rPr>
                            <w:rFonts w:ascii="Calibri"/>
                            <w:sz w:val="20"/>
                          </w:rPr>
                        </w:pPr>
                        <w:r>
                          <w:rPr>
                            <w:rFonts w:ascii="Calibri"/>
                            <w:spacing w:val="-5"/>
                            <w:sz w:val="20"/>
                          </w:rPr>
                          <w:t>60%</w:t>
                        </w:r>
                      </w:p>
                      <w:p>
                        <w:pPr>
                          <w:spacing w:before="242"/>
                          <w:ind w:left="0" w:right="0" w:firstLine="0"/>
                          <w:jc w:val="left"/>
                          <w:rPr>
                            <w:rFonts w:ascii="Calibri"/>
                            <w:sz w:val="20"/>
                          </w:rPr>
                        </w:pPr>
                        <w:r>
                          <w:rPr>
                            <w:rFonts w:ascii="Calibri"/>
                            <w:spacing w:val="-5"/>
                            <w:sz w:val="20"/>
                          </w:rPr>
                          <w:t>50%</w:t>
                        </w:r>
                      </w:p>
                      <w:p>
                        <w:pPr>
                          <w:spacing w:before="243"/>
                          <w:ind w:left="0" w:right="0" w:firstLine="0"/>
                          <w:jc w:val="left"/>
                          <w:rPr>
                            <w:rFonts w:ascii="Calibri"/>
                            <w:sz w:val="20"/>
                          </w:rPr>
                        </w:pPr>
                        <w:r>
                          <w:rPr>
                            <w:rFonts w:ascii="Calibri"/>
                            <w:spacing w:val="-5"/>
                            <w:sz w:val="20"/>
                          </w:rPr>
                          <w:t>40%</w:t>
                        </w:r>
                      </w:p>
                      <w:p>
                        <w:pPr>
                          <w:spacing w:line="240" w:lineRule="exact" w:before="243"/>
                          <w:ind w:left="0" w:right="0" w:firstLine="0"/>
                          <w:jc w:val="left"/>
                          <w:rPr>
                            <w:rFonts w:ascii="Calibri"/>
                            <w:sz w:val="20"/>
                          </w:rPr>
                        </w:pPr>
                        <w:r>
                          <w:rPr>
                            <w:rFonts w:ascii="Calibri"/>
                            <w:spacing w:val="-5"/>
                            <w:sz w:val="20"/>
                          </w:rPr>
                          <w:t>30%</w:t>
                        </w:r>
                      </w:p>
                    </w:txbxContent>
                  </v:textbox>
                  <w10:wrap type="none"/>
                </v:shape>
                <w10:wrap type="topAndBottom"/>
              </v:group>
            </w:pict>
          </mc:Fallback>
        </mc:AlternateContent>
      </w:r>
    </w:p>
    <w:p>
      <w:pPr>
        <w:pStyle w:val="BodyText"/>
        <w:spacing w:before="1"/>
        <w:rPr>
          <w:sz w:val="20"/>
        </w:rPr>
      </w:pPr>
    </w:p>
    <w:p>
      <w:pPr>
        <w:spacing w:line="328" w:lineRule="auto" w:before="0"/>
        <w:ind w:left="143" w:right="5492" w:firstLine="0"/>
        <w:jc w:val="left"/>
        <w:rPr>
          <w:sz w:val="16"/>
        </w:rPr>
      </w:pPr>
      <w:r>
        <w:rPr>
          <w:sz w:val="16"/>
        </w:rPr>
        <w:t>Fuente:</w:t>
      </w:r>
      <w:r>
        <w:rPr>
          <w:spacing w:val="-9"/>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pStyle w:val="BodyText"/>
        <w:rPr>
          <w:sz w:val="16"/>
        </w:rPr>
      </w:pPr>
    </w:p>
    <w:p>
      <w:pPr>
        <w:pStyle w:val="BodyText"/>
        <w:spacing w:before="21"/>
        <w:rPr>
          <w:sz w:val="16"/>
        </w:rPr>
      </w:pPr>
    </w:p>
    <w:p>
      <w:pPr>
        <w:spacing w:line="326" w:lineRule="auto" w:before="0"/>
        <w:ind w:left="143" w:right="703" w:firstLine="0"/>
        <w:jc w:val="both"/>
        <w:rPr>
          <w:sz w:val="24"/>
        </w:rPr>
      </w:pPr>
      <w:r>
        <w:rPr>
          <w:spacing w:val="-2"/>
          <w:sz w:val="24"/>
        </w:rPr>
        <w:t>El</w:t>
      </w:r>
      <w:r>
        <w:rPr>
          <w:spacing w:val="-15"/>
          <w:sz w:val="24"/>
        </w:rPr>
        <w:t> </w:t>
      </w:r>
      <w:r>
        <w:rPr>
          <w:spacing w:val="-2"/>
          <w:sz w:val="24"/>
        </w:rPr>
        <w:t>indicador</w:t>
      </w:r>
      <w:r>
        <w:rPr>
          <w:spacing w:val="-15"/>
          <w:sz w:val="24"/>
        </w:rPr>
        <w:t> </w:t>
      </w:r>
      <w:r>
        <w:rPr>
          <w:spacing w:val="-2"/>
          <w:sz w:val="24"/>
        </w:rPr>
        <w:t>“</w:t>
      </w:r>
      <w:r>
        <w:rPr>
          <w:rFonts w:ascii="Arial" w:hAnsi="Arial"/>
          <w:i/>
          <w:spacing w:val="-2"/>
          <w:sz w:val="24"/>
        </w:rPr>
        <w:t>Porcentaje</w:t>
      </w:r>
      <w:r>
        <w:rPr>
          <w:rFonts w:ascii="Arial" w:hAnsi="Arial"/>
          <w:i/>
          <w:spacing w:val="-14"/>
          <w:sz w:val="24"/>
        </w:rPr>
        <w:t> </w:t>
      </w:r>
      <w:r>
        <w:rPr>
          <w:rFonts w:ascii="Arial" w:hAnsi="Arial"/>
          <w:i/>
          <w:spacing w:val="-2"/>
          <w:sz w:val="24"/>
        </w:rPr>
        <w:t>de</w:t>
      </w:r>
      <w:r>
        <w:rPr>
          <w:rFonts w:ascii="Arial" w:hAnsi="Arial"/>
          <w:i/>
          <w:spacing w:val="-15"/>
          <w:sz w:val="24"/>
        </w:rPr>
        <w:t> </w:t>
      </w:r>
      <w:r>
        <w:rPr>
          <w:rFonts w:ascii="Arial" w:hAnsi="Arial"/>
          <w:i/>
          <w:spacing w:val="-2"/>
          <w:sz w:val="24"/>
        </w:rPr>
        <w:t>participación</w:t>
      </w:r>
      <w:r>
        <w:rPr>
          <w:rFonts w:ascii="Arial" w:hAnsi="Arial"/>
          <w:i/>
          <w:spacing w:val="-15"/>
          <w:sz w:val="24"/>
        </w:rPr>
        <w:t> </w:t>
      </w:r>
      <w:r>
        <w:rPr>
          <w:rFonts w:ascii="Arial" w:hAnsi="Arial"/>
          <w:i/>
          <w:spacing w:val="-2"/>
          <w:sz w:val="24"/>
        </w:rPr>
        <w:t>de</w:t>
      </w:r>
      <w:r>
        <w:rPr>
          <w:rFonts w:ascii="Arial" w:hAnsi="Arial"/>
          <w:i/>
          <w:spacing w:val="-15"/>
          <w:sz w:val="24"/>
        </w:rPr>
        <w:t> </w:t>
      </w:r>
      <w:r>
        <w:rPr>
          <w:rFonts w:ascii="Arial" w:hAnsi="Arial"/>
          <w:i/>
          <w:spacing w:val="-2"/>
          <w:sz w:val="24"/>
        </w:rPr>
        <w:t>la</w:t>
      </w:r>
      <w:r>
        <w:rPr>
          <w:rFonts w:ascii="Arial" w:hAnsi="Arial"/>
          <w:i/>
          <w:spacing w:val="-12"/>
          <w:sz w:val="24"/>
        </w:rPr>
        <w:t> </w:t>
      </w:r>
      <w:r>
        <w:rPr>
          <w:rFonts w:ascii="Arial" w:hAnsi="Arial"/>
          <w:i/>
          <w:spacing w:val="-2"/>
          <w:sz w:val="24"/>
        </w:rPr>
        <w:t>mujer</w:t>
      </w:r>
      <w:r>
        <w:rPr>
          <w:rFonts w:ascii="Arial" w:hAnsi="Arial"/>
          <w:i/>
          <w:spacing w:val="-14"/>
          <w:sz w:val="24"/>
        </w:rPr>
        <w:t> </w:t>
      </w:r>
      <w:r>
        <w:rPr>
          <w:rFonts w:ascii="Arial" w:hAnsi="Arial"/>
          <w:i/>
          <w:spacing w:val="-2"/>
          <w:sz w:val="24"/>
        </w:rPr>
        <w:t>en</w:t>
      </w:r>
      <w:r>
        <w:rPr>
          <w:rFonts w:ascii="Arial" w:hAnsi="Arial"/>
          <w:i/>
          <w:spacing w:val="-15"/>
          <w:sz w:val="24"/>
        </w:rPr>
        <w:t> </w:t>
      </w:r>
      <w:r>
        <w:rPr>
          <w:rFonts w:ascii="Arial" w:hAnsi="Arial"/>
          <w:i/>
          <w:spacing w:val="-2"/>
          <w:sz w:val="24"/>
        </w:rPr>
        <w:t>el</w:t>
      </w:r>
      <w:r>
        <w:rPr>
          <w:rFonts w:ascii="Arial" w:hAnsi="Arial"/>
          <w:i/>
          <w:spacing w:val="-15"/>
          <w:sz w:val="24"/>
        </w:rPr>
        <w:t> </w:t>
      </w:r>
      <w:r>
        <w:rPr>
          <w:rFonts w:ascii="Arial" w:hAnsi="Arial"/>
          <w:i/>
          <w:spacing w:val="-2"/>
          <w:sz w:val="24"/>
        </w:rPr>
        <w:t>servicio</w:t>
      </w:r>
      <w:r>
        <w:rPr>
          <w:rFonts w:ascii="Arial" w:hAnsi="Arial"/>
          <w:i/>
          <w:spacing w:val="-14"/>
          <w:sz w:val="24"/>
        </w:rPr>
        <w:t> </w:t>
      </w:r>
      <w:r>
        <w:rPr>
          <w:rFonts w:ascii="Arial" w:hAnsi="Arial"/>
          <w:i/>
          <w:spacing w:val="-2"/>
          <w:sz w:val="24"/>
        </w:rPr>
        <w:t>civil”</w:t>
      </w:r>
      <w:r>
        <w:rPr>
          <w:rFonts w:ascii="Arial" w:hAnsi="Arial"/>
          <w:i/>
          <w:spacing w:val="-13"/>
          <w:sz w:val="24"/>
        </w:rPr>
        <w:t> </w:t>
      </w:r>
      <w:r>
        <w:rPr>
          <w:spacing w:val="-2"/>
          <w:sz w:val="24"/>
        </w:rPr>
        <w:t>tiene</w:t>
      </w:r>
      <w:r>
        <w:rPr>
          <w:spacing w:val="-15"/>
          <w:sz w:val="24"/>
        </w:rPr>
        <w:t> </w:t>
      </w:r>
      <w:r>
        <w:rPr>
          <w:spacing w:val="-2"/>
          <w:sz w:val="24"/>
        </w:rPr>
        <w:t>como </w:t>
      </w:r>
      <w:r>
        <w:rPr>
          <w:sz w:val="24"/>
        </w:rPr>
        <w:t>fuente la ENAHO. Asimismo, el responsable del indicador es la SERVIR. Este indicador</w:t>
      </w:r>
      <w:r>
        <w:rPr>
          <w:spacing w:val="-9"/>
          <w:sz w:val="24"/>
        </w:rPr>
        <w:t> </w:t>
      </w:r>
      <w:r>
        <w:rPr>
          <w:sz w:val="24"/>
        </w:rPr>
        <w:t>tiene</w:t>
      </w:r>
      <w:r>
        <w:rPr>
          <w:spacing w:val="-9"/>
          <w:sz w:val="24"/>
        </w:rPr>
        <w:t> </w:t>
      </w:r>
      <w:r>
        <w:rPr>
          <w:sz w:val="24"/>
        </w:rPr>
        <w:t>un</w:t>
      </w:r>
      <w:r>
        <w:rPr>
          <w:spacing w:val="-9"/>
          <w:sz w:val="24"/>
        </w:rPr>
        <w:t> </w:t>
      </w:r>
      <w:r>
        <w:rPr>
          <w:sz w:val="24"/>
        </w:rPr>
        <w:t>sentido</w:t>
      </w:r>
      <w:r>
        <w:rPr>
          <w:spacing w:val="-5"/>
          <w:sz w:val="24"/>
        </w:rPr>
        <w:t> </w:t>
      </w:r>
      <w:r>
        <w:rPr>
          <w:sz w:val="24"/>
        </w:rPr>
        <w:t>ascendente</w:t>
      </w:r>
      <w:r>
        <w:rPr>
          <w:spacing w:val="-8"/>
          <w:sz w:val="24"/>
        </w:rPr>
        <w:t> </w:t>
      </w:r>
      <w:r>
        <w:rPr>
          <w:sz w:val="24"/>
        </w:rPr>
        <w:t>y</w:t>
      </w:r>
      <w:r>
        <w:rPr>
          <w:spacing w:val="-9"/>
          <w:sz w:val="24"/>
        </w:rPr>
        <w:t> </w:t>
      </w:r>
      <w:r>
        <w:rPr>
          <w:sz w:val="24"/>
        </w:rPr>
        <w:t>se</w:t>
      </w:r>
      <w:r>
        <w:rPr>
          <w:spacing w:val="-9"/>
          <w:sz w:val="24"/>
        </w:rPr>
        <w:t> </w:t>
      </w:r>
      <w:r>
        <w:rPr>
          <w:sz w:val="24"/>
        </w:rPr>
        <w:t>espera</w:t>
      </w:r>
      <w:r>
        <w:rPr>
          <w:spacing w:val="-9"/>
          <w:sz w:val="24"/>
        </w:rPr>
        <w:t> </w:t>
      </w:r>
      <w:r>
        <w:rPr>
          <w:sz w:val="24"/>
        </w:rPr>
        <w:t>que</w:t>
      </w:r>
      <w:r>
        <w:rPr>
          <w:spacing w:val="-9"/>
          <w:sz w:val="24"/>
        </w:rPr>
        <w:t> </w:t>
      </w:r>
      <w:r>
        <w:rPr>
          <w:sz w:val="24"/>
        </w:rPr>
        <w:t>su</w:t>
      </w:r>
      <w:r>
        <w:rPr>
          <w:spacing w:val="-9"/>
          <w:sz w:val="24"/>
        </w:rPr>
        <w:t> </w:t>
      </w:r>
      <w:r>
        <w:rPr>
          <w:sz w:val="24"/>
        </w:rPr>
        <w:t>valor</w:t>
      </w:r>
      <w:r>
        <w:rPr>
          <w:spacing w:val="-8"/>
          <w:sz w:val="24"/>
        </w:rPr>
        <w:t> </w:t>
      </w:r>
      <w:r>
        <w:rPr>
          <w:sz w:val="24"/>
        </w:rPr>
        <w:t>incremente</w:t>
      </w:r>
      <w:r>
        <w:rPr>
          <w:spacing w:val="-8"/>
          <w:sz w:val="24"/>
        </w:rPr>
        <w:t> </w:t>
      </w:r>
      <w:r>
        <w:rPr>
          <w:sz w:val="24"/>
        </w:rPr>
        <w:t>cada año. Al respecto:</w:t>
      </w:r>
    </w:p>
    <w:p>
      <w:pPr>
        <w:spacing w:after="0" w:line="326" w:lineRule="auto"/>
        <w:jc w:val="both"/>
        <w:rPr>
          <w:sz w:val="24"/>
        </w:rPr>
        <w:sectPr>
          <w:pgSz w:w="11910" w:h="16840"/>
          <w:pgMar w:header="713" w:footer="1000" w:top="1420" w:bottom="1200" w:left="1559" w:right="992"/>
        </w:sectPr>
      </w:pPr>
    </w:p>
    <w:p>
      <w:pPr>
        <w:pStyle w:val="ListParagraph"/>
        <w:numPr>
          <w:ilvl w:val="0"/>
          <w:numId w:val="11"/>
        </w:numPr>
        <w:tabs>
          <w:tab w:pos="862" w:val="left" w:leader="none"/>
        </w:tabs>
        <w:spacing w:line="326" w:lineRule="auto" w:before="126" w:after="0"/>
        <w:ind w:left="862" w:right="704" w:hanging="360"/>
        <w:jc w:val="both"/>
        <w:rPr>
          <w:sz w:val="24"/>
        </w:rPr>
      </w:pPr>
      <w:r>
        <w:rPr>
          <w:sz w:val="24"/>
        </w:rPr>
        <w:t>Para</w:t>
      </w:r>
      <w:r>
        <w:rPr>
          <w:spacing w:val="-1"/>
          <w:sz w:val="24"/>
        </w:rPr>
        <w:t> </w:t>
      </w:r>
      <w:r>
        <w:rPr>
          <w:sz w:val="24"/>
        </w:rPr>
        <w:t>el año 2023</w:t>
      </w:r>
      <w:r>
        <w:rPr>
          <w:spacing w:val="-3"/>
          <w:sz w:val="24"/>
        </w:rPr>
        <w:t> </w:t>
      </w:r>
      <w:r>
        <w:rPr>
          <w:sz w:val="24"/>
        </w:rPr>
        <w:t>el</w:t>
      </w:r>
      <w:r>
        <w:rPr>
          <w:spacing w:val="-1"/>
          <w:sz w:val="24"/>
        </w:rPr>
        <w:t> </w:t>
      </w:r>
      <w:r>
        <w:rPr>
          <w:sz w:val="24"/>
        </w:rPr>
        <w:t>valor</w:t>
      </w:r>
      <w:r>
        <w:rPr>
          <w:spacing w:val="-1"/>
          <w:sz w:val="24"/>
        </w:rPr>
        <w:t> </w:t>
      </w:r>
      <w:r>
        <w:rPr>
          <w:sz w:val="24"/>
        </w:rPr>
        <w:t>del indicador</w:t>
      </w:r>
      <w:r>
        <w:rPr>
          <w:spacing w:val="-1"/>
          <w:sz w:val="24"/>
        </w:rPr>
        <w:t> </w:t>
      </w:r>
      <w:r>
        <w:rPr>
          <w:sz w:val="24"/>
        </w:rPr>
        <w:t>reportó un</w:t>
      </w:r>
      <w:r>
        <w:rPr>
          <w:spacing w:val="-1"/>
          <w:sz w:val="24"/>
        </w:rPr>
        <w:t> </w:t>
      </w:r>
      <w:r>
        <w:rPr>
          <w:sz w:val="24"/>
        </w:rPr>
        <w:t>47.3% de participación de</w:t>
      </w:r>
      <w:r>
        <w:rPr>
          <w:spacing w:val="-1"/>
          <w:sz w:val="24"/>
        </w:rPr>
        <w:t> </w:t>
      </w:r>
      <w:r>
        <w:rPr>
          <w:sz w:val="24"/>
        </w:rPr>
        <w:t>la</w:t>
      </w:r>
      <w:r>
        <w:rPr>
          <w:spacing w:val="-5"/>
          <w:sz w:val="24"/>
        </w:rPr>
        <w:t> </w:t>
      </w:r>
      <w:r>
        <w:rPr>
          <w:sz w:val="24"/>
        </w:rPr>
        <w:t>mujer</w:t>
      </w:r>
      <w:r>
        <w:rPr>
          <w:spacing w:val="-4"/>
          <w:sz w:val="24"/>
        </w:rPr>
        <w:t> </w:t>
      </w:r>
      <w:r>
        <w:rPr>
          <w:sz w:val="24"/>
        </w:rPr>
        <w:t>en</w:t>
      </w:r>
      <w:r>
        <w:rPr>
          <w:spacing w:val="-1"/>
          <w:sz w:val="24"/>
        </w:rPr>
        <w:t> </w:t>
      </w:r>
      <w:r>
        <w:rPr>
          <w:sz w:val="24"/>
        </w:rPr>
        <w:t>el</w:t>
      </w:r>
      <w:r>
        <w:rPr>
          <w:spacing w:val="-4"/>
          <w:sz w:val="24"/>
        </w:rPr>
        <w:t> </w:t>
      </w:r>
      <w:r>
        <w:rPr>
          <w:sz w:val="24"/>
        </w:rPr>
        <w:t>servicio</w:t>
      </w:r>
      <w:r>
        <w:rPr>
          <w:spacing w:val="-4"/>
          <w:sz w:val="24"/>
        </w:rPr>
        <w:t> </w:t>
      </w:r>
      <w:r>
        <w:rPr>
          <w:sz w:val="24"/>
        </w:rPr>
        <w:t>civil,</w:t>
      </w:r>
      <w:r>
        <w:rPr>
          <w:spacing w:val="-4"/>
          <w:sz w:val="24"/>
        </w:rPr>
        <w:t> </w:t>
      </w:r>
      <w:r>
        <w:rPr>
          <w:sz w:val="24"/>
        </w:rPr>
        <w:t>lo</w:t>
      </w:r>
      <w:r>
        <w:rPr>
          <w:spacing w:val="-4"/>
          <w:sz w:val="24"/>
        </w:rPr>
        <w:t> </w:t>
      </w:r>
      <w:r>
        <w:rPr>
          <w:sz w:val="24"/>
        </w:rPr>
        <w:t>cual</w:t>
      </w:r>
      <w:r>
        <w:rPr>
          <w:spacing w:val="-4"/>
          <w:sz w:val="24"/>
        </w:rPr>
        <w:t> </w:t>
      </w:r>
      <w:r>
        <w:rPr>
          <w:sz w:val="24"/>
        </w:rPr>
        <w:t>se</w:t>
      </w:r>
      <w:r>
        <w:rPr>
          <w:spacing w:val="-1"/>
          <w:sz w:val="24"/>
        </w:rPr>
        <w:t> </w:t>
      </w:r>
      <w:r>
        <w:rPr>
          <w:sz w:val="24"/>
        </w:rPr>
        <w:t>encuentra</w:t>
      </w:r>
      <w:r>
        <w:rPr>
          <w:spacing w:val="-2"/>
          <w:sz w:val="24"/>
        </w:rPr>
        <w:t> </w:t>
      </w:r>
      <w:r>
        <w:rPr>
          <w:sz w:val="24"/>
        </w:rPr>
        <w:t>por</w:t>
      </w:r>
      <w:r>
        <w:rPr>
          <w:spacing w:val="-4"/>
          <w:sz w:val="24"/>
        </w:rPr>
        <w:t> </w:t>
      </w:r>
      <w:r>
        <w:rPr>
          <w:sz w:val="24"/>
        </w:rPr>
        <w:t>debajo</w:t>
      </w:r>
      <w:r>
        <w:rPr>
          <w:spacing w:val="-1"/>
          <w:sz w:val="24"/>
        </w:rPr>
        <w:t> </w:t>
      </w:r>
      <w:r>
        <w:rPr>
          <w:sz w:val="24"/>
        </w:rPr>
        <w:t>de</w:t>
      </w:r>
      <w:r>
        <w:rPr>
          <w:spacing w:val="-4"/>
          <w:sz w:val="24"/>
        </w:rPr>
        <w:t> </w:t>
      </w:r>
      <w:r>
        <w:rPr>
          <w:sz w:val="24"/>
        </w:rPr>
        <w:t>la</w:t>
      </w:r>
      <w:r>
        <w:rPr>
          <w:spacing w:val="-5"/>
          <w:sz w:val="24"/>
        </w:rPr>
        <w:t> </w:t>
      </w:r>
      <w:r>
        <w:rPr>
          <w:sz w:val="24"/>
        </w:rPr>
        <w:t>meta programada (50.8 %).</w:t>
      </w:r>
    </w:p>
    <w:p>
      <w:pPr>
        <w:pStyle w:val="ListParagraph"/>
        <w:numPr>
          <w:ilvl w:val="0"/>
          <w:numId w:val="11"/>
        </w:numPr>
        <w:tabs>
          <w:tab w:pos="862" w:val="left" w:leader="none"/>
        </w:tabs>
        <w:spacing w:line="326" w:lineRule="auto" w:before="0" w:after="0"/>
        <w:ind w:left="862" w:right="707" w:hanging="360"/>
        <w:jc w:val="both"/>
        <w:rPr>
          <w:sz w:val="24"/>
        </w:rPr>
      </w:pPr>
      <w:r>
        <w:rPr>
          <w:sz w:val="24"/>
        </w:rPr>
        <w:t>En ese sentido el nivel de avance, considerado como un nivel de cumplimiento medio, corresponde a 93.2% para el 2023 respecto a la meta programada. Asimismo, dicho nivel de avance ha disminuido en comparación con el año 2022 (95.1%) y 2021 (95.3%).</w:t>
      </w:r>
    </w:p>
    <w:p>
      <w:pPr>
        <w:pStyle w:val="ListParagraph"/>
        <w:numPr>
          <w:ilvl w:val="0"/>
          <w:numId w:val="11"/>
        </w:numPr>
        <w:tabs>
          <w:tab w:pos="862" w:val="left" w:leader="none"/>
        </w:tabs>
        <w:spacing w:line="326" w:lineRule="auto" w:before="1" w:after="0"/>
        <w:ind w:left="862" w:right="703" w:hanging="360"/>
        <w:jc w:val="both"/>
        <w:rPr>
          <w:sz w:val="24"/>
        </w:rPr>
      </w:pPr>
      <w:r>
        <w:rPr>
          <w:sz w:val="24"/>
        </w:rPr>
        <w:t>Asimismo, se observa que el valor del indicador disminuyo en 0.5 p.p. respecto del 2022 (47.8%), registra el mismo valor del 2021 (47.3%) e incrementó en 0.3 p.p. respecto al 2019 con lo que se aprecia una tendencia descendente, contraria a la tendencia de las metas </w:t>
      </w:r>
      <w:r>
        <w:rPr>
          <w:spacing w:val="-2"/>
          <w:sz w:val="24"/>
        </w:rPr>
        <w:t>programadas.</w:t>
      </w:r>
    </w:p>
    <w:p>
      <w:pPr>
        <w:pStyle w:val="BodyText"/>
        <w:spacing w:before="255"/>
      </w:pPr>
    </w:p>
    <w:p>
      <w:pPr>
        <w:spacing w:before="0"/>
        <w:ind w:left="1386" w:right="0" w:firstLine="0"/>
        <w:jc w:val="left"/>
        <w:rPr>
          <w:sz w:val="20"/>
        </w:rPr>
      </w:pPr>
      <w:r>
        <w:rPr>
          <w:color w:val="44536A"/>
          <w:sz w:val="20"/>
        </w:rPr>
        <w:t>Gráfico</w:t>
      </w:r>
      <w:r>
        <w:rPr>
          <w:color w:val="44536A"/>
          <w:spacing w:val="-3"/>
          <w:sz w:val="20"/>
        </w:rPr>
        <w:t> </w:t>
      </w:r>
      <w:r>
        <w:rPr>
          <w:color w:val="44536A"/>
          <w:sz w:val="20"/>
        </w:rPr>
        <w:t>8.</w:t>
      </w:r>
      <w:r>
        <w:rPr>
          <w:color w:val="44536A"/>
          <w:spacing w:val="-3"/>
          <w:sz w:val="20"/>
        </w:rPr>
        <w:t> </w:t>
      </w:r>
      <w:r>
        <w:rPr>
          <w:color w:val="44536A"/>
          <w:sz w:val="20"/>
        </w:rPr>
        <w:t>Porcentaje</w:t>
      </w:r>
      <w:r>
        <w:rPr>
          <w:color w:val="44536A"/>
          <w:spacing w:val="-4"/>
          <w:sz w:val="20"/>
        </w:rPr>
        <w:t> </w:t>
      </w:r>
      <w:r>
        <w:rPr>
          <w:color w:val="44536A"/>
          <w:sz w:val="20"/>
        </w:rPr>
        <w:t>de</w:t>
      </w:r>
      <w:r>
        <w:rPr>
          <w:color w:val="44536A"/>
          <w:spacing w:val="-3"/>
          <w:sz w:val="20"/>
        </w:rPr>
        <w:t> </w:t>
      </w:r>
      <w:r>
        <w:rPr>
          <w:color w:val="44536A"/>
          <w:sz w:val="20"/>
        </w:rPr>
        <w:t>participación</w:t>
      </w:r>
      <w:r>
        <w:rPr>
          <w:color w:val="44536A"/>
          <w:spacing w:val="-4"/>
          <w:sz w:val="20"/>
        </w:rPr>
        <w:t> </w:t>
      </w:r>
      <w:r>
        <w:rPr>
          <w:color w:val="44536A"/>
          <w:sz w:val="20"/>
        </w:rPr>
        <w:t>de</w:t>
      </w:r>
      <w:r>
        <w:rPr>
          <w:color w:val="44536A"/>
          <w:spacing w:val="-3"/>
          <w:sz w:val="20"/>
        </w:rPr>
        <w:t> </w:t>
      </w:r>
      <w:r>
        <w:rPr>
          <w:color w:val="44536A"/>
          <w:sz w:val="20"/>
        </w:rPr>
        <w:t>la</w:t>
      </w:r>
      <w:r>
        <w:rPr>
          <w:color w:val="44536A"/>
          <w:spacing w:val="-3"/>
          <w:sz w:val="20"/>
        </w:rPr>
        <w:t> </w:t>
      </w:r>
      <w:r>
        <w:rPr>
          <w:color w:val="44536A"/>
          <w:sz w:val="20"/>
        </w:rPr>
        <w:t>mujer</w:t>
      </w:r>
      <w:r>
        <w:rPr>
          <w:color w:val="44536A"/>
          <w:spacing w:val="-5"/>
          <w:sz w:val="20"/>
        </w:rPr>
        <w:t> </w:t>
      </w:r>
      <w:r>
        <w:rPr>
          <w:color w:val="44536A"/>
          <w:sz w:val="20"/>
        </w:rPr>
        <w:t>en</w:t>
      </w:r>
      <w:r>
        <w:rPr>
          <w:color w:val="44536A"/>
          <w:spacing w:val="-3"/>
          <w:sz w:val="20"/>
        </w:rPr>
        <w:t> </w:t>
      </w:r>
      <w:r>
        <w:rPr>
          <w:color w:val="44536A"/>
          <w:sz w:val="20"/>
        </w:rPr>
        <w:t>el</w:t>
      </w:r>
      <w:r>
        <w:rPr>
          <w:color w:val="44536A"/>
          <w:spacing w:val="3"/>
          <w:sz w:val="20"/>
        </w:rPr>
        <w:t> </w:t>
      </w:r>
      <w:r>
        <w:rPr>
          <w:color w:val="44536A"/>
          <w:sz w:val="20"/>
        </w:rPr>
        <w:t>servicio</w:t>
      </w:r>
      <w:r>
        <w:rPr>
          <w:color w:val="44536A"/>
          <w:spacing w:val="-2"/>
          <w:sz w:val="20"/>
        </w:rPr>
        <w:t> civil</w:t>
      </w:r>
    </w:p>
    <w:p>
      <w:pPr>
        <w:pStyle w:val="BodyText"/>
        <w:rPr>
          <w:sz w:val="16"/>
        </w:rPr>
      </w:pPr>
      <w:r>
        <w:rPr>
          <w:sz w:val="16"/>
        </w:rPr>
        <mc:AlternateContent>
          <mc:Choice Requires="wps">
            <w:drawing>
              <wp:anchor distT="0" distB="0" distL="0" distR="0" allowOverlap="1" layoutInCell="1" locked="0" behindDoc="1" simplePos="0" relativeHeight="487592960">
                <wp:simplePos x="0" y="0"/>
                <wp:positionH relativeFrom="page">
                  <wp:posOffset>1205230</wp:posOffset>
                </wp:positionH>
                <wp:positionV relativeFrom="paragraph">
                  <wp:posOffset>132595</wp:posOffset>
                </wp:positionV>
                <wp:extent cx="5149850" cy="2740025"/>
                <wp:effectExtent l="0" t="0" r="0" b="0"/>
                <wp:wrapTopAndBottom/>
                <wp:docPr id="350" name="Group 350"/>
                <wp:cNvGraphicFramePr>
                  <a:graphicFrameLocks/>
                </wp:cNvGraphicFramePr>
                <a:graphic>
                  <a:graphicData uri="http://schemas.microsoft.com/office/word/2010/wordprocessingGroup">
                    <wpg:wgp>
                      <wpg:cNvPr id="350" name="Group 350"/>
                      <wpg:cNvGrpSpPr/>
                      <wpg:grpSpPr>
                        <a:xfrm>
                          <a:off x="0" y="0"/>
                          <a:ext cx="5149850" cy="2740025"/>
                          <a:chExt cx="5149850" cy="2740025"/>
                        </a:xfrm>
                      </wpg:grpSpPr>
                      <wps:wsp>
                        <wps:cNvPr id="351" name="Graphic 351"/>
                        <wps:cNvSpPr/>
                        <wps:spPr>
                          <a:xfrm>
                            <a:off x="382777" y="144145"/>
                            <a:ext cx="40640" cy="2007870"/>
                          </a:xfrm>
                          <a:custGeom>
                            <a:avLst/>
                            <a:gdLst/>
                            <a:ahLst/>
                            <a:cxnLst/>
                            <a:rect l="l" t="t" r="r" b="b"/>
                            <a:pathLst>
                              <a:path w="40640" h="2007870">
                                <a:moveTo>
                                  <a:pt x="40385" y="2007616"/>
                                </a:moveTo>
                                <a:lnTo>
                                  <a:pt x="40385" y="0"/>
                                </a:lnTo>
                              </a:path>
                              <a:path w="40640" h="2007870">
                                <a:moveTo>
                                  <a:pt x="0" y="2007616"/>
                                </a:moveTo>
                                <a:lnTo>
                                  <a:pt x="40385" y="2007616"/>
                                </a:lnTo>
                              </a:path>
                              <a:path w="40640" h="2007870">
                                <a:moveTo>
                                  <a:pt x="0" y="1605661"/>
                                </a:moveTo>
                                <a:lnTo>
                                  <a:pt x="40385" y="1605661"/>
                                </a:lnTo>
                              </a:path>
                              <a:path w="40640" h="2007870">
                                <a:moveTo>
                                  <a:pt x="0" y="1204849"/>
                                </a:moveTo>
                                <a:lnTo>
                                  <a:pt x="40385" y="1204849"/>
                                </a:lnTo>
                              </a:path>
                              <a:path w="40640" h="2007870">
                                <a:moveTo>
                                  <a:pt x="0" y="802513"/>
                                </a:moveTo>
                                <a:lnTo>
                                  <a:pt x="40385" y="802513"/>
                                </a:lnTo>
                              </a:path>
                              <a:path w="40640" h="2007870">
                                <a:moveTo>
                                  <a:pt x="0" y="401700"/>
                                </a:moveTo>
                                <a:lnTo>
                                  <a:pt x="40385" y="401700"/>
                                </a:lnTo>
                              </a:path>
                              <a:path w="40640" h="2007870">
                                <a:moveTo>
                                  <a:pt x="0" y="0"/>
                                </a:moveTo>
                                <a:lnTo>
                                  <a:pt x="40385" y="0"/>
                                </a:lnTo>
                              </a:path>
                            </a:pathLst>
                          </a:custGeom>
                          <a:ln w="6350">
                            <a:solidFill>
                              <a:srgbClr val="888888"/>
                            </a:solidFill>
                            <a:prstDash val="solid"/>
                          </a:ln>
                        </wps:spPr>
                        <wps:bodyPr wrap="square" lIns="0" tIns="0" rIns="0" bIns="0" rtlCol="0">
                          <a:prstTxWarp prst="textNoShape">
                            <a:avLst/>
                          </a:prstTxWarp>
                          <a:noAutofit/>
                        </wps:bodyPr>
                      </wps:wsp>
                      <wps:wsp>
                        <wps:cNvPr id="352" name="Graphic 352"/>
                        <wps:cNvSpPr/>
                        <wps:spPr>
                          <a:xfrm>
                            <a:off x="423163" y="2151760"/>
                            <a:ext cx="4584065" cy="36195"/>
                          </a:xfrm>
                          <a:custGeom>
                            <a:avLst/>
                            <a:gdLst/>
                            <a:ahLst/>
                            <a:cxnLst/>
                            <a:rect l="l" t="t" r="r" b="b"/>
                            <a:pathLst>
                              <a:path w="4584065" h="36195">
                                <a:moveTo>
                                  <a:pt x="0" y="0"/>
                                </a:moveTo>
                                <a:lnTo>
                                  <a:pt x="4583810" y="0"/>
                                </a:lnTo>
                              </a:path>
                              <a:path w="4584065" h="36195">
                                <a:moveTo>
                                  <a:pt x="0" y="0"/>
                                </a:moveTo>
                                <a:lnTo>
                                  <a:pt x="0" y="36194"/>
                                </a:lnTo>
                              </a:path>
                              <a:path w="4584065" h="36195">
                                <a:moveTo>
                                  <a:pt x="352806" y="0"/>
                                </a:moveTo>
                                <a:lnTo>
                                  <a:pt x="352806" y="36194"/>
                                </a:lnTo>
                              </a:path>
                              <a:path w="4584065" h="36195">
                                <a:moveTo>
                                  <a:pt x="704850" y="0"/>
                                </a:moveTo>
                                <a:lnTo>
                                  <a:pt x="704850" y="36194"/>
                                </a:lnTo>
                              </a:path>
                              <a:path w="4584065" h="36195">
                                <a:moveTo>
                                  <a:pt x="1058418" y="0"/>
                                </a:moveTo>
                                <a:lnTo>
                                  <a:pt x="1058418" y="36194"/>
                                </a:lnTo>
                              </a:path>
                              <a:path w="4584065" h="36195">
                                <a:moveTo>
                                  <a:pt x="1410462" y="0"/>
                                </a:moveTo>
                                <a:lnTo>
                                  <a:pt x="1410462" y="36194"/>
                                </a:lnTo>
                              </a:path>
                              <a:path w="4584065" h="36195">
                                <a:moveTo>
                                  <a:pt x="1762506" y="0"/>
                                </a:moveTo>
                                <a:lnTo>
                                  <a:pt x="1762506" y="36194"/>
                                </a:lnTo>
                              </a:path>
                              <a:path w="4584065" h="36195">
                                <a:moveTo>
                                  <a:pt x="2116073" y="0"/>
                                </a:moveTo>
                                <a:lnTo>
                                  <a:pt x="2116073" y="36194"/>
                                </a:lnTo>
                              </a:path>
                              <a:path w="4584065" h="36195">
                                <a:moveTo>
                                  <a:pt x="2468118" y="0"/>
                                </a:moveTo>
                                <a:lnTo>
                                  <a:pt x="2468118" y="36194"/>
                                </a:lnTo>
                              </a:path>
                              <a:path w="4584065" h="36195">
                                <a:moveTo>
                                  <a:pt x="2820161" y="0"/>
                                </a:moveTo>
                                <a:lnTo>
                                  <a:pt x="2820161" y="36194"/>
                                </a:lnTo>
                              </a:path>
                              <a:path w="4584065" h="36195">
                                <a:moveTo>
                                  <a:pt x="3173730" y="0"/>
                                </a:moveTo>
                                <a:lnTo>
                                  <a:pt x="3173730" y="36194"/>
                                </a:lnTo>
                              </a:path>
                              <a:path w="4584065" h="36195">
                                <a:moveTo>
                                  <a:pt x="3525774" y="0"/>
                                </a:moveTo>
                                <a:lnTo>
                                  <a:pt x="3525774" y="36194"/>
                                </a:lnTo>
                              </a:path>
                              <a:path w="4584065" h="36195">
                                <a:moveTo>
                                  <a:pt x="3879342" y="0"/>
                                </a:moveTo>
                                <a:lnTo>
                                  <a:pt x="3879342" y="36194"/>
                                </a:lnTo>
                              </a:path>
                              <a:path w="4584065" h="36195">
                                <a:moveTo>
                                  <a:pt x="4231385" y="0"/>
                                </a:moveTo>
                                <a:lnTo>
                                  <a:pt x="4231385" y="36194"/>
                                </a:lnTo>
                              </a:path>
                              <a:path w="4584065" h="36195">
                                <a:moveTo>
                                  <a:pt x="4583810" y="0"/>
                                </a:moveTo>
                                <a:lnTo>
                                  <a:pt x="4583810" y="36194"/>
                                </a:lnTo>
                              </a:path>
                            </a:pathLst>
                          </a:custGeom>
                          <a:ln w="9525">
                            <a:solidFill>
                              <a:srgbClr val="D9D9D9"/>
                            </a:solidFill>
                            <a:prstDash val="solid"/>
                          </a:ln>
                        </wps:spPr>
                        <wps:bodyPr wrap="square" lIns="0" tIns="0" rIns="0" bIns="0" rtlCol="0">
                          <a:prstTxWarp prst="textNoShape">
                            <a:avLst/>
                          </a:prstTxWarp>
                          <a:noAutofit/>
                        </wps:bodyPr>
                      </wps:wsp>
                      <wps:wsp>
                        <wps:cNvPr id="353" name="Graphic 353"/>
                        <wps:cNvSpPr/>
                        <wps:spPr>
                          <a:xfrm>
                            <a:off x="951991" y="569722"/>
                            <a:ext cx="3879215" cy="490220"/>
                          </a:xfrm>
                          <a:custGeom>
                            <a:avLst/>
                            <a:gdLst/>
                            <a:ahLst/>
                            <a:cxnLst/>
                            <a:rect l="l" t="t" r="r" b="b"/>
                            <a:pathLst>
                              <a:path w="3879215" h="490220">
                                <a:moveTo>
                                  <a:pt x="0" y="489838"/>
                                </a:moveTo>
                                <a:lnTo>
                                  <a:pt x="352805" y="448563"/>
                                </a:lnTo>
                                <a:lnTo>
                                  <a:pt x="704850" y="401319"/>
                                </a:lnTo>
                                <a:lnTo>
                                  <a:pt x="1058417" y="361695"/>
                                </a:lnTo>
                                <a:lnTo>
                                  <a:pt x="1410462" y="312927"/>
                                </a:lnTo>
                                <a:lnTo>
                                  <a:pt x="1762505" y="265683"/>
                                </a:lnTo>
                                <a:lnTo>
                                  <a:pt x="2116074" y="224535"/>
                                </a:lnTo>
                                <a:lnTo>
                                  <a:pt x="2468117" y="177291"/>
                                </a:lnTo>
                                <a:lnTo>
                                  <a:pt x="2820162" y="136143"/>
                                </a:lnTo>
                                <a:lnTo>
                                  <a:pt x="3173729" y="88900"/>
                                </a:lnTo>
                                <a:lnTo>
                                  <a:pt x="3525774" y="40131"/>
                                </a:lnTo>
                                <a:lnTo>
                                  <a:pt x="3878706" y="0"/>
                                </a:lnTo>
                              </a:path>
                            </a:pathLst>
                          </a:custGeom>
                          <a:ln w="28575">
                            <a:solidFill>
                              <a:srgbClr val="A4A4A4"/>
                            </a:solidFill>
                            <a:prstDash val="solid"/>
                          </a:ln>
                        </wps:spPr>
                        <wps:bodyPr wrap="square" lIns="0" tIns="0" rIns="0" bIns="0" rtlCol="0">
                          <a:prstTxWarp prst="textNoShape">
                            <a:avLst/>
                          </a:prstTxWarp>
                          <a:noAutofit/>
                        </wps:bodyPr>
                      </wps:wsp>
                      <pic:pic>
                        <pic:nvPicPr>
                          <pic:cNvPr id="354" name="Image 354"/>
                          <pic:cNvPicPr/>
                        </pic:nvPicPr>
                        <pic:blipFill>
                          <a:blip r:embed="rId9" cstate="print"/>
                          <a:stretch>
                            <a:fillRect/>
                          </a:stretch>
                        </pic:blipFill>
                        <pic:spPr>
                          <a:xfrm>
                            <a:off x="915860" y="1022540"/>
                            <a:ext cx="73533" cy="73533"/>
                          </a:xfrm>
                          <a:prstGeom prst="rect">
                            <a:avLst/>
                          </a:prstGeom>
                        </pic:spPr>
                      </pic:pic>
                      <pic:pic>
                        <pic:nvPicPr>
                          <pic:cNvPr id="355" name="Image 355"/>
                          <pic:cNvPicPr/>
                        </pic:nvPicPr>
                        <pic:blipFill>
                          <a:blip r:embed="rId11" cstate="print"/>
                          <a:stretch>
                            <a:fillRect/>
                          </a:stretch>
                        </pic:blipFill>
                        <pic:spPr>
                          <a:xfrm>
                            <a:off x="1267904" y="981392"/>
                            <a:ext cx="73532" cy="73533"/>
                          </a:xfrm>
                          <a:prstGeom prst="rect">
                            <a:avLst/>
                          </a:prstGeom>
                        </pic:spPr>
                      </pic:pic>
                      <pic:pic>
                        <pic:nvPicPr>
                          <pic:cNvPr id="356" name="Image 356"/>
                          <pic:cNvPicPr/>
                        </pic:nvPicPr>
                        <pic:blipFill>
                          <a:blip r:embed="rId11" cstate="print"/>
                          <a:stretch>
                            <a:fillRect/>
                          </a:stretch>
                        </pic:blipFill>
                        <pic:spPr>
                          <a:xfrm>
                            <a:off x="1619948" y="934148"/>
                            <a:ext cx="73532" cy="73532"/>
                          </a:xfrm>
                          <a:prstGeom prst="rect">
                            <a:avLst/>
                          </a:prstGeom>
                        </pic:spPr>
                      </pic:pic>
                      <pic:pic>
                        <pic:nvPicPr>
                          <pic:cNvPr id="357" name="Image 357"/>
                          <pic:cNvPicPr/>
                        </pic:nvPicPr>
                        <pic:blipFill>
                          <a:blip r:embed="rId9" cstate="print"/>
                          <a:stretch>
                            <a:fillRect/>
                          </a:stretch>
                        </pic:blipFill>
                        <pic:spPr>
                          <a:xfrm>
                            <a:off x="1973516" y="894524"/>
                            <a:ext cx="73533" cy="73532"/>
                          </a:xfrm>
                          <a:prstGeom prst="rect">
                            <a:avLst/>
                          </a:prstGeom>
                        </pic:spPr>
                      </pic:pic>
                      <pic:pic>
                        <pic:nvPicPr>
                          <pic:cNvPr id="358" name="Image 358"/>
                          <pic:cNvPicPr/>
                        </pic:nvPicPr>
                        <pic:blipFill>
                          <a:blip r:embed="rId11" cstate="print"/>
                          <a:stretch>
                            <a:fillRect/>
                          </a:stretch>
                        </pic:blipFill>
                        <pic:spPr>
                          <a:xfrm>
                            <a:off x="2325560" y="845756"/>
                            <a:ext cx="73533" cy="73533"/>
                          </a:xfrm>
                          <a:prstGeom prst="rect">
                            <a:avLst/>
                          </a:prstGeom>
                        </pic:spPr>
                      </pic:pic>
                      <pic:pic>
                        <pic:nvPicPr>
                          <pic:cNvPr id="359" name="Image 359"/>
                          <pic:cNvPicPr/>
                        </pic:nvPicPr>
                        <pic:blipFill>
                          <a:blip r:embed="rId9" cstate="print"/>
                          <a:stretch>
                            <a:fillRect/>
                          </a:stretch>
                        </pic:blipFill>
                        <pic:spPr>
                          <a:xfrm>
                            <a:off x="2677604" y="798512"/>
                            <a:ext cx="73532" cy="73532"/>
                          </a:xfrm>
                          <a:prstGeom prst="rect">
                            <a:avLst/>
                          </a:prstGeom>
                        </pic:spPr>
                      </pic:pic>
                      <pic:pic>
                        <pic:nvPicPr>
                          <pic:cNvPr id="360" name="Image 360"/>
                          <pic:cNvPicPr/>
                        </pic:nvPicPr>
                        <pic:blipFill>
                          <a:blip r:embed="rId10" cstate="print"/>
                          <a:stretch>
                            <a:fillRect/>
                          </a:stretch>
                        </pic:blipFill>
                        <pic:spPr>
                          <a:xfrm>
                            <a:off x="3031172" y="757364"/>
                            <a:ext cx="73533" cy="73533"/>
                          </a:xfrm>
                          <a:prstGeom prst="rect">
                            <a:avLst/>
                          </a:prstGeom>
                        </pic:spPr>
                      </pic:pic>
                      <pic:pic>
                        <pic:nvPicPr>
                          <pic:cNvPr id="361" name="Image 361"/>
                          <pic:cNvPicPr/>
                        </pic:nvPicPr>
                        <pic:blipFill>
                          <a:blip r:embed="rId11" cstate="print"/>
                          <a:stretch>
                            <a:fillRect/>
                          </a:stretch>
                        </pic:blipFill>
                        <pic:spPr>
                          <a:xfrm>
                            <a:off x="3383216" y="710120"/>
                            <a:ext cx="73532" cy="73533"/>
                          </a:xfrm>
                          <a:prstGeom prst="rect">
                            <a:avLst/>
                          </a:prstGeom>
                        </pic:spPr>
                      </pic:pic>
                      <pic:pic>
                        <pic:nvPicPr>
                          <pic:cNvPr id="362" name="Image 362"/>
                          <pic:cNvPicPr/>
                        </pic:nvPicPr>
                        <pic:blipFill>
                          <a:blip r:embed="rId11" cstate="print"/>
                          <a:stretch>
                            <a:fillRect/>
                          </a:stretch>
                        </pic:blipFill>
                        <pic:spPr>
                          <a:xfrm>
                            <a:off x="3735260" y="668972"/>
                            <a:ext cx="73533" cy="73532"/>
                          </a:xfrm>
                          <a:prstGeom prst="rect">
                            <a:avLst/>
                          </a:prstGeom>
                        </pic:spPr>
                      </pic:pic>
                      <pic:pic>
                        <pic:nvPicPr>
                          <pic:cNvPr id="363" name="Image 363"/>
                          <pic:cNvPicPr/>
                        </pic:nvPicPr>
                        <pic:blipFill>
                          <a:blip r:embed="rId8" cstate="print"/>
                          <a:stretch>
                            <a:fillRect/>
                          </a:stretch>
                        </pic:blipFill>
                        <pic:spPr>
                          <a:xfrm>
                            <a:off x="4088828" y="621728"/>
                            <a:ext cx="73532" cy="73533"/>
                          </a:xfrm>
                          <a:prstGeom prst="rect">
                            <a:avLst/>
                          </a:prstGeom>
                        </pic:spPr>
                      </pic:pic>
                      <pic:pic>
                        <pic:nvPicPr>
                          <pic:cNvPr id="364" name="Image 364"/>
                          <pic:cNvPicPr/>
                        </pic:nvPicPr>
                        <pic:blipFill>
                          <a:blip r:embed="rId8" cstate="print"/>
                          <a:stretch>
                            <a:fillRect/>
                          </a:stretch>
                        </pic:blipFill>
                        <pic:spPr>
                          <a:xfrm>
                            <a:off x="4440872" y="572960"/>
                            <a:ext cx="73533" cy="73532"/>
                          </a:xfrm>
                          <a:prstGeom prst="rect">
                            <a:avLst/>
                          </a:prstGeom>
                        </pic:spPr>
                      </pic:pic>
                      <pic:pic>
                        <pic:nvPicPr>
                          <pic:cNvPr id="365" name="Image 365"/>
                          <pic:cNvPicPr/>
                        </pic:nvPicPr>
                        <pic:blipFill>
                          <a:blip r:embed="rId10" cstate="print"/>
                          <a:stretch>
                            <a:fillRect/>
                          </a:stretch>
                        </pic:blipFill>
                        <pic:spPr>
                          <a:xfrm>
                            <a:off x="4794440" y="533336"/>
                            <a:ext cx="73532" cy="73532"/>
                          </a:xfrm>
                          <a:prstGeom prst="rect">
                            <a:avLst/>
                          </a:prstGeom>
                        </pic:spPr>
                      </pic:pic>
                      <wps:wsp>
                        <wps:cNvPr id="366" name="Graphic 366"/>
                        <wps:cNvSpPr/>
                        <wps:spPr>
                          <a:xfrm>
                            <a:off x="951991" y="1083691"/>
                            <a:ext cx="1410970" cy="104775"/>
                          </a:xfrm>
                          <a:custGeom>
                            <a:avLst/>
                            <a:gdLst/>
                            <a:ahLst/>
                            <a:cxnLst/>
                            <a:rect l="l" t="t" r="r" b="b"/>
                            <a:pathLst>
                              <a:path w="1410970" h="104775">
                                <a:moveTo>
                                  <a:pt x="0" y="104394"/>
                                </a:moveTo>
                                <a:lnTo>
                                  <a:pt x="352805" y="0"/>
                                </a:lnTo>
                                <a:lnTo>
                                  <a:pt x="704850" y="80899"/>
                                </a:lnTo>
                                <a:lnTo>
                                  <a:pt x="1058417" y="39750"/>
                                </a:lnTo>
                                <a:lnTo>
                                  <a:pt x="1410462" y="80899"/>
                                </a:lnTo>
                              </a:path>
                            </a:pathLst>
                          </a:custGeom>
                          <a:ln w="28575">
                            <a:solidFill>
                              <a:srgbClr val="EC7C30"/>
                            </a:solidFill>
                            <a:prstDash val="solid"/>
                          </a:ln>
                        </wps:spPr>
                        <wps:bodyPr wrap="square" lIns="0" tIns="0" rIns="0" bIns="0" rtlCol="0">
                          <a:prstTxWarp prst="textNoShape">
                            <a:avLst/>
                          </a:prstTxWarp>
                          <a:noAutofit/>
                        </wps:bodyPr>
                      </wps:wsp>
                      <pic:pic>
                        <pic:nvPicPr>
                          <pic:cNvPr id="367" name="Image 367"/>
                          <pic:cNvPicPr/>
                        </pic:nvPicPr>
                        <pic:blipFill>
                          <a:blip r:embed="rId19" cstate="print"/>
                          <a:stretch>
                            <a:fillRect/>
                          </a:stretch>
                        </pic:blipFill>
                        <pic:spPr>
                          <a:xfrm>
                            <a:off x="903668" y="1138364"/>
                            <a:ext cx="97916" cy="97916"/>
                          </a:xfrm>
                          <a:prstGeom prst="rect">
                            <a:avLst/>
                          </a:prstGeom>
                        </pic:spPr>
                      </pic:pic>
                      <pic:pic>
                        <pic:nvPicPr>
                          <pic:cNvPr id="368" name="Image 368"/>
                          <pic:cNvPicPr/>
                        </pic:nvPicPr>
                        <pic:blipFill>
                          <a:blip r:embed="rId13" cstate="print"/>
                          <a:stretch>
                            <a:fillRect/>
                          </a:stretch>
                        </pic:blipFill>
                        <pic:spPr>
                          <a:xfrm>
                            <a:off x="1255712" y="1034732"/>
                            <a:ext cx="97917" cy="97917"/>
                          </a:xfrm>
                          <a:prstGeom prst="rect">
                            <a:avLst/>
                          </a:prstGeom>
                        </pic:spPr>
                      </pic:pic>
                      <pic:pic>
                        <pic:nvPicPr>
                          <pic:cNvPr id="369" name="Image 369"/>
                          <pic:cNvPicPr/>
                        </pic:nvPicPr>
                        <pic:blipFill>
                          <a:blip r:embed="rId13" cstate="print"/>
                          <a:stretch>
                            <a:fillRect/>
                          </a:stretch>
                        </pic:blipFill>
                        <pic:spPr>
                          <a:xfrm>
                            <a:off x="1607756" y="1115504"/>
                            <a:ext cx="97917" cy="97917"/>
                          </a:xfrm>
                          <a:prstGeom prst="rect">
                            <a:avLst/>
                          </a:prstGeom>
                        </pic:spPr>
                      </pic:pic>
                      <pic:pic>
                        <pic:nvPicPr>
                          <pic:cNvPr id="370" name="Image 370"/>
                          <pic:cNvPicPr/>
                        </pic:nvPicPr>
                        <pic:blipFill>
                          <a:blip r:embed="rId19" cstate="print"/>
                          <a:stretch>
                            <a:fillRect/>
                          </a:stretch>
                        </pic:blipFill>
                        <pic:spPr>
                          <a:xfrm>
                            <a:off x="1961324" y="1074356"/>
                            <a:ext cx="97917" cy="97917"/>
                          </a:xfrm>
                          <a:prstGeom prst="rect">
                            <a:avLst/>
                          </a:prstGeom>
                        </pic:spPr>
                      </pic:pic>
                      <pic:pic>
                        <pic:nvPicPr>
                          <pic:cNvPr id="371" name="Image 371"/>
                          <pic:cNvPicPr/>
                        </pic:nvPicPr>
                        <pic:blipFill>
                          <a:blip r:embed="rId13" cstate="print"/>
                          <a:stretch>
                            <a:fillRect/>
                          </a:stretch>
                        </pic:blipFill>
                        <pic:spPr>
                          <a:xfrm>
                            <a:off x="2313368" y="1115504"/>
                            <a:ext cx="97916" cy="97917"/>
                          </a:xfrm>
                          <a:prstGeom prst="rect">
                            <a:avLst/>
                          </a:prstGeom>
                        </pic:spPr>
                      </pic:pic>
                      <pic:pic>
                        <pic:nvPicPr>
                          <pic:cNvPr id="372" name="Image 372"/>
                          <pic:cNvPicPr/>
                        </pic:nvPicPr>
                        <pic:blipFill>
                          <a:blip r:embed="rId31" cstate="print"/>
                          <a:stretch>
                            <a:fillRect/>
                          </a:stretch>
                        </pic:blipFill>
                        <pic:spPr>
                          <a:xfrm>
                            <a:off x="550227" y="1226883"/>
                            <a:ext cx="97917" cy="97917"/>
                          </a:xfrm>
                          <a:prstGeom prst="rect">
                            <a:avLst/>
                          </a:prstGeom>
                        </pic:spPr>
                      </pic:pic>
                      <pic:pic>
                        <pic:nvPicPr>
                          <pic:cNvPr id="373" name="Image 373"/>
                          <pic:cNvPicPr/>
                        </pic:nvPicPr>
                        <pic:blipFill>
                          <a:blip r:embed="rId41" cstate="print"/>
                          <a:stretch>
                            <a:fillRect/>
                          </a:stretch>
                        </pic:blipFill>
                        <pic:spPr>
                          <a:xfrm>
                            <a:off x="965835" y="2516187"/>
                            <a:ext cx="243840" cy="73532"/>
                          </a:xfrm>
                          <a:prstGeom prst="rect">
                            <a:avLst/>
                          </a:prstGeom>
                        </pic:spPr>
                      </pic:pic>
                      <pic:pic>
                        <pic:nvPicPr>
                          <pic:cNvPr id="374" name="Image 374"/>
                          <pic:cNvPicPr/>
                        </pic:nvPicPr>
                        <pic:blipFill>
                          <a:blip r:embed="rId42" cstate="print"/>
                          <a:stretch>
                            <a:fillRect/>
                          </a:stretch>
                        </pic:blipFill>
                        <pic:spPr>
                          <a:xfrm>
                            <a:off x="2227960" y="2516187"/>
                            <a:ext cx="243839" cy="73532"/>
                          </a:xfrm>
                          <a:prstGeom prst="rect">
                            <a:avLst/>
                          </a:prstGeom>
                        </pic:spPr>
                      </pic:pic>
                      <pic:pic>
                        <pic:nvPicPr>
                          <pic:cNvPr id="375" name="Image 375"/>
                          <pic:cNvPicPr/>
                        </pic:nvPicPr>
                        <pic:blipFill>
                          <a:blip r:embed="rId43" cstate="print"/>
                          <a:stretch>
                            <a:fillRect/>
                          </a:stretch>
                        </pic:blipFill>
                        <pic:spPr>
                          <a:xfrm>
                            <a:off x="3470909" y="2516187"/>
                            <a:ext cx="243839" cy="73532"/>
                          </a:xfrm>
                          <a:prstGeom prst="rect">
                            <a:avLst/>
                          </a:prstGeom>
                        </pic:spPr>
                      </pic:pic>
                      <wps:wsp>
                        <wps:cNvPr id="376" name="Graphic 376"/>
                        <wps:cNvSpPr/>
                        <wps:spPr>
                          <a:xfrm>
                            <a:off x="3175" y="3175"/>
                            <a:ext cx="5143500" cy="2733675"/>
                          </a:xfrm>
                          <a:custGeom>
                            <a:avLst/>
                            <a:gdLst/>
                            <a:ahLst/>
                            <a:cxnLst/>
                            <a:rect l="l" t="t" r="r" b="b"/>
                            <a:pathLst>
                              <a:path w="5143500" h="2733675">
                                <a:moveTo>
                                  <a:pt x="0" y="2733675"/>
                                </a:moveTo>
                                <a:lnTo>
                                  <a:pt x="5143500" y="2733675"/>
                                </a:lnTo>
                                <a:lnTo>
                                  <a:pt x="5143500" y="0"/>
                                </a:lnTo>
                                <a:lnTo>
                                  <a:pt x="0" y="0"/>
                                </a:lnTo>
                                <a:lnTo>
                                  <a:pt x="0" y="2733675"/>
                                </a:lnTo>
                                <a:close/>
                              </a:path>
                            </a:pathLst>
                          </a:custGeom>
                          <a:ln w="6350">
                            <a:solidFill>
                              <a:srgbClr val="A6A6A6"/>
                            </a:solidFill>
                            <a:prstDash val="solid"/>
                          </a:ln>
                        </wps:spPr>
                        <wps:bodyPr wrap="square" lIns="0" tIns="0" rIns="0" bIns="0" rtlCol="0">
                          <a:prstTxWarp prst="textNoShape">
                            <a:avLst/>
                          </a:prstTxWarp>
                          <a:noAutofit/>
                        </wps:bodyPr>
                      </wps:wsp>
                      <wps:wsp>
                        <wps:cNvPr id="377" name="Textbox 377"/>
                        <wps:cNvSpPr txBox="1"/>
                        <wps:spPr>
                          <a:xfrm>
                            <a:off x="3741420" y="2500757"/>
                            <a:ext cx="50101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wps:txbx>
                        <wps:bodyPr wrap="square" lIns="0" tIns="0" rIns="0" bIns="0" rtlCol="0">
                          <a:noAutofit/>
                        </wps:bodyPr>
                      </wps:wsp>
                      <wps:wsp>
                        <wps:cNvPr id="378" name="Textbox 378"/>
                        <wps:cNvSpPr txBox="1"/>
                        <wps:spPr>
                          <a:xfrm>
                            <a:off x="2498089" y="2500757"/>
                            <a:ext cx="800735"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wps:txbx>
                        <wps:bodyPr wrap="square" lIns="0" tIns="0" rIns="0" bIns="0" rtlCol="0">
                          <a:noAutofit/>
                        </wps:bodyPr>
                      </wps:wsp>
                      <wps:wsp>
                        <wps:cNvPr id="379" name="Textbox 379"/>
                        <wps:cNvSpPr txBox="1"/>
                        <wps:spPr>
                          <a:xfrm>
                            <a:off x="1235963" y="2500757"/>
                            <a:ext cx="81915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wps:txbx>
                        <wps:bodyPr wrap="square" lIns="0" tIns="0" rIns="0" bIns="0" rtlCol="0">
                          <a:noAutofit/>
                        </wps:bodyPr>
                      </wps:wsp>
                      <wps:wsp>
                        <wps:cNvPr id="380" name="Textbox 380"/>
                        <wps:cNvSpPr txBox="1"/>
                        <wps:spPr>
                          <a:xfrm>
                            <a:off x="483997" y="2247290"/>
                            <a:ext cx="4476115" cy="114935"/>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2015</w:t>
                              </w:r>
                              <w:r>
                                <w:rPr>
                                  <w:rFonts w:ascii="Calibri"/>
                                  <w:color w:val="585858"/>
                                  <w:spacing w:val="52"/>
                                  <w:sz w:val="18"/>
                                </w:rPr>
                                <w:t>  </w:t>
                              </w:r>
                              <w:r>
                                <w:rPr>
                                  <w:rFonts w:ascii="Calibri"/>
                                  <w:color w:val="585858"/>
                                  <w:sz w:val="18"/>
                                </w:rPr>
                                <w:t>2019</w:t>
                              </w:r>
                              <w:r>
                                <w:rPr>
                                  <w:rFonts w:ascii="Calibri"/>
                                  <w:color w:val="585858"/>
                                  <w:spacing w:val="52"/>
                                  <w:sz w:val="18"/>
                                </w:rPr>
                                <w:t>  </w:t>
                              </w:r>
                              <w:r>
                                <w:rPr>
                                  <w:rFonts w:ascii="Calibri"/>
                                  <w:color w:val="585858"/>
                                  <w:sz w:val="18"/>
                                </w:rPr>
                                <w:t>2020</w:t>
                              </w:r>
                              <w:r>
                                <w:rPr>
                                  <w:rFonts w:ascii="Calibri"/>
                                  <w:color w:val="585858"/>
                                  <w:spacing w:val="52"/>
                                  <w:sz w:val="18"/>
                                </w:rPr>
                                <w:t>  </w:t>
                              </w:r>
                              <w:r>
                                <w:rPr>
                                  <w:rFonts w:ascii="Calibri"/>
                                  <w:color w:val="585858"/>
                                  <w:sz w:val="18"/>
                                </w:rPr>
                                <w:t>2021</w:t>
                              </w:r>
                              <w:r>
                                <w:rPr>
                                  <w:rFonts w:ascii="Calibri"/>
                                  <w:color w:val="585858"/>
                                  <w:spacing w:val="52"/>
                                  <w:sz w:val="18"/>
                                </w:rPr>
                                <w:t>  </w:t>
                              </w:r>
                              <w:r>
                                <w:rPr>
                                  <w:rFonts w:ascii="Calibri"/>
                                  <w:color w:val="585858"/>
                                  <w:sz w:val="18"/>
                                </w:rPr>
                                <w:t>2022</w:t>
                              </w:r>
                              <w:r>
                                <w:rPr>
                                  <w:rFonts w:ascii="Calibri"/>
                                  <w:color w:val="585858"/>
                                  <w:spacing w:val="52"/>
                                  <w:sz w:val="18"/>
                                </w:rPr>
                                <w:t>  </w:t>
                              </w:r>
                              <w:r>
                                <w:rPr>
                                  <w:rFonts w:ascii="Calibri"/>
                                  <w:color w:val="585858"/>
                                  <w:sz w:val="18"/>
                                </w:rPr>
                                <w:t>2023</w:t>
                              </w:r>
                              <w:r>
                                <w:rPr>
                                  <w:rFonts w:ascii="Calibri"/>
                                  <w:color w:val="585858"/>
                                  <w:spacing w:val="52"/>
                                  <w:sz w:val="18"/>
                                </w:rPr>
                                <w:t>  </w:t>
                              </w:r>
                              <w:r>
                                <w:rPr>
                                  <w:rFonts w:ascii="Calibri"/>
                                  <w:color w:val="585858"/>
                                  <w:sz w:val="18"/>
                                </w:rPr>
                                <w:t>2024</w:t>
                              </w:r>
                              <w:r>
                                <w:rPr>
                                  <w:rFonts w:ascii="Calibri"/>
                                  <w:color w:val="585858"/>
                                  <w:spacing w:val="53"/>
                                  <w:sz w:val="18"/>
                                </w:rPr>
                                <w:t>  </w:t>
                              </w:r>
                              <w:r>
                                <w:rPr>
                                  <w:rFonts w:ascii="Calibri"/>
                                  <w:color w:val="585858"/>
                                  <w:sz w:val="18"/>
                                </w:rPr>
                                <w:t>2025</w:t>
                              </w:r>
                              <w:r>
                                <w:rPr>
                                  <w:rFonts w:ascii="Calibri"/>
                                  <w:color w:val="585858"/>
                                  <w:spacing w:val="52"/>
                                  <w:sz w:val="18"/>
                                </w:rPr>
                                <w:t>  </w:t>
                              </w:r>
                              <w:r>
                                <w:rPr>
                                  <w:rFonts w:ascii="Calibri"/>
                                  <w:color w:val="585858"/>
                                  <w:sz w:val="18"/>
                                </w:rPr>
                                <w:t>2026</w:t>
                              </w:r>
                              <w:r>
                                <w:rPr>
                                  <w:rFonts w:ascii="Calibri"/>
                                  <w:color w:val="585858"/>
                                  <w:spacing w:val="52"/>
                                  <w:sz w:val="18"/>
                                </w:rPr>
                                <w:t>  </w:t>
                              </w:r>
                              <w:r>
                                <w:rPr>
                                  <w:rFonts w:ascii="Calibri"/>
                                  <w:color w:val="585858"/>
                                  <w:sz w:val="18"/>
                                </w:rPr>
                                <w:t>2027</w:t>
                              </w:r>
                              <w:r>
                                <w:rPr>
                                  <w:rFonts w:ascii="Calibri"/>
                                  <w:color w:val="585858"/>
                                  <w:spacing w:val="52"/>
                                  <w:sz w:val="18"/>
                                </w:rPr>
                                <w:t>  </w:t>
                              </w:r>
                              <w:r>
                                <w:rPr>
                                  <w:rFonts w:ascii="Calibri"/>
                                  <w:color w:val="585858"/>
                                  <w:sz w:val="18"/>
                                </w:rPr>
                                <w:t>2028</w:t>
                              </w:r>
                              <w:r>
                                <w:rPr>
                                  <w:rFonts w:ascii="Calibri"/>
                                  <w:color w:val="585858"/>
                                  <w:spacing w:val="52"/>
                                  <w:sz w:val="18"/>
                                </w:rPr>
                                <w:t>  </w:t>
                              </w:r>
                              <w:r>
                                <w:rPr>
                                  <w:rFonts w:ascii="Calibri"/>
                                  <w:color w:val="585858"/>
                                  <w:sz w:val="18"/>
                                </w:rPr>
                                <w:t>2029</w:t>
                              </w:r>
                              <w:r>
                                <w:rPr>
                                  <w:rFonts w:ascii="Calibri"/>
                                  <w:color w:val="585858"/>
                                  <w:spacing w:val="52"/>
                                  <w:sz w:val="18"/>
                                </w:rPr>
                                <w:t>  </w:t>
                              </w:r>
                              <w:r>
                                <w:rPr>
                                  <w:rFonts w:ascii="Calibri"/>
                                  <w:color w:val="585858"/>
                                  <w:spacing w:val="-4"/>
                                  <w:sz w:val="18"/>
                                </w:rPr>
                                <w:t>2030</w:t>
                              </w:r>
                            </w:p>
                          </w:txbxContent>
                        </wps:txbx>
                        <wps:bodyPr wrap="square" lIns="0" tIns="0" rIns="0" bIns="0" rtlCol="0">
                          <a:noAutofit/>
                        </wps:bodyPr>
                      </wps:wsp>
                      <wps:wsp>
                        <wps:cNvPr id="381" name="Textbox 381"/>
                        <wps:cNvSpPr txBox="1"/>
                        <wps:spPr>
                          <a:xfrm>
                            <a:off x="85852" y="2093595"/>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35%</w:t>
                              </w:r>
                            </w:p>
                          </w:txbxContent>
                        </wps:txbx>
                        <wps:bodyPr wrap="square" lIns="0" tIns="0" rIns="0" bIns="0" rtlCol="0">
                          <a:noAutofit/>
                        </wps:bodyPr>
                      </wps:wsp>
                      <wps:wsp>
                        <wps:cNvPr id="382" name="Textbox 382"/>
                        <wps:cNvSpPr txBox="1"/>
                        <wps:spPr>
                          <a:xfrm>
                            <a:off x="85852" y="1692148"/>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40%</w:t>
                              </w:r>
                            </w:p>
                          </w:txbxContent>
                        </wps:txbx>
                        <wps:bodyPr wrap="square" lIns="0" tIns="0" rIns="0" bIns="0" rtlCol="0">
                          <a:noAutofit/>
                        </wps:bodyPr>
                      </wps:wsp>
                      <wps:wsp>
                        <wps:cNvPr id="383" name="Textbox 383"/>
                        <wps:cNvSpPr txBox="1"/>
                        <wps:spPr>
                          <a:xfrm>
                            <a:off x="2256663" y="1257427"/>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2"/>
                                  <w:sz w:val="20"/>
                                </w:rPr>
                                <w:t>47.3%</w:t>
                              </w:r>
                            </w:p>
                          </w:txbxContent>
                        </wps:txbx>
                        <wps:bodyPr wrap="square" lIns="0" tIns="0" rIns="0" bIns="0" rtlCol="0">
                          <a:noAutofit/>
                        </wps:bodyPr>
                      </wps:wsp>
                      <wps:wsp>
                        <wps:cNvPr id="384" name="Textbox 384"/>
                        <wps:cNvSpPr txBox="1"/>
                        <wps:spPr>
                          <a:xfrm>
                            <a:off x="1166113" y="1174877"/>
                            <a:ext cx="1047115" cy="200660"/>
                          </a:xfrm>
                          <a:prstGeom prst="rect">
                            <a:avLst/>
                          </a:prstGeom>
                        </wps:spPr>
                        <wps:txbx>
                          <w:txbxContent>
                            <w:p>
                              <w:pPr>
                                <w:spacing w:line="187" w:lineRule="auto" w:before="0"/>
                                <w:ind w:left="0" w:right="0" w:firstLine="0"/>
                                <w:jc w:val="left"/>
                                <w:rPr>
                                  <w:rFonts w:ascii="Calibri"/>
                                  <w:b/>
                                  <w:position w:val="-2"/>
                                  <w:sz w:val="20"/>
                                </w:rPr>
                              </w:pPr>
                              <w:r>
                                <w:rPr>
                                  <w:rFonts w:ascii="Calibri"/>
                                  <w:b/>
                                  <w:color w:val="EC7C30"/>
                                  <w:sz w:val="20"/>
                                </w:rPr>
                                <w:t>48.3%</w:t>
                              </w:r>
                              <w:r>
                                <w:rPr>
                                  <w:rFonts w:ascii="Calibri"/>
                                  <w:b/>
                                  <w:color w:val="EC7C30"/>
                                  <w:spacing w:val="26"/>
                                  <w:sz w:val="20"/>
                                </w:rPr>
                                <w:t> </w:t>
                              </w:r>
                              <w:r>
                                <w:rPr>
                                  <w:rFonts w:ascii="Calibri"/>
                                  <w:b/>
                                  <w:color w:val="EC7C30"/>
                                  <w:position w:val="-11"/>
                                  <w:sz w:val="20"/>
                                </w:rPr>
                                <w:t>47.3%</w:t>
                              </w:r>
                              <w:r>
                                <w:rPr>
                                  <w:rFonts w:ascii="Calibri"/>
                                  <w:b/>
                                  <w:color w:val="EC7C30"/>
                                  <w:spacing w:val="-10"/>
                                  <w:position w:val="-11"/>
                                  <w:sz w:val="20"/>
                                </w:rPr>
                                <w:t> </w:t>
                              </w:r>
                              <w:r>
                                <w:rPr>
                                  <w:rFonts w:ascii="Calibri"/>
                                  <w:b/>
                                  <w:color w:val="EC7C30"/>
                                  <w:spacing w:val="-2"/>
                                  <w:position w:val="-2"/>
                                  <w:sz w:val="20"/>
                                </w:rPr>
                                <w:t>47.8%</w:t>
                              </w:r>
                            </w:p>
                          </w:txbxContent>
                        </wps:txbx>
                        <wps:bodyPr wrap="square" lIns="0" tIns="0" rIns="0" bIns="0" rtlCol="0">
                          <a:noAutofit/>
                        </wps:bodyPr>
                      </wps:wsp>
                      <wps:wsp>
                        <wps:cNvPr id="385" name="Textbox 385"/>
                        <wps:cNvSpPr txBox="1"/>
                        <wps:spPr>
                          <a:xfrm>
                            <a:off x="783336" y="1266316"/>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EC7C30"/>
                                  <w:spacing w:val="-2"/>
                                  <w:sz w:val="20"/>
                                </w:rPr>
                                <w:t>47.0%</w:t>
                              </w:r>
                            </w:p>
                          </w:txbxContent>
                        </wps:txbx>
                        <wps:bodyPr wrap="square" lIns="0" tIns="0" rIns="0" bIns="0" rtlCol="0">
                          <a:noAutofit/>
                        </wps:bodyPr>
                      </wps:wsp>
                      <wps:wsp>
                        <wps:cNvPr id="386" name="Textbox 386"/>
                        <wps:cNvSpPr txBox="1"/>
                        <wps:spPr>
                          <a:xfrm>
                            <a:off x="85852" y="1290447"/>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45%</w:t>
                              </w:r>
                            </w:p>
                          </w:txbxContent>
                        </wps:txbx>
                        <wps:bodyPr wrap="square" lIns="0" tIns="0" rIns="0" bIns="0" rtlCol="0">
                          <a:noAutofit/>
                        </wps:bodyPr>
                      </wps:wsp>
                      <wps:wsp>
                        <wps:cNvPr id="387" name="Textbox 387"/>
                        <wps:cNvSpPr txBox="1"/>
                        <wps:spPr>
                          <a:xfrm>
                            <a:off x="440436" y="1045972"/>
                            <a:ext cx="330835" cy="127000"/>
                          </a:xfrm>
                          <a:prstGeom prst="rect">
                            <a:avLst/>
                          </a:prstGeom>
                        </wps:spPr>
                        <wps:txbx>
                          <w:txbxContent>
                            <w:p>
                              <w:pPr>
                                <w:spacing w:line="199" w:lineRule="exact" w:before="0"/>
                                <w:ind w:left="0" w:right="0" w:firstLine="0"/>
                                <w:jc w:val="left"/>
                                <w:rPr>
                                  <w:rFonts w:ascii="Calibri"/>
                                  <w:b/>
                                  <w:sz w:val="20"/>
                                </w:rPr>
                              </w:pPr>
                              <w:r>
                                <w:rPr>
                                  <w:rFonts w:ascii="Calibri"/>
                                  <w:b/>
                                  <w:color w:val="4471C4"/>
                                  <w:spacing w:val="-2"/>
                                  <w:sz w:val="20"/>
                                </w:rPr>
                                <w:t>45.9%</w:t>
                              </w:r>
                            </w:p>
                          </w:txbxContent>
                        </wps:txbx>
                        <wps:bodyPr wrap="square" lIns="0" tIns="0" rIns="0" bIns="0" rtlCol="0">
                          <a:noAutofit/>
                        </wps:bodyPr>
                      </wps:wsp>
                      <wps:wsp>
                        <wps:cNvPr id="388" name="Textbox 388"/>
                        <wps:cNvSpPr txBox="1"/>
                        <wps:spPr>
                          <a:xfrm>
                            <a:off x="1512697" y="689355"/>
                            <a:ext cx="1029335" cy="232410"/>
                          </a:xfrm>
                          <a:prstGeom prst="rect">
                            <a:avLst/>
                          </a:prstGeom>
                        </wps:spPr>
                        <wps:txbx>
                          <w:txbxContent>
                            <w:p>
                              <w:pPr>
                                <w:spacing w:line="187" w:lineRule="auto" w:before="0"/>
                                <w:ind w:left="0" w:right="0" w:firstLine="0"/>
                                <w:jc w:val="left"/>
                                <w:rPr>
                                  <w:rFonts w:ascii="Calibri"/>
                                  <w:b/>
                                  <w:sz w:val="20"/>
                                </w:rPr>
                              </w:pPr>
                              <w:r>
                                <w:rPr>
                                  <w:rFonts w:ascii="Calibri"/>
                                  <w:b/>
                                  <w:color w:val="A4A4A4"/>
                                  <w:position w:val="-16"/>
                                  <w:sz w:val="20"/>
                                </w:rPr>
                                <w:t>49.7%</w:t>
                              </w:r>
                              <w:r>
                                <w:rPr>
                                  <w:rFonts w:ascii="Calibri"/>
                                  <w:b/>
                                  <w:color w:val="A4A4A4"/>
                                  <w:spacing w:val="1"/>
                                  <w:position w:val="-16"/>
                                  <w:sz w:val="20"/>
                                </w:rPr>
                                <w:t> </w:t>
                              </w:r>
                              <w:r>
                                <w:rPr>
                                  <w:rFonts w:ascii="Calibri"/>
                                  <w:b/>
                                  <w:color w:val="A4A4A4"/>
                                  <w:position w:val="-7"/>
                                  <w:sz w:val="20"/>
                                </w:rPr>
                                <w:t>50.2%</w:t>
                              </w:r>
                              <w:r>
                                <w:rPr>
                                  <w:rFonts w:ascii="Calibri"/>
                                  <w:b/>
                                  <w:color w:val="A4A4A4"/>
                                  <w:spacing w:val="-12"/>
                                  <w:position w:val="-7"/>
                                  <w:sz w:val="20"/>
                                </w:rPr>
                                <w:t> </w:t>
                              </w:r>
                              <w:r>
                                <w:rPr>
                                  <w:rFonts w:ascii="Calibri"/>
                                  <w:b/>
                                  <w:color w:val="A4A4A4"/>
                                  <w:spacing w:val="-2"/>
                                  <w:sz w:val="20"/>
                                </w:rPr>
                                <w:t>50.8%</w:t>
                              </w:r>
                            </w:p>
                          </w:txbxContent>
                        </wps:txbx>
                        <wps:bodyPr wrap="square" lIns="0" tIns="0" rIns="0" bIns="0" rtlCol="0">
                          <a:noAutofit/>
                        </wps:bodyPr>
                      </wps:wsp>
                      <wps:wsp>
                        <wps:cNvPr id="389" name="Textbox 389"/>
                        <wps:cNvSpPr txBox="1"/>
                        <wps:spPr>
                          <a:xfrm>
                            <a:off x="833247" y="817625"/>
                            <a:ext cx="660400" cy="177165"/>
                          </a:xfrm>
                          <a:prstGeom prst="rect">
                            <a:avLst/>
                          </a:prstGeom>
                        </wps:spPr>
                        <wps:txbx>
                          <w:txbxContent>
                            <w:p>
                              <w:pPr>
                                <w:spacing w:line="187" w:lineRule="auto" w:before="0"/>
                                <w:ind w:left="0" w:right="0" w:firstLine="0"/>
                                <w:jc w:val="left"/>
                                <w:rPr>
                                  <w:rFonts w:ascii="Calibri"/>
                                  <w:b/>
                                  <w:sz w:val="20"/>
                                </w:rPr>
                              </w:pPr>
                              <w:r>
                                <w:rPr>
                                  <w:rFonts w:ascii="Calibri"/>
                                  <w:b/>
                                  <w:color w:val="A4A4A4"/>
                                  <w:spacing w:val="-2"/>
                                  <w:position w:val="-7"/>
                                  <w:sz w:val="20"/>
                                </w:rPr>
                                <w:t>48.6%</w:t>
                              </w:r>
                              <w:r>
                                <w:rPr>
                                  <w:rFonts w:ascii="Calibri"/>
                                  <w:b/>
                                  <w:color w:val="A4A4A4"/>
                                  <w:spacing w:val="-27"/>
                                  <w:position w:val="-7"/>
                                  <w:sz w:val="20"/>
                                </w:rPr>
                                <w:t> </w:t>
                              </w:r>
                              <w:r>
                                <w:rPr>
                                  <w:rFonts w:ascii="Calibri"/>
                                  <w:b/>
                                  <w:color w:val="A4A4A4"/>
                                  <w:spacing w:val="-4"/>
                                  <w:sz w:val="20"/>
                                </w:rPr>
                                <w:t>49.1%</w:t>
                              </w:r>
                            </w:p>
                          </w:txbxContent>
                        </wps:txbx>
                        <wps:bodyPr wrap="square" lIns="0" tIns="0" rIns="0" bIns="0" rtlCol="0">
                          <a:noAutofit/>
                        </wps:bodyPr>
                      </wps:wsp>
                      <wps:wsp>
                        <wps:cNvPr id="390" name="Textbox 390"/>
                        <wps:cNvSpPr txBox="1"/>
                        <wps:spPr>
                          <a:xfrm>
                            <a:off x="85852" y="889000"/>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50%</w:t>
                              </w:r>
                            </w:p>
                          </w:txbxContent>
                        </wps:txbx>
                        <wps:bodyPr wrap="square" lIns="0" tIns="0" rIns="0" bIns="0" rtlCol="0">
                          <a:noAutofit/>
                        </wps:bodyPr>
                      </wps:wsp>
                      <wps:wsp>
                        <wps:cNvPr id="391" name="Textbox 391"/>
                        <wps:cNvSpPr txBox="1"/>
                        <wps:spPr>
                          <a:xfrm>
                            <a:off x="2581655" y="381508"/>
                            <a:ext cx="2407285" cy="403225"/>
                          </a:xfrm>
                          <a:prstGeom prst="rect">
                            <a:avLst/>
                          </a:prstGeom>
                        </wps:spPr>
                        <wps:txbx>
                          <w:txbxContent>
                            <w:p>
                              <w:pPr>
                                <w:spacing w:line="160" w:lineRule="auto" w:before="0"/>
                                <w:ind w:left="1668" w:right="0" w:firstLine="0"/>
                                <w:jc w:val="left"/>
                                <w:rPr>
                                  <w:rFonts w:ascii="Calibri"/>
                                  <w:b/>
                                  <w:sz w:val="20"/>
                                </w:rPr>
                              </w:pPr>
                              <w:r>
                                <w:rPr>
                                  <w:rFonts w:ascii="Calibri"/>
                                  <w:b/>
                                  <w:color w:val="A4A4A4"/>
                                  <w:position w:val="-19"/>
                                  <w:sz w:val="20"/>
                                </w:rPr>
                                <w:t>53.0%</w:t>
                              </w:r>
                              <w:r>
                                <w:rPr>
                                  <w:rFonts w:ascii="Calibri"/>
                                  <w:b/>
                                  <w:color w:val="A4A4A4"/>
                                  <w:spacing w:val="40"/>
                                  <w:position w:val="-19"/>
                                  <w:sz w:val="20"/>
                                </w:rPr>
                                <w:t> </w:t>
                              </w:r>
                              <w:r>
                                <w:rPr>
                                  <w:rFonts w:ascii="Calibri"/>
                                  <w:b/>
                                  <w:color w:val="A4A4A4"/>
                                  <w:position w:val="-11"/>
                                  <w:sz w:val="20"/>
                                </w:rPr>
                                <w:t>53.6%</w:t>
                              </w:r>
                              <w:r>
                                <w:rPr>
                                  <w:rFonts w:ascii="Calibri"/>
                                  <w:b/>
                                  <w:color w:val="A4A4A4"/>
                                  <w:spacing w:val="-26"/>
                                  <w:position w:val="-11"/>
                                  <w:sz w:val="20"/>
                                </w:rPr>
                                <w:t> </w:t>
                              </w:r>
                              <w:r>
                                <w:rPr>
                                  <w:rFonts w:ascii="Calibri"/>
                                  <w:b/>
                                  <w:color w:val="A4A4A4"/>
                                  <w:spacing w:val="-2"/>
                                  <w:position w:val="-5"/>
                                  <w:sz w:val="20"/>
                                </w:rPr>
                                <w:t>54.2%</w:t>
                              </w:r>
                              <w:r>
                                <w:rPr>
                                  <w:rFonts w:ascii="Calibri"/>
                                  <w:b/>
                                  <w:color w:val="A4A4A4"/>
                                  <w:spacing w:val="-2"/>
                                  <w:sz w:val="20"/>
                                </w:rPr>
                                <w:t>54.7%</w:t>
                              </w:r>
                            </w:p>
                            <w:p>
                              <w:pPr>
                                <w:spacing w:line="134" w:lineRule="auto" w:before="0"/>
                                <w:ind w:left="0" w:right="0" w:firstLine="0"/>
                                <w:jc w:val="left"/>
                                <w:rPr>
                                  <w:rFonts w:ascii="Calibri"/>
                                  <w:b/>
                                  <w:sz w:val="20"/>
                                </w:rPr>
                              </w:pPr>
                              <w:r>
                                <w:rPr>
                                  <w:rFonts w:ascii="Calibri"/>
                                  <w:b/>
                                  <w:color w:val="A4A4A4"/>
                                  <w:position w:val="-14"/>
                                  <w:sz w:val="20"/>
                                </w:rPr>
                                <w:t>51.4%</w:t>
                              </w:r>
                              <w:r>
                                <w:rPr>
                                  <w:rFonts w:ascii="Calibri"/>
                                  <w:b/>
                                  <w:color w:val="A4A4A4"/>
                                  <w:spacing w:val="-10"/>
                                  <w:position w:val="-14"/>
                                  <w:sz w:val="20"/>
                                </w:rPr>
                                <w:t> </w:t>
                              </w:r>
                              <w:r>
                                <w:rPr>
                                  <w:rFonts w:ascii="Calibri"/>
                                  <w:b/>
                                  <w:color w:val="A4A4A4"/>
                                  <w:position w:val="-6"/>
                                  <w:sz w:val="20"/>
                                </w:rPr>
                                <w:t>51.9%</w:t>
                              </w:r>
                              <w:r>
                                <w:rPr>
                                  <w:rFonts w:ascii="Calibri"/>
                                  <w:b/>
                                  <w:color w:val="A4A4A4"/>
                                  <w:spacing w:val="-25"/>
                                  <w:position w:val="-6"/>
                                  <w:sz w:val="20"/>
                                </w:rPr>
                                <w:t> </w:t>
                              </w:r>
                              <w:r>
                                <w:rPr>
                                  <w:rFonts w:ascii="Calibri"/>
                                  <w:b/>
                                  <w:color w:val="A4A4A4"/>
                                  <w:spacing w:val="-2"/>
                                  <w:sz w:val="20"/>
                                </w:rPr>
                                <w:t>52.5%</w:t>
                              </w:r>
                            </w:p>
                          </w:txbxContent>
                        </wps:txbx>
                        <wps:bodyPr wrap="square" lIns="0" tIns="0" rIns="0" bIns="0" rtlCol="0">
                          <a:noAutofit/>
                        </wps:bodyPr>
                      </wps:wsp>
                      <wps:wsp>
                        <wps:cNvPr id="392" name="Textbox 392"/>
                        <wps:cNvSpPr txBox="1"/>
                        <wps:spPr>
                          <a:xfrm>
                            <a:off x="85852" y="487298"/>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55%</w:t>
                              </w:r>
                            </w:p>
                          </w:txbxContent>
                        </wps:txbx>
                        <wps:bodyPr wrap="square" lIns="0" tIns="0" rIns="0" bIns="0" rtlCol="0">
                          <a:noAutofit/>
                        </wps:bodyPr>
                      </wps:wsp>
                      <wps:wsp>
                        <wps:cNvPr id="393" name="Textbox 393"/>
                        <wps:cNvSpPr txBox="1"/>
                        <wps:spPr>
                          <a:xfrm>
                            <a:off x="85852" y="85852"/>
                            <a:ext cx="233045"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60%</w:t>
                              </w:r>
                            </w:p>
                          </w:txbxContent>
                        </wps:txbx>
                        <wps:bodyPr wrap="square" lIns="0" tIns="0" rIns="0" bIns="0" rtlCol="0">
                          <a:noAutofit/>
                        </wps:bodyPr>
                      </wps:wsp>
                    </wpg:wgp>
                  </a:graphicData>
                </a:graphic>
              </wp:anchor>
            </w:drawing>
          </mc:Choice>
          <mc:Fallback>
            <w:pict>
              <v:group style="position:absolute;margin-left:94.900002pt;margin-top:10.440605pt;width:405.5pt;height:215.75pt;mso-position-horizontal-relative:page;mso-position-vertical-relative:paragraph;z-index:-15723520;mso-wrap-distance-left:0;mso-wrap-distance-right:0" id="docshapegroup347" coordorigin="1898,209" coordsize="8110,4315">
                <v:shape style="position:absolute;left:2500;top:435;width:64;height:3162" id="docshape348" coordorigin="2501,436" coordsize="64,3162" path="m2564,3597l2564,436m2501,3597l2564,3597m2501,2964l2564,2964m2501,2333l2564,2333m2501,1700l2564,1700m2501,1068l2564,1068m2501,436l2564,436e" filled="false" stroked="true" strokeweight=".5pt" strokecolor="#888888">
                  <v:path arrowok="t"/>
                  <v:stroke dashstyle="solid"/>
                </v:shape>
                <v:shape style="position:absolute;left:2564;top:3597;width:7219;height:57" id="docshape349" coordorigin="2564,3597" coordsize="7219,57" path="m2564,3597l9783,3597m2564,3597l2564,3654m3120,3597l3120,3654m3674,3597l3674,3654m4231,3597l4231,3654m4786,3597l4786,3654m5340,3597l5340,3654m5897,3597l5897,3654m6451,3597l6451,3654m7006,3597l7006,3654m7562,3597l7562,3654m8117,3597l8117,3654m8674,3597l8674,3654m9228,3597l9228,3654m9783,3597l9783,3654e" filled="false" stroked="true" strokeweight=".75pt" strokecolor="#d9d9d9">
                  <v:path arrowok="t"/>
                  <v:stroke dashstyle="solid"/>
                </v:shape>
                <v:shape style="position:absolute;left:3397;top:1106;width:6109;height:772" id="docshape350" coordorigin="3397,1106" coordsize="6109,772" path="m3397,1877l3953,1812,4507,1738,5064,1676,5618,1599,6173,1524,6730,1460,7284,1385,7838,1320,8395,1246,8950,1169,9505,1106e" filled="false" stroked="true" strokeweight="2.25pt" strokecolor="#a4a4a4">
                  <v:path arrowok="t"/>
                  <v:stroke dashstyle="solid"/>
                </v:shape>
                <v:shape style="position:absolute;left:3340;top:1819;width:116;height:116" type="#_x0000_t75" id="docshape351" stroked="false">
                  <v:imagedata r:id="rId9" o:title=""/>
                </v:shape>
                <v:shape style="position:absolute;left:3894;top:1754;width:116;height:116" type="#_x0000_t75" id="docshape352" stroked="false">
                  <v:imagedata r:id="rId11" o:title=""/>
                </v:shape>
                <v:shape style="position:absolute;left:4449;top:1679;width:116;height:116" type="#_x0000_t75" id="docshape353" stroked="false">
                  <v:imagedata r:id="rId11" o:title=""/>
                </v:shape>
                <v:shape style="position:absolute;left:5005;top:1617;width:116;height:116" type="#_x0000_t75" id="docshape354" stroked="false">
                  <v:imagedata r:id="rId9" o:title=""/>
                </v:shape>
                <v:shape style="position:absolute;left:5560;top:1540;width:116;height:116" type="#_x0000_t75" id="docshape355" stroked="false">
                  <v:imagedata r:id="rId11" o:title=""/>
                </v:shape>
                <v:shape style="position:absolute;left:6114;top:1466;width:116;height:116" type="#_x0000_t75" id="docshape356" stroked="false">
                  <v:imagedata r:id="rId9" o:title=""/>
                </v:shape>
                <v:shape style="position:absolute;left:6671;top:1401;width:116;height:116" type="#_x0000_t75" id="docshape357" stroked="false">
                  <v:imagedata r:id="rId10" o:title=""/>
                </v:shape>
                <v:shape style="position:absolute;left:7225;top:1327;width:116;height:116" type="#_x0000_t75" id="docshape358" stroked="false">
                  <v:imagedata r:id="rId11" o:title=""/>
                </v:shape>
                <v:shape style="position:absolute;left:7780;top:1262;width:116;height:116" type="#_x0000_t75" id="docshape359" stroked="false">
                  <v:imagedata r:id="rId11" o:title=""/>
                </v:shape>
                <v:shape style="position:absolute;left:8337;top:1187;width:116;height:116" type="#_x0000_t75" id="docshape360" stroked="false">
                  <v:imagedata r:id="rId8" o:title=""/>
                </v:shape>
                <v:shape style="position:absolute;left:8891;top:1111;width:116;height:116" type="#_x0000_t75" id="docshape361" stroked="false">
                  <v:imagedata r:id="rId8" o:title=""/>
                </v:shape>
                <v:shape style="position:absolute;left:9448;top:1048;width:116;height:116" type="#_x0000_t75" id="docshape362" stroked="false">
                  <v:imagedata r:id="rId10" o:title=""/>
                </v:shape>
                <v:shape style="position:absolute;left:3397;top:1915;width:2222;height:165" id="docshape363" coordorigin="3397,1915" coordsize="2222,165" path="m3397,2080l3953,1915,4507,2043,5064,1978,5618,2043e" filled="false" stroked="true" strokeweight="2.25pt" strokecolor="#ec7c30">
                  <v:path arrowok="t"/>
                  <v:stroke dashstyle="solid"/>
                </v:shape>
                <v:shape style="position:absolute;left:3321;top:2001;width:155;height:155" type="#_x0000_t75" id="docshape364" stroked="false">
                  <v:imagedata r:id="rId19" o:title=""/>
                </v:shape>
                <v:shape style="position:absolute;left:3875;top:1838;width:155;height:155" type="#_x0000_t75" id="docshape365" stroked="false">
                  <v:imagedata r:id="rId13" o:title=""/>
                </v:shape>
                <v:shape style="position:absolute;left:4429;top:1965;width:155;height:155" type="#_x0000_t75" id="docshape366" stroked="false">
                  <v:imagedata r:id="rId13" o:title=""/>
                </v:shape>
                <v:shape style="position:absolute;left:4986;top:1900;width:155;height:155" type="#_x0000_t75" id="docshape367" stroked="false">
                  <v:imagedata r:id="rId19" o:title=""/>
                </v:shape>
                <v:shape style="position:absolute;left:5541;top:1965;width:155;height:155" type="#_x0000_t75" id="docshape368" stroked="false">
                  <v:imagedata r:id="rId13" o:title=""/>
                </v:shape>
                <v:shape style="position:absolute;left:2764;top:2140;width:155;height:155" type="#_x0000_t75" id="docshape369" stroked="false">
                  <v:imagedata r:id="rId31" o:title=""/>
                </v:shape>
                <v:shape style="position:absolute;left:3419;top:4171;width:384;height:116" type="#_x0000_t75" id="docshape370" stroked="false">
                  <v:imagedata r:id="rId41" o:title=""/>
                </v:shape>
                <v:shape style="position:absolute;left:5406;top:4171;width:384;height:116" type="#_x0000_t75" id="docshape371" stroked="false">
                  <v:imagedata r:id="rId42" o:title=""/>
                </v:shape>
                <v:shape style="position:absolute;left:7364;top:4171;width:384;height:116" type="#_x0000_t75" id="docshape372" stroked="false">
                  <v:imagedata r:id="rId43" o:title=""/>
                </v:shape>
                <v:rect style="position:absolute;left:1903;top:213;width:8100;height:4305" id="docshape373" filled="false" stroked="true" strokeweight=".5pt" strokecolor="#a6a6a6">
                  <v:stroke dashstyle="solid"/>
                </v:rect>
                <v:shape style="position:absolute;left:7790;top:4147;width:789;height:180" type="#_x0000_t202" id="docshape374"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Línea</w:t>
                        </w:r>
                        <w:r>
                          <w:rPr>
                            <w:rFonts w:ascii="Calibri" w:hAnsi="Calibri"/>
                            <w:color w:val="585858"/>
                            <w:spacing w:val="-3"/>
                            <w:sz w:val="18"/>
                          </w:rPr>
                          <w:t> </w:t>
                        </w:r>
                        <w:r>
                          <w:rPr>
                            <w:rFonts w:ascii="Calibri" w:hAnsi="Calibri"/>
                            <w:color w:val="585858"/>
                            <w:spacing w:val="-4"/>
                            <w:sz w:val="18"/>
                          </w:rPr>
                          <w:t>base</w:t>
                        </w:r>
                      </w:p>
                    </w:txbxContent>
                  </v:textbox>
                  <w10:wrap type="none"/>
                </v:shape>
                <v:shape style="position:absolute;left:5832;top:4147;width:1261;height:180" type="#_x0000_t202" id="docshape375" filled="false" stroked="false">
                  <v:textbox inset="0,0,0,0">
                    <w:txbxContent>
                      <w:p>
                        <w:pPr>
                          <w:spacing w:line="180" w:lineRule="exact" w:before="0"/>
                          <w:ind w:left="0" w:right="0" w:firstLine="0"/>
                          <w:jc w:val="left"/>
                          <w:rPr>
                            <w:rFonts w:ascii="Calibri"/>
                            <w:sz w:val="18"/>
                          </w:rPr>
                        </w:pPr>
                        <w:r>
                          <w:rPr>
                            <w:rFonts w:ascii="Calibri"/>
                            <w:color w:val="585858"/>
                            <w:sz w:val="18"/>
                          </w:rPr>
                          <w:t>valor</w:t>
                        </w:r>
                        <w:r>
                          <w:rPr>
                            <w:rFonts w:ascii="Calibri"/>
                            <w:color w:val="585858"/>
                            <w:spacing w:val="-5"/>
                            <w:sz w:val="18"/>
                          </w:rPr>
                          <w:t> </w:t>
                        </w:r>
                        <w:r>
                          <w:rPr>
                            <w:rFonts w:ascii="Calibri"/>
                            <w:color w:val="585858"/>
                            <w:sz w:val="18"/>
                          </w:rPr>
                          <w:t>obtenido</w:t>
                        </w:r>
                        <w:r>
                          <w:rPr>
                            <w:rFonts w:ascii="Calibri"/>
                            <w:color w:val="585858"/>
                            <w:spacing w:val="-3"/>
                            <w:sz w:val="18"/>
                          </w:rPr>
                          <w:t> </w:t>
                        </w:r>
                        <w:r>
                          <w:rPr>
                            <w:rFonts w:ascii="Calibri"/>
                            <w:color w:val="585858"/>
                            <w:spacing w:val="-10"/>
                            <w:sz w:val="18"/>
                          </w:rPr>
                          <w:t>%</w:t>
                        </w:r>
                      </w:p>
                    </w:txbxContent>
                  </v:textbox>
                  <w10:wrap type="none"/>
                </v:shape>
                <v:shape style="position:absolute;left:3844;top:4147;width:1290;height:180" type="#_x0000_t202" id="docshape376" filled="false" stroked="false">
                  <v:textbox inset="0,0,0,0">
                    <w:txbxContent>
                      <w:p>
                        <w:pPr>
                          <w:spacing w:line="180" w:lineRule="exact" w:before="0"/>
                          <w:ind w:left="0" w:right="0" w:firstLine="0"/>
                          <w:jc w:val="left"/>
                          <w:rPr>
                            <w:rFonts w:ascii="Calibri"/>
                            <w:sz w:val="18"/>
                          </w:rPr>
                        </w:pPr>
                        <w:r>
                          <w:rPr>
                            <w:rFonts w:ascii="Calibri"/>
                            <w:color w:val="585858"/>
                            <w:sz w:val="18"/>
                          </w:rPr>
                          <w:t>logro</w:t>
                        </w:r>
                        <w:r>
                          <w:rPr>
                            <w:rFonts w:ascii="Calibri"/>
                            <w:color w:val="585858"/>
                            <w:spacing w:val="-4"/>
                            <w:sz w:val="18"/>
                          </w:rPr>
                          <w:t> </w:t>
                        </w:r>
                        <w:r>
                          <w:rPr>
                            <w:rFonts w:ascii="Calibri"/>
                            <w:color w:val="585858"/>
                            <w:sz w:val="18"/>
                          </w:rPr>
                          <w:t>esperado</w:t>
                        </w:r>
                        <w:r>
                          <w:rPr>
                            <w:rFonts w:ascii="Calibri"/>
                            <w:color w:val="585858"/>
                            <w:spacing w:val="-4"/>
                            <w:sz w:val="18"/>
                          </w:rPr>
                          <w:t> </w:t>
                        </w:r>
                        <w:r>
                          <w:rPr>
                            <w:rFonts w:ascii="Calibri"/>
                            <w:color w:val="585858"/>
                            <w:spacing w:val="-10"/>
                            <w:sz w:val="18"/>
                          </w:rPr>
                          <w:t>%</w:t>
                        </w:r>
                      </w:p>
                    </w:txbxContent>
                  </v:textbox>
                  <w10:wrap type="none"/>
                </v:shape>
                <v:shape style="position:absolute;left:2660;top:3747;width:7049;height:181" type="#_x0000_t202" id="docshape377" filled="false" stroked="false">
                  <v:textbox inset="0,0,0,0">
                    <w:txbxContent>
                      <w:p>
                        <w:pPr>
                          <w:spacing w:line="180" w:lineRule="exact" w:before="0"/>
                          <w:ind w:left="0" w:right="0" w:firstLine="0"/>
                          <w:jc w:val="left"/>
                          <w:rPr>
                            <w:rFonts w:ascii="Calibri"/>
                            <w:sz w:val="18"/>
                          </w:rPr>
                        </w:pPr>
                        <w:r>
                          <w:rPr>
                            <w:rFonts w:ascii="Calibri"/>
                            <w:color w:val="585858"/>
                            <w:sz w:val="18"/>
                          </w:rPr>
                          <w:t>2015</w:t>
                        </w:r>
                        <w:r>
                          <w:rPr>
                            <w:rFonts w:ascii="Calibri"/>
                            <w:color w:val="585858"/>
                            <w:spacing w:val="52"/>
                            <w:sz w:val="18"/>
                          </w:rPr>
                          <w:t>  </w:t>
                        </w:r>
                        <w:r>
                          <w:rPr>
                            <w:rFonts w:ascii="Calibri"/>
                            <w:color w:val="585858"/>
                            <w:sz w:val="18"/>
                          </w:rPr>
                          <w:t>2019</w:t>
                        </w:r>
                        <w:r>
                          <w:rPr>
                            <w:rFonts w:ascii="Calibri"/>
                            <w:color w:val="585858"/>
                            <w:spacing w:val="52"/>
                            <w:sz w:val="18"/>
                          </w:rPr>
                          <w:t>  </w:t>
                        </w:r>
                        <w:r>
                          <w:rPr>
                            <w:rFonts w:ascii="Calibri"/>
                            <w:color w:val="585858"/>
                            <w:sz w:val="18"/>
                          </w:rPr>
                          <w:t>2020</w:t>
                        </w:r>
                        <w:r>
                          <w:rPr>
                            <w:rFonts w:ascii="Calibri"/>
                            <w:color w:val="585858"/>
                            <w:spacing w:val="52"/>
                            <w:sz w:val="18"/>
                          </w:rPr>
                          <w:t>  </w:t>
                        </w:r>
                        <w:r>
                          <w:rPr>
                            <w:rFonts w:ascii="Calibri"/>
                            <w:color w:val="585858"/>
                            <w:sz w:val="18"/>
                          </w:rPr>
                          <w:t>2021</w:t>
                        </w:r>
                        <w:r>
                          <w:rPr>
                            <w:rFonts w:ascii="Calibri"/>
                            <w:color w:val="585858"/>
                            <w:spacing w:val="52"/>
                            <w:sz w:val="18"/>
                          </w:rPr>
                          <w:t>  </w:t>
                        </w:r>
                        <w:r>
                          <w:rPr>
                            <w:rFonts w:ascii="Calibri"/>
                            <w:color w:val="585858"/>
                            <w:sz w:val="18"/>
                          </w:rPr>
                          <w:t>2022</w:t>
                        </w:r>
                        <w:r>
                          <w:rPr>
                            <w:rFonts w:ascii="Calibri"/>
                            <w:color w:val="585858"/>
                            <w:spacing w:val="52"/>
                            <w:sz w:val="18"/>
                          </w:rPr>
                          <w:t>  </w:t>
                        </w:r>
                        <w:r>
                          <w:rPr>
                            <w:rFonts w:ascii="Calibri"/>
                            <w:color w:val="585858"/>
                            <w:sz w:val="18"/>
                          </w:rPr>
                          <w:t>2023</w:t>
                        </w:r>
                        <w:r>
                          <w:rPr>
                            <w:rFonts w:ascii="Calibri"/>
                            <w:color w:val="585858"/>
                            <w:spacing w:val="52"/>
                            <w:sz w:val="18"/>
                          </w:rPr>
                          <w:t>  </w:t>
                        </w:r>
                        <w:r>
                          <w:rPr>
                            <w:rFonts w:ascii="Calibri"/>
                            <w:color w:val="585858"/>
                            <w:sz w:val="18"/>
                          </w:rPr>
                          <w:t>2024</w:t>
                        </w:r>
                        <w:r>
                          <w:rPr>
                            <w:rFonts w:ascii="Calibri"/>
                            <w:color w:val="585858"/>
                            <w:spacing w:val="53"/>
                            <w:sz w:val="18"/>
                          </w:rPr>
                          <w:t>  </w:t>
                        </w:r>
                        <w:r>
                          <w:rPr>
                            <w:rFonts w:ascii="Calibri"/>
                            <w:color w:val="585858"/>
                            <w:sz w:val="18"/>
                          </w:rPr>
                          <w:t>2025</w:t>
                        </w:r>
                        <w:r>
                          <w:rPr>
                            <w:rFonts w:ascii="Calibri"/>
                            <w:color w:val="585858"/>
                            <w:spacing w:val="52"/>
                            <w:sz w:val="18"/>
                          </w:rPr>
                          <w:t>  </w:t>
                        </w:r>
                        <w:r>
                          <w:rPr>
                            <w:rFonts w:ascii="Calibri"/>
                            <w:color w:val="585858"/>
                            <w:sz w:val="18"/>
                          </w:rPr>
                          <w:t>2026</w:t>
                        </w:r>
                        <w:r>
                          <w:rPr>
                            <w:rFonts w:ascii="Calibri"/>
                            <w:color w:val="585858"/>
                            <w:spacing w:val="52"/>
                            <w:sz w:val="18"/>
                          </w:rPr>
                          <w:t>  </w:t>
                        </w:r>
                        <w:r>
                          <w:rPr>
                            <w:rFonts w:ascii="Calibri"/>
                            <w:color w:val="585858"/>
                            <w:sz w:val="18"/>
                          </w:rPr>
                          <w:t>2027</w:t>
                        </w:r>
                        <w:r>
                          <w:rPr>
                            <w:rFonts w:ascii="Calibri"/>
                            <w:color w:val="585858"/>
                            <w:spacing w:val="52"/>
                            <w:sz w:val="18"/>
                          </w:rPr>
                          <w:t>  </w:t>
                        </w:r>
                        <w:r>
                          <w:rPr>
                            <w:rFonts w:ascii="Calibri"/>
                            <w:color w:val="585858"/>
                            <w:sz w:val="18"/>
                          </w:rPr>
                          <w:t>2028</w:t>
                        </w:r>
                        <w:r>
                          <w:rPr>
                            <w:rFonts w:ascii="Calibri"/>
                            <w:color w:val="585858"/>
                            <w:spacing w:val="52"/>
                            <w:sz w:val="18"/>
                          </w:rPr>
                          <w:t>  </w:t>
                        </w:r>
                        <w:r>
                          <w:rPr>
                            <w:rFonts w:ascii="Calibri"/>
                            <w:color w:val="585858"/>
                            <w:sz w:val="18"/>
                          </w:rPr>
                          <w:t>2029</w:t>
                        </w:r>
                        <w:r>
                          <w:rPr>
                            <w:rFonts w:ascii="Calibri"/>
                            <w:color w:val="585858"/>
                            <w:spacing w:val="52"/>
                            <w:sz w:val="18"/>
                          </w:rPr>
                          <w:t>  </w:t>
                        </w:r>
                        <w:r>
                          <w:rPr>
                            <w:rFonts w:ascii="Calibri"/>
                            <w:color w:val="585858"/>
                            <w:spacing w:val="-4"/>
                            <w:sz w:val="18"/>
                          </w:rPr>
                          <w:t>2030</w:t>
                        </w:r>
                      </w:p>
                    </w:txbxContent>
                  </v:textbox>
                  <w10:wrap type="none"/>
                </v:shape>
                <v:shape style="position:absolute;left:2033;top:3505;width:367;height:200" type="#_x0000_t202" id="docshape378" filled="false" stroked="false">
                  <v:textbox inset="0,0,0,0">
                    <w:txbxContent>
                      <w:p>
                        <w:pPr>
                          <w:spacing w:line="199" w:lineRule="exact" w:before="0"/>
                          <w:ind w:left="0" w:right="0" w:firstLine="0"/>
                          <w:jc w:val="left"/>
                          <w:rPr>
                            <w:rFonts w:ascii="Calibri"/>
                            <w:sz w:val="20"/>
                          </w:rPr>
                        </w:pPr>
                        <w:r>
                          <w:rPr>
                            <w:rFonts w:ascii="Calibri"/>
                            <w:spacing w:val="-5"/>
                            <w:sz w:val="20"/>
                          </w:rPr>
                          <w:t>35%</w:t>
                        </w:r>
                      </w:p>
                    </w:txbxContent>
                  </v:textbox>
                  <w10:wrap type="none"/>
                </v:shape>
                <v:shape style="position:absolute;left:2033;top:2873;width:367;height:200" type="#_x0000_t202" id="docshape379" filled="false" stroked="false">
                  <v:textbox inset="0,0,0,0">
                    <w:txbxContent>
                      <w:p>
                        <w:pPr>
                          <w:spacing w:line="199" w:lineRule="exact" w:before="0"/>
                          <w:ind w:left="0" w:right="0" w:firstLine="0"/>
                          <w:jc w:val="left"/>
                          <w:rPr>
                            <w:rFonts w:ascii="Calibri"/>
                            <w:sz w:val="20"/>
                          </w:rPr>
                        </w:pPr>
                        <w:r>
                          <w:rPr>
                            <w:rFonts w:ascii="Calibri"/>
                            <w:spacing w:val="-5"/>
                            <w:sz w:val="20"/>
                          </w:rPr>
                          <w:t>40%</w:t>
                        </w:r>
                      </w:p>
                    </w:txbxContent>
                  </v:textbox>
                  <w10:wrap type="none"/>
                </v:shape>
                <v:shape style="position:absolute;left:5451;top:2189;width:521;height:200" type="#_x0000_t202" id="docshape380" filled="false" stroked="false">
                  <v:textbox inset="0,0,0,0">
                    <w:txbxContent>
                      <w:p>
                        <w:pPr>
                          <w:spacing w:line="199" w:lineRule="exact" w:before="0"/>
                          <w:ind w:left="0" w:right="0" w:firstLine="0"/>
                          <w:jc w:val="left"/>
                          <w:rPr>
                            <w:rFonts w:ascii="Calibri"/>
                            <w:b/>
                            <w:sz w:val="20"/>
                          </w:rPr>
                        </w:pPr>
                        <w:r>
                          <w:rPr>
                            <w:rFonts w:ascii="Calibri"/>
                            <w:b/>
                            <w:color w:val="EC7C30"/>
                            <w:spacing w:val="-2"/>
                            <w:sz w:val="20"/>
                          </w:rPr>
                          <w:t>47.3%</w:t>
                        </w:r>
                      </w:p>
                    </w:txbxContent>
                  </v:textbox>
                  <w10:wrap type="none"/>
                </v:shape>
                <v:shape style="position:absolute;left:3734;top:2059;width:1649;height:316" type="#_x0000_t202" id="docshape381" filled="false" stroked="false">
                  <v:textbox inset="0,0,0,0">
                    <w:txbxContent>
                      <w:p>
                        <w:pPr>
                          <w:spacing w:line="187" w:lineRule="auto" w:before="0"/>
                          <w:ind w:left="0" w:right="0" w:firstLine="0"/>
                          <w:jc w:val="left"/>
                          <w:rPr>
                            <w:rFonts w:ascii="Calibri"/>
                            <w:b/>
                            <w:position w:val="-2"/>
                            <w:sz w:val="20"/>
                          </w:rPr>
                        </w:pPr>
                        <w:r>
                          <w:rPr>
                            <w:rFonts w:ascii="Calibri"/>
                            <w:b/>
                            <w:color w:val="EC7C30"/>
                            <w:sz w:val="20"/>
                          </w:rPr>
                          <w:t>48.3%</w:t>
                        </w:r>
                        <w:r>
                          <w:rPr>
                            <w:rFonts w:ascii="Calibri"/>
                            <w:b/>
                            <w:color w:val="EC7C30"/>
                            <w:spacing w:val="26"/>
                            <w:sz w:val="20"/>
                          </w:rPr>
                          <w:t> </w:t>
                        </w:r>
                        <w:r>
                          <w:rPr>
                            <w:rFonts w:ascii="Calibri"/>
                            <w:b/>
                            <w:color w:val="EC7C30"/>
                            <w:position w:val="-11"/>
                            <w:sz w:val="20"/>
                          </w:rPr>
                          <w:t>47.3%</w:t>
                        </w:r>
                        <w:r>
                          <w:rPr>
                            <w:rFonts w:ascii="Calibri"/>
                            <w:b/>
                            <w:color w:val="EC7C30"/>
                            <w:spacing w:val="-10"/>
                            <w:position w:val="-11"/>
                            <w:sz w:val="20"/>
                          </w:rPr>
                          <w:t> </w:t>
                        </w:r>
                        <w:r>
                          <w:rPr>
                            <w:rFonts w:ascii="Calibri"/>
                            <w:b/>
                            <w:color w:val="EC7C30"/>
                            <w:spacing w:val="-2"/>
                            <w:position w:val="-2"/>
                            <w:sz w:val="20"/>
                          </w:rPr>
                          <w:t>47.8%</w:t>
                        </w:r>
                      </w:p>
                    </w:txbxContent>
                  </v:textbox>
                  <w10:wrap type="none"/>
                </v:shape>
                <v:shape style="position:absolute;left:3131;top:2203;width:521;height:200" type="#_x0000_t202" id="docshape382" filled="false" stroked="false">
                  <v:textbox inset="0,0,0,0">
                    <w:txbxContent>
                      <w:p>
                        <w:pPr>
                          <w:spacing w:line="199" w:lineRule="exact" w:before="0"/>
                          <w:ind w:left="0" w:right="0" w:firstLine="0"/>
                          <w:jc w:val="left"/>
                          <w:rPr>
                            <w:rFonts w:ascii="Calibri"/>
                            <w:b/>
                            <w:sz w:val="20"/>
                          </w:rPr>
                        </w:pPr>
                        <w:r>
                          <w:rPr>
                            <w:rFonts w:ascii="Calibri"/>
                            <w:b/>
                            <w:color w:val="EC7C30"/>
                            <w:spacing w:val="-2"/>
                            <w:sz w:val="20"/>
                          </w:rPr>
                          <w:t>47.0%</w:t>
                        </w:r>
                      </w:p>
                    </w:txbxContent>
                  </v:textbox>
                  <w10:wrap type="none"/>
                </v:shape>
                <v:shape style="position:absolute;left:2033;top:2241;width:367;height:200" type="#_x0000_t202" id="docshape383" filled="false" stroked="false">
                  <v:textbox inset="0,0,0,0">
                    <w:txbxContent>
                      <w:p>
                        <w:pPr>
                          <w:spacing w:line="199" w:lineRule="exact" w:before="0"/>
                          <w:ind w:left="0" w:right="0" w:firstLine="0"/>
                          <w:jc w:val="left"/>
                          <w:rPr>
                            <w:rFonts w:ascii="Calibri"/>
                            <w:sz w:val="20"/>
                          </w:rPr>
                        </w:pPr>
                        <w:r>
                          <w:rPr>
                            <w:rFonts w:ascii="Calibri"/>
                            <w:spacing w:val="-5"/>
                            <w:sz w:val="20"/>
                          </w:rPr>
                          <w:t>45%</w:t>
                        </w:r>
                      </w:p>
                    </w:txbxContent>
                  </v:textbox>
                  <w10:wrap type="none"/>
                </v:shape>
                <v:shape style="position:absolute;left:2591;top:1856;width:521;height:200" type="#_x0000_t202" id="docshape384" filled="false" stroked="false">
                  <v:textbox inset="0,0,0,0">
                    <w:txbxContent>
                      <w:p>
                        <w:pPr>
                          <w:spacing w:line="199" w:lineRule="exact" w:before="0"/>
                          <w:ind w:left="0" w:right="0" w:firstLine="0"/>
                          <w:jc w:val="left"/>
                          <w:rPr>
                            <w:rFonts w:ascii="Calibri"/>
                            <w:b/>
                            <w:sz w:val="20"/>
                          </w:rPr>
                        </w:pPr>
                        <w:r>
                          <w:rPr>
                            <w:rFonts w:ascii="Calibri"/>
                            <w:b/>
                            <w:color w:val="4471C4"/>
                            <w:spacing w:val="-2"/>
                            <w:sz w:val="20"/>
                          </w:rPr>
                          <w:t>45.9%</w:t>
                        </w:r>
                      </w:p>
                    </w:txbxContent>
                  </v:textbox>
                  <w10:wrap type="none"/>
                </v:shape>
                <v:shape style="position:absolute;left:4280;top:1294;width:1621;height:366" type="#_x0000_t202" id="docshape385" filled="false" stroked="false">
                  <v:textbox inset="0,0,0,0">
                    <w:txbxContent>
                      <w:p>
                        <w:pPr>
                          <w:spacing w:line="187" w:lineRule="auto" w:before="0"/>
                          <w:ind w:left="0" w:right="0" w:firstLine="0"/>
                          <w:jc w:val="left"/>
                          <w:rPr>
                            <w:rFonts w:ascii="Calibri"/>
                            <w:b/>
                            <w:sz w:val="20"/>
                          </w:rPr>
                        </w:pPr>
                        <w:r>
                          <w:rPr>
                            <w:rFonts w:ascii="Calibri"/>
                            <w:b/>
                            <w:color w:val="A4A4A4"/>
                            <w:position w:val="-16"/>
                            <w:sz w:val="20"/>
                          </w:rPr>
                          <w:t>49.7%</w:t>
                        </w:r>
                        <w:r>
                          <w:rPr>
                            <w:rFonts w:ascii="Calibri"/>
                            <w:b/>
                            <w:color w:val="A4A4A4"/>
                            <w:spacing w:val="1"/>
                            <w:position w:val="-16"/>
                            <w:sz w:val="20"/>
                          </w:rPr>
                          <w:t> </w:t>
                        </w:r>
                        <w:r>
                          <w:rPr>
                            <w:rFonts w:ascii="Calibri"/>
                            <w:b/>
                            <w:color w:val="A4A4A4"/>
                            <w:position w:val="-7"/>
                            <w:sz w:val="20"/>
                          </w:rPr>
                          <w:t>50.2%</w:t>
                        </w:r>
                        <w:r>
                          <w:rPr>
                            <w:rFonts w:ascii="Calibri"/>
                            <w:b/>
                            <w:color w:val="A4A4A4"/>
                            <w:spacing w:val="-12"/>
                            <w:position w:val="-7"/>
                            <w:sz w:val="20"/>
                          </w:rPr>
                          <w:t> </w:t>
                        </w:r>
                        <w:r>
                          <w:rPr>
                            <w:rFonts w:ascii="Calibri"/>
                            <w:b/>
                            <w:color w:val="A4A4A4"/>
                            <w:spacing w:val="-2"/>
                            <w:sz w:val="20"/>
                          </w:rPr>
                          <w:t>50.8%</w:t>
                        </w:r>
                      </w:p>
                    </w:txbxContent>
                  </v:textbox>
                  <w10:wrap type="none"/>
                </v:shape>
                <v:shape style="position:absolute;left:3210;top:1496;width:1040;height:279" type="#_x0000_t202" id="docshape386" filled="false" stroked="false">
                  <v:textbox inset="0,0,0,0">
                    <w:txbxContent>
                      <w:p>
                        <w:pPr>
                          <w:spacing w:line="187" w:lineRule="auto" w:before="0"/>
                          <w:ind w:left="0" w:right="0" w:firstLine="0"/>
                          <w:jc w:val="left"/>
                          <w:rPr>
                            <w:rFonts w:ascii="Calibri"/>
                            <w:b/>
                            <w:sz w:val="20"/>
                          </w:rPr>
                        </w:pPr>
                        <w:r>
                          <w:rPr>
                            <w:rFonts w:ascii="Calibri"/>
                            <w:b/>
                            <w:color w:val="A4A4A4"/>
                            <w:spacing w:val="-2"/>
                            <w:position w:val="-7"/>
                            <w:sz w:val="20"/>
                          </w:rPr>
                          <w:t>48.6%</w:t>
                        </w:r>
                        <w:r>
                          <w:rPr>
                            <w:rFonts w:ascii="Calibri"/>
                            <w:b/>
                            <w:color w:val="A4A4A4"/>
                            <w:spacing w:val="-27"/>
                            <w:position w:val="-7"/>
                            <w:sz w:val="20"/>
                          </w:rPr>
                          <w:t> </w:t>
                        </w:r>
                        <w:r>
                          <w:rPr>
                            <w:rFonts w:ascii="Calibri"/>
                            <w:b/>
                            <w:color w:val="A4A4A4"/>
                            <w:spacing w:val="-4"/>
                            <w:sz w:val="20"/>
                          </w:rPr>
                          <w:t>49.1%</w:t>
                        </w:r>
                      </w:p>
                    </w:txbxContent>
                  </v:textbox>
                  <w10:wrap type="none"/>
                </v:shape>
                <v:shape style="position:absolute;left:2033;top:1608;width:367;height:200" type="#_x0000_t202" id="docshape387" filled="false" stroked="false">
                  <v:textbox inset="0,0,0,0">
                    <w:txbxContent>
                      <w:p>
                        <w:pPr>
                          <w:spacing w:line="199" w:lineRule="exact" w:before="0"/>
                          <w:ind w:left="0" w:right="0" w:firstLine="0"/>
                          <w:jc w:val="left"/>
                          <w:rPr>
                            <w:rFonts w:ascii="Calibri"/>
                            <w:sz w:val="20"/>
                          </w:rPr>
                        </w:pPr>
                        <w:r>
                          <w:rPr>
                            <w:rFonts w:ascii="Calibri"/>
                            <w:spacing w:val="-5"/>
                            <w:sz w:val="20"/>
                          </w:rPr>
                          <w:t>50%</w:t>
                        </w:r>
                      </w:p>
                    </w:txbxContent>
                  </v:textbox>
                  <w10:wrap type="none"/>
                </v:shape>
                <v:shape style="position:absolute;left:5963;top:809;width:3791;height:635" type="#_x0000_t202" id="docshape388" filled="false" stroked="false">
                  <v:textbox inset="0,0,0,0">
                    <w:txbxContent>
                      <w:p>
                        <w:pPr>
                          <w:spacing w:line="160" w:lineRule="auto" w:before="0"/>
                          <w:ind w:left="1668" w:right="0" w:firstLine="0"/>
                          <w:jc w:val="left"/>
                          <w:rPr>
                            <w:rFonts w:ascii="Calibri"/>
                            <w:b/>
                            <w:sz w:val="20"/>
                          </w:rPr>
                        </w:pPr>
                        <w:r>
                          <w:rPr>
                            <w:rFonts w:ascii="Calibri"/>
                            <w:b/>
                            <w:color w:val="A4A4A4"/>
                            <w:position w:val="-19"/>
                            <w:sz w:val="20"/>
                          </w:rPr>
                          <w:t>53.0%</w:t>
                        </w:r>
                        <w:r>
                          <w:rPr>
                            <w:rFonts w:ascii="Calibri"/>
                            <w:b/>
                            <w:color w:val="A4A4A4"/>
                            <w:spacing w:val="40"/>
                            <w:position w:val="-19"/>
                            <w:sz w:val="20"/>
                          </w:rPr>
                          <w:t> </w:t>
                        </w:r>
                        <w:r>
                          <w:rPr>
                            <w:rFonts w:ascii="Calibri"/>
                            <w:b/>
                            <w:color w:val="A4A4A4"/>
                            <w:position w:val="-11"/>
                            <w:sz w:val="20"/>
                          </w:rPr>
                          <w:t>53.6%</w:t>
                        </w:r>
                        <w:r>
                          <w:rPr>
                            <w:rFonts w:ascii="Calibri"/>
                            <w:b/>
                            <w:color w:val="A4A4A4"/>
                            <w:spacing w:val="-26"/>
                            <w:position w:val="-11"/>
                            <w:sz w:val="20"/>
                          </w:rPr>
                          <w:t> </w:t>
                        </w:r>
                        <w:r>
                          <w:rPr>
                            <w:rFonts w:ascii="Calibri"/>
                            <w:b/>
                            <w:color w:val="A4A4A4"/>
                            <w:spacing w:val="-2"/>
                            <w:position w:val="-5"/>
                            <w:sz w:val="20"/>
                          </w:rPr>
                          <w:t>54.2%</w:t>
                        </w:r>
                        <w:r>
                          <w:rPr>
                            <w:rFonts w:ascii="Calibri"/>
                            <w:b/>
                            <w:color w:val="A4A4A4"/>
                            <w:spacing w:val="-2"/>
                            <w:sz w:val="20"/>
                          </w:rPr>
                          <w:t>54.7%</w:t>
                        </w:r>
                      </w:p>
                      <w:p>
                        <w:pPr>
                          <w:spacing w:line="134" w:lineRule="auto" w:before="0"/>
                          <w:ind w:left="0" w:right="0" w:firstLine="0"/>
                          <w:jc w:val="left"/>
                          <w:rPr>
                            <w:rFonts w:ascii="Calibri"/>
                            <w:b/>
                            <w:sz w:val="20"/>
                          </w:rPr>
                        </w:pPr>
                        <w:r>
                          <w:rPr>
                            <w:rFonts w:ascii="Calibri"/>
                            <w:b/>
                            <w:color w:val="A4A4A4"/>
                            <w:position w:val="-14"/>
                            <w:sz w:val="20"/>
                          </w:rPr>
                          <w:t>51.4%</w:t>
                        </w:r>
                        <w:r>
                          <w:rPr>
                            <w:rFonts w:ascii="Calibri"/>
                            <w:b/>
                            <w:color w:val="A4A4A4"/>
                            <w:spacing w:val="-10"/>
                            <w:position w:val="-14"/>
                            <w:sz w:val="20"/>
                          </w:rPr>
                          <w:t> </w:t>
                        </w:r>
                        <w:r>
                          <w:rPr>
                            <w:rFonts w:ascii="Calibri"/>
                            <w:b/>
                            <w:color w:val="A4A4A4"/>
                            <w:position w:val="-6"/>
                            <w:sz w:val="20"/>
                          </w:rPr>
                          <w:t>51.9%</w:t>
                        </w:r>
                        <w:r>
                          <w:rPr>
                            <w:rFonts w:ascii="Calibri"/>
                            <w:b/>
                            <w:color w:val="A4A4A4"/>
                            <w:spacing w:val="-25"/>
                            <w:position w:val="-6"/>
                            <w:sz w:val="20"/>
                          </w:rPr>
                          <w:t> </w:t>
                        </w:r>
                        <w:r>
                          <w:rPr>
                            <w:rFonts w:ascii="Calibri"/>
                            <w:b/>
                            <w:color w:val="A4A4A4"/>
                            <w:spacing w:val="-2"/>
                            <w:sz w:val="20"/>
                          </w:rPr>
                          <w:t>52.5%</w:t>
                        </w:r>
                      </w:p>
                    </w:txbxContent>
                  </v:textbox>
                  <w10:wrap type="none"/>
                </v:shape>
                <v:shape style="position:absolute;left:2033;top:976;width:367;height:200" type="#_x0000_t202" id="docshape389" filled="false" stroked="false">
                  <v:textbox inset="0,0,0,0">
                    <w:txbxContent>
                      <w:p>
                        <w:pPr>
                          <w:spacing w:line="199" w:lineRule="exact" w:before="0"/>
                          <w:ind w:left="0" w:right="0" w:firstLine="0"/>
                          <w:jc w:val="left"/>
                          <w:rPr>
                            <w:rFonts w:ascii="Calibri"/>
                            <w:sz w:val="20"/>
                          </w:rPr>
                        </w:pPr>
                        <w:r>
                          <w:rPr>
                            <w:rFonts w:ascii="Calibri"/>
                            <w:spacing w:val="-5"/>
                            <w:sz w:val="20"/>
                          </w:rPr>
                          <w:t>55%</w:t>
                        </w:r>
                      </w:p>
                    </w:txbxContent>
                  </v:textbox>
                  <w10:wrap type="none"/>
                </v:shape>
                <v:shape style="position:absolute;left:2033;top:344;width:367;height:200" type="#_x0000_t202" id="docshape390" filled="false" stroked="false">
                  <v:textbox inset="0,0,0,0">
                    <w:txbxContent>
                      <w:p>
                        <w:pPr>
                          <w:spacing w:line="199" w:lineRule="exact" w:before="0"/>
                          <w:ind w:left="0" w:right="0" w:firstLine="0"/>
                          <w:jc w:val="left"/>
                          <w:rPr>
                            <w:rFonts w:ascii="Calibri"/>
                            <w:sz w:val="20"/>
                          </w:rPr>
                        </w:pPr>
                        <w:r>
                          <w:rPr>
                            <w:rFonts w:ascii="Calibri"/>
                            <w:spacing w:val="-5"/>
                            <w:sz w:val="20"/>
                          </w:rPr>
                          <w:t>60%</w:t>
                        </w:r>
                      </w:p>
                    </w:txbxContent>
                  </v:textbox>
                  <w10:wrap type="none"/>
                </v:shape>
                <w10:wrap type="topAndBottom"/>
              </v:group>
            </w:pict>
          </mc:Fallback>
        </mc:AlternateContent>
      </w:r>
    </w:p>
    <w:p>
      <w:pPr>
        <w:pStyle w:val="BodyText"/>
        <w:spacing w:before="1"/>
        <w:rPr>
          <w:sz w:val="20"/>
        </w:rPr>
      </w:pPr>
    </w:p>
    <w:p>
      <w:pPr>
        <w:spacing w:line="328" w:lineRule="auto" w:before="0"/>
        <w:ind w:left="143" w:right="5492" w:firstLine="0"/>
        <w:jc w:val="left"/>
        <w:rPr>
          <w:sz w:val="16"/>
        </w:rPr>
      </w:pPr>
      <w:r>
        <w:rPr>
          <w:sz w:val="16"/>
        </w:rPr>
        <w:t>Fuente:</w:t>
      </w:r>
      <w:r>
        <w:rPr>
          <w:spacing w:val="-9"/>
          <w:sz w:val="16"/>
        </w:rPr>
        <w:t> </w:t>
      </w:r>
      <w:r>
        <w:rPr>
          <w:sz w:val="16"/>
        </w:rPr>
        <w:t>Reporte</w:t>
      </w:r>
      <w:r>
        <w:rPr>
          <w:spacing w:val="-9"/>
          <w:sz w:val="16"/>
        </w:rPr>
        <w:t> </w:t>
      </w:r>
      <w:r>
        <w:rPr>
          <w:sz w:val="16"/>
        </w:rPr>
        <w:t>de</w:t>
      </w:r>
      <w:r>
        <w:rPr>
          <w:spacing w:val="-9"/>
          <w:sz w:val="16"/>
        </w:rPr>
        <w:t> </w:t>
      </w:r>
      <w:r>
        <w:rPr>
          <w:sz w:val="16"/>
        </w:rPr>
        <w:t>seguimiento</w:t>
      </w:r>
      <w:r>
        <w:rPr>
          <w:spacing w:val="-10"/>
          <w:sz w:val="16"/>
        </w:rPr>
        <w:t> </w:t>
      </w:r>
      <w:r>
        <w:rPr>
          <w:sz w:val="16"/>
        </w:rPr>
        <w:t>de</w:t>
      </w:r>
      <w:r>
        <w:rPr>
          <w:spacing w:val="-8"/>
          <w:sz w:val="16"/>
        </w:rPr>
        <w:t> </w:t>
      </w:r>
      <w:r>
        <w:rPr>
          <w:sz w:val="16"/>
        </w:rPr>
        <w:t>PNIG Elaboración</w:t>
      </w:r>
      <w:r>
        <w:rPr>
          <w:spacing w:val="-2"/>
          <w:sz w:val="16"/>
        </w:rPr>
        <w:t> </w:t>
      </w:r>
      <w:r>
        <w:rPr>
          <w:sz w:val="16"/>
        </w:rPr>
        <w:t>Propia</w:t>
      </w:r>
    </w:p>
    <w:p>
      <w:pPr>
        <w:pStyle w:val="BodyText"/>
        <w:rPr>
          <w:sz w:val="16"/>
        </w:rPr>
      </w:pPr>
    </w:p>
    <w:p>
      <w:pPr>
        <w:pStyle w:val="BodyText"/>
        <w:spacing w:before="178"/>
        <w:rPr>
          <w:sz w:val="16"/>
        </w:rPr>
      </w:pPr>
    </w:p>
    <w:p>
      <w:pPr>
        <w:pStyle w:val="BodyText"/>
        <w:spacing w:line="326" w:lineRule="auto"/>
        <w:ind w:left="143" w:right="714"/>
        <w:jc w:val="both"/>
      </w:pPr>
      <w:r>
        <w:rPr/>
        <w:t>OP.06 Reducir la incidencia de los patrones socioculturales discriminatorios en la población.</w:t>
      </w:r>
    </w:p>
    <w:p>
      <w:pPr>
        <w:pStyle w:val="BodyText"/>
        <w:spacing w:line="326" w:lineRule="auto" w:before="162"/>
        <w:ind w:left="143" w:right="701"/>
        <w:jc w:val="both"/>
      </w:pPr>
      <w:r>
        <w:rPr/>
        <w:t>El OP.06 se mide con el indicador “Índice de tolerancia social a patrones socio culturales discriminatorios”, la fuente de datos que utiliza es ENARES y el responsable del indicador es la DGCVG. Respecto al 2023, no se cuenta con información</w:t>
      </w:r>
      <w:r>
        <w:rPr>
          <w:spacing w:val="-1"/>
        </w:rPr>
        <w:t> </w:t>
      </w:r>
      <w:r>
        <w:rPr/>
        <w:t>del avance</w:t>
      </w:r>
      <w:r>
        <w:rPr>
          <w:spacing w:val="-1"/>
        </w:rPr>
        <w:t> </w:t>
      </w:r>
      <w:r>
        <w:rPr/>
        <w:t>de</w:t>
      </w:r>
      <w:r>
        <w:rPr>
          <w:spacing w:val="-1"/>
        </w:rPr>
        <w:t> </w:t>
      </w:r>
      <w:r>
        <w:rPr/>
        <w:t>este</w:t>
      </w:r>
      <w:r>
        <w:rPr>
          <w:spacing w:val="-1"/>
        </w:rPr>
        <w:t> </w:t>
      </w:r>
      <w:r>
        <w:rPr/>
        <w:t>indicador. Precisar que</w:t>
      </w:r>
      <w:r>
        <w:rPr>
          <w:spacing w:val="-1"/>
        </w:rPr>
        <w:t> </w:t>
      </w:r>
      <w:r>
        <w:rPr/>
        <w:t>la</w:t>
      </w:r>
      <w:r>
        <w:rPr>
          <w:spacing w:val="-1"/>
        </w:rPr>
        <w:t> </w:t>
      </w:r>
      <w:r>
        <w:rPr/>
        <w:t>ENARES</w:t>
      </w:r>
      <w:r>
        <w:rPr>
          <w:spacing w:val="-2"/>
        </w:rPr>
        <w:t> </w:t>
      </w:r>
      <w:r>
        <w:rPr/>
        <w:t>no se</w:t>
      </w:r>
      <w:r>
        <w:rPr>
          <w:spacing w:val="-1"/>
        </w:rPr>
        <w:t> </w:t>
      </w:r>
      <w:r>
        <w:rPr/>
        <w:t>había</w:t>
      </w:r>
    </w:p>
    <w:p>
      <w:pPr>
        <w:pStyle w:val="BodyText"/>
        <w:spacing w:after="0" w:line="326" w:lineRule="auto"/>
        <w:jc w:val="both"/>
        <w:sectPr>
          <w:pgSz w:w="11910" w:h="16840"/>
          <w:pgMar w:header="713" w:footer="1000" w:top="1420" w:bottom="1200" w:left="1559" w:right="992"/>
        </w:sectPr>
      </w:pPr>
    </w:p>
    <w:p>
      <w:pPr>
        <w:pStyle w:val="BodyText"/>
        <w:spacing w:line="324" w:lineRule="auto" w:before="126"/>
        <w:ind w:left="143" w:right="710"/>
        <w:jc w:val="both"/>
      </w:pPr>
      <w:r>
        <w:rPr>
          <w:w w:val="105"/>
        </w:rPr>
        <w:t>ejecutado</w:t>
      </w:r>
      <w:r>
        <w:rPr>
          <w:spacing w:val="-7"/>
          <w:w w:val="105"/>
        </w:rPr>
        <w:t> </w:t>
      </w:r>
      <w:r>
        <w:rPr>
          <w:w w:val="105"/>
        </w:rPr>
        <w:t>desde</w:t>
      </w:r>
      <w:r>
        <w:rPr>
          <w:spacing w:val="-9"/>
          <w:w w:val="105"/>
        </w:rPr>
        <w:t> </w:t>
      </w:r>
      <w:r>
        <w:rPr>
          <w:w w:val="105"/>
        </w:rPr>
        <w:t>el</w:t>
      </w:r>
      <w:r>
        <w:rPr>
          <w:spacing w:val="-8"/>
          <w:w w:val="105"/>
        </w:rPr>
        <w:t> </w:t>
      </w:r>
      <w:r>
        <w:rPr>
          <w:w w:val="105"/>
        </w:rPr>
        <w:t>2019,</w:t>
      </w:r>
      <w:r>
        <w:rPr>
          <w:spacing w:val="-8"/>
          <w:w w:val="105"/>
        </w:rPr>
        <w:t> </w:t>
      </w:r>
      <w:r>
        <w:rPr>
          <w:w w:val="105"/>
        </w:rPr>
        <w:t>pero</w:t>
      </w:r>
      <w:r>
        <w:rPr>
          <w:spacing w:val="-8"/>
          <w:w w:val="105"/>
        </w:rPr>
        <w:t> </w:t>
      </w:r>
      <w:r>
        <w:rPr>
          <w:w w:val="105"/>
        </w:rPr>
        <w:t>se</w:t>
      </w:r>
      <w:r>
        <w:rPr>
          <w:spacing w:val="-9"/>
          <w:w w:val="105"/>
        </w:rPr>
        <w:t> </w:t>
      </w:r>
      <w:r>
        <w:rPr>
          <w:w w:val="105"/>
        </w:rPr>
        <w:t>viene</w:t>
      </w:r>
      <w:r>
        <w:rPr>
          <w:spacing w:val="-8"/>
          <w:w w:val="105"/>
        </w:rPr>
        <w:t> </w:t>
      </w:r>
      <w:r>
        <w:rPr>
          <w:w w:val="105"/>
        </w:rPr>
        <w:t>ejecutando</w:t>
      </w:r>
      <w:r>
        <w:rPr>
          <w:spacing w:val="-9"/>
          <w:w w:val="105"/>
        </w:rPr>
        <w:t> </w:t>
      </w:r>
      <w:r>
        <w:rPr>
          <w:w w:val="105"/>
        </w:rPr>
        <w:t>en</w:t>
      </w:r>
      <w:r>
        <w:rPr>
          <w:spacing w:val="-9"/>
          <w:w w:val="105"/>
        </w:rPr>
        <w:t> </w:t>
      </w:r>
      <w:r>
        <w:rPr>
          <w:w w:val="105"/>
        </w:rPr>
        <w:t>el</w:t>
      </w:r>
      <w:r>
        <w:rPr>
          <w:spacing w:val="-9"/>
          <w:w w:val="105"/>
        </w:rPr>
        <w:t> </w:t>
      </w:r>
      <w:r>
        <w:rPr>
          <w:w w:val="105"/>
        </w:rPr>
        <w:t>presente</w:t>
      </w:r>
      <w:r>
        <w:rPr>
          <w:spacing w:val="-9"/>
          <w:w w:val="105"/>
        </w:rPr>
        <w:t> </w:t>
      </w:r>
      <w:r>
        <w:rPr>
          <w:w w:val="105"/>
        </w:rPr>
        <w:t>año</w:t>
      </w:r>
      <w:r>
        <w:rPr>
          <w:spacing w:val="-8"/>
          <w:w w:val="105"/>
        </w:rPr>
        <w:t> </w:t>
      </w:r>
      <w:r>
        <w:rPr>
          <w:w w:val="105"/>
        </w:rPr>
        <w:t>2024, por</w:t>
      </w:r>
      <w:r>
        <w:rPr>
          <w:spacing w:val="-8"/>
          <w:w w:val="105"/>
        </w:rPr>
        <w:t> </w:t>
      </w:r>
      <w:r>
        <w:rPr>
          <w:w w:val="105"/>
        </w:rPr>
        <w:t>lo</w:t>
      </w:r>
      <w:r>
        <w:rPr>
          <w:spacing w:val="-7"/>
          <w:w w:val="105"/>
        </w:rPr>
        <w:t> </w:t>
      </w:r>
      <w:r>
        <w:rPr>
          <w:w w:val="105"/>
        </w:rPr>
        <w:t>que</w:t>
      </w:r>
      <w:r>
        <w:rPr>
          <w:spacing w:val="-9"/>
          <w:w w:val="105"/>
        </w:rPr>
        <w:t> </w:t>
      </w:r>
      <w:r>
        <w:rPr>
          <w:w w:val="105"/>
        </w:rPr>
        <w:t>se</w:t>
      </w:r>
      <w:r>
        <w:rPr>
          <w:spacing w:val="-8"/>
          <w:w w:val="105"/>
        </w:rPr>
        <w:t> </w:t>
      </w:r>
      <w:r>
        <w:rPr>
          <w:w w:val="105"/>
        </w:rPr>
        <w:t>contará</w:t>
      </w:r>
      <w:r>
        <w:rPr>
          <w:spacing w:val="-9"/>
          <w:w w:val="105"/>
        </w:rPr>
        <w:t> </w:t>
      </w:r>
      <w:r>
        <w:rPr>
          <w:w w:val="105"/>
        </w:rPr>
        <w:t>con</w:t>
      </w:r>
      <w:r>
        <w:rPr>
          <w:spacing w:val="-8"/>
          <w:w w:val="105"/>
        </w:rPr>
        <w:t> </w:t>
      </w:r>
      <w:r>
        <w:rPr>
          <w:w w:val="105"/>
        </w:rPr>
        <w:t>información</w:t>
      </w:r>
      <w:r>
        <w:rPr>
          <w:spacing w:val="-8"/>
          <w:w w:val="105"/>
        </w:rPr>
        <w:t> </w:t>
      </w:r>
      <w:r>
        <w:rPr>
          <w:w w:val="105"/>
        </w:rPr>
        <w:t>para</w:t>
      </w:r>
      <w:r>
        <w:rPr>
          <w:spacing w:val="-10"/>
          <w:w w:val="105"/>
        </w:rPr>
        <w:t> </w:t>
      </w:r>
      <w:r>
        <w:rPr>
          <w:w w:val="105"/>
        </w:rPr>
        <w:t>el</w:t>
      </w:r>
      <w:r>
        <w:rPr>
          <w:spacing w:val="-7"/>
          <w:w w:val="105"/>
        </w:rPr>
        <w:t> </w:t>
      </w:r>
      <w:r>
        <w:rPr>
          <w:w w:val="105"/>
        </w:rPr>
        <w:t>siguiente</w:t>
      </w:r>
      <w:r>
        <w:rPr>
          <w:spacing w:val="-10"/>
          <w:w w:val="105"/>
        </w:rPr>
        <w:t> </w:t>
      </w:r>
      <w:r>
        <w:rPr>
          <w:w w:val="105"/>
        </w:rPr>
        <w:t>período.</w:t>
      </w:r>
    </w:p>
    <w:p>
      <w:pPr>
        <w:pStyle w:val="BodyText"/>
        <w:spacing w:before="162"/>
        <w:ind w:left="143"/>
        <w:jc w:val="both"/>
      </w:pPr>
      <w:bookmarkStart w:name="_bookmark12" w:id="13"/>
      <w:bookmarkEnd w:id="13"/>
      <w:r>
        <w:rPr/>
      </w:r>
      <w:r>
        <w:rPr>
          <w:color w:val="1F3762"/>
        </w:rPr>
        <w:t>Resultados</w:t>
      </w:r>
      <w:r>
        <w:rPr>
          <w:color w:val="1F3762"/>
          <w:spacing w:val="-13"/>
        </w:rPr>
        <w:t> </w:t>
      </w:r>
      <w:r>
        <w:rPr>
          <w:color w:val="1F3762"/>
        </w:rPr>
        <w:t>a</w:t>
      </w:r>
      <w:r>
        <w:rPr>
          <w:color w:val="1F3762"/>
          <w:spacing w:val="-11"/>
        </w:rPr>
        <w:t> </w:t>
      </w:r>
      <w:r>
        <w:rPr>
          <w:color w:val="1F3762"/>
        </w:rPr>
        <w:t>nivel</w:t>
      </w:r>
      <w:r>
        <w:rPr>
          <w:color w:val="1F3762"/>
          <w:spacing w:val="-14"/>
        </w:rPr>
        <w:t> </w:t>
      </w:r>
      <w:r>
        <w:rPr>
          <w:color w:val="1F3762"/>
        </w:rPr>
        <w:t>de</w:t>
      </w:r>
      <w:r>
        <w:rPr>
          <w:color w:val="1F3762"/>
          <w:spacing w:val="-15"/>
        </w:rPr>
        <w:t> </w:t>
      </w:r>
      <w:r>
        <w:rPr>
          <w:color w:val="1F3762"/>
          <w:spacing w:val="-2"/>
        </w:rPr>
        <w:t>Servicios</w:t>
      </w:r>
    </w:p>
    <w:p>
      <w:pPr>
        <w:pStyle w:val="BodyText"/>
        <w:spacing w:before="40"/>
      </w:pPr>
    </w:p>
    <w:p>
      <w:pPr>
        <w:pStyle w:val="BodyText"/>
        <w:spacing w:before="1"/>
        <w:ind w:left="143"/>
        <w:jc w:val="both"/>
      </w:pPr>
      <w:r>
        <w:rPr/>
        <w:t>Por</w:t>
      </w:r>
      <w:r>
        <w:rPr>
          <w:spacing w:val="-7"/>
        </w:rPr>
        <w:t> </w:t>
      </w:r>
      <w:r>
        <w:rPr/>
        <w:t>otro</w:t>
      </w:r>
      <w:r>
        <w:rPr>
          <w:spacing w:val="-7"/>
        </w:rPr>
        <w:t> </w:t>
      </w:r>
      <w:r>
        <w:rPr/>
        <w:t>lado,</w:t>
      </w:r>
      <w:r>
        <w:rPr>
          <w:spacing w:val="-8"/>
        </w:rPr>
        <w:t> </w:t>
      </w:r>
      <w:r>
        <w:rPr/>
        <w:t>si</w:t>
      </w:r>
      <w:r>
        <w:rPr>
          <w:spacing w:val="-5"/>
        </w:rPr>
        <w:t> </w:t>
      </w:r>
      <w:r>
        <w:rPr/>
        <w:t>analizamos</w:t>
      </w:r>
      <w:r>
        <w:rPr>
          <w:spacing w:val="-5"/>
        </w:rPr>
        <w:t> </w:t>
      </w:r>
      <w:r>
        <w:rPr/>
        <w:t>los</w:t>
      </w:r>
      <w:r>
        <w:rPr>
          <w:spacing w:val="-6"/>
        </w:rPr>
        <w:t> </w:t>
      </w:r>
      <w:r>
        <w:rPr/>
        <w:t>resultados</w:t>
      </w:r>
      <w:r>
        <w:rPr>
          <w:spacing w:val="-5"/>
        </w:rPr>
        <w:t> </w:t>
      </w:r>
      <w:r>
        <w:rPr/>
        <w:t>a</w:t>
      </w:r>
      <w:r>
        <w:rPr>
          <w:spacing w:val="-8"/>
        </w:rPr>
        <w:t> </w:t>
      </w:r>
      <w:r>
        <w:rPr/>
        <w:t>nivel</w:t>
      </w:r>
      <w:r>
        <w:rPr>
          <w:spacing w:val="-6"/>
        </w:rPr>
        <w:t> </w:t>
      </w:r>
      <w:r>
        <w:rPr/>
        <w:t>de</w:t>
      </w:r>
      <w:r>
        <w:rPr>
          <w:spacing w:val="-6"/>
        </w:rPr>
        <w:t> </w:t>
      </w:r>
      <w:r>
        <w:rPr/>
        <w:t>servicios,</w:t>
      </w:r>
      <w:r>
        <w:rPr>
          <w:spacing w:val="-6"/>
        </w:rPr>
        <w:t> </w:t>
      </w:r>
      <w:r>
        <w:rPr/>
        <w:t>la</w:t>
      </w:r>
      <w:r>
        <w:rPr>
          <w:spacing w:val="-6"/>
        </w:rPr>
        <w:t> </w:t>
      </w:r>
      <w:r>
        <w:rPr/>
        <w:t>medición</w:t>
      </w:r>
      <w:r>
        <w:rPr>
          <w:spacing w:val="-8"/>
        </w:rPr>
        <w:t> </w:t>
      </w:r>
      <w:r>
        <w:rPr>
          <w:spacing w:val="-5"/>
        </w:rPr>
        <w:t>del</w:t>
      </w:r>
    </w:p>
    <w:p>
      <w:pPr>
        <w:pStyle w:val="BodyText"/>
        <w:spacing w:line="326" w:lineRule="auto" w:before="264"/>
        <w:ind w:left="143" w:right="704"/>
        <w:jc w:val="both"/>
      </w:pPr>
      <w:r>
        <w:rPr/>
        <w:t>avance de todos los indicadores de servicios de la PNIG se realizó utilizando como fuente de datos los registros administrativos especificados en la ficha de indicadores.</w:t>
      </w:r>
      <w:r>
        <w:rPr>
          <w:spacing w:val="-13"/>
        </w:rPr>
        <w:t> </w:t>
      </w:r>
      <w:r>
        <w:rPr/>
        <w:t>En</w:t>
      </w:r>
      <w:r>
        <w:rPr>
          <w:spacing w:val="-14"/>
        </w:rPr>
        <w:t> </w:t>
      </w:r>
      <w:r>
        <w:rPr/>
        <w:t>base</w:t>
      </w:r>
      <w:r>
        <w:rPr>
          <w:spacing w:val="-13"/>
        </w:rPr>
        <w:t> </w:t>
      </w:r>
      <w:r>
        <w:rPr/>
        <w:t>a</w:t>
      </w:r>
      <w:r>
        <w:rPr>
          <w:spacing w:val="-13"/>
        </w:rPr>
        <w:t> </w:t>
      </w:r>
      <w:r>
        <w:rPr/>
        <w:t>dichas</w:t>
      </w:r>
      <w:r>
        <w:rPr>
          <w:spacing w:val="-10"/>
        </w:rPr>
        <w:t> </w:t>
      </w:r>
      <w:r>
        <w:rPr/>
        <w:t>fuentes,</w:t>
      </w:r>
      <w:r>
        <w:rPr>
          <w:spacing w:val="-12"/>
        </w:rPr>
        <w:t> </w:t>
      </w:r>
      <w:r>
        <w:rPr/>
        <w:t>para</w:t>
      </w:r>
      <w:r>
        <w:rPr>
          <w:spacing w:val="-11"/>
        </w:rPr>
        <w:t> </w:t>
      </w:r>
      <w:r>
        <w:rPr/>
        <w:t>el</w:t>
      </w:r>
      <w:r>
        <w:rPr>
          <w:spacing w:val="-13"/>
        </w:rPr>
        <w:t> </w:t>
      </w:r>
      <w:r>
        <w:rPr/>
        <w:t>año</w:t>
      </w:r>
      <w:r>
        <w:rPr>
          <w:spacing w:val="-10"/>
        </w:rPr>
        <w:t> </w:t>
      </w:r>
      <w:r>
        <w:rPr/>
        <w:t>2023,</w:t>
      </w:r>
      <w:r>
        <w:rPr>
          <w:spacing w:val="-12"/>
        </w:rPr>
        <w:t> </w:t>
      </w:r>
      <w:r>
        <w:rPr/>
        <w:t>se</w:t>
      </w:r>
      <w:r>
        <w:rPr>
          <w:spacing w:val="-11"/>
        </w:rPr>
        <w:t> </w:t>
      </w:r>
      <w:r>
        <w:rPr/>
        <w:t>reportó</w:t>
      </w:r>
      <w:r>
        <w:rPr>
          <w:spacing w:val="-12"/>
        </w:rPr>
        <w:t> </w:t>
      </w:r>
      <w:r>
        <w:rPr/>
        <w:t>el</w:t>
      </w:r>
      <w:r>
        <w:rPr>
          <w:spacing w:val="-10"/>
        </w:rPr>
        <w:t> </w:t>
      </w:r>
      <w:r>
        <w:rPr/>
        <w:t>avance</w:t>
      </w:r>
      <w:r>
        <w:rPr>
          <w:spacing w:val="-11"/>
        </w:rPr>
        <w:t> </w:t>
      </w:r>
      <w:r>
        <w:rPr/>
        <w:t>de 32 indicadores de un total de 35, en tanto contaban con meta programada para ese año. Mientras que 3 indicadores no fueron reportados debido a dificultades para contar con la información</w:t>
      </w:r>
    </w:p>
    <w:p>
      <w:pPr>
        <w:pStyle w:val="BodyText"/>
      </w:pPr>
    </w:p>
    <w:p>
      <w:pPr>
        <w:pStyle w:val="BodyText"/>
      </w:pPr>
    </w:p>
    <w:p>
      <w:pPr>
        <w:pStyle w:val="BodyText"/>
      </w:pPr>
    </w:p>
    <w:p>
      <w:pPr>
        <w:pStyle w:val="BodyText"/>
      </w:pPr>
    </w:p>
    <w:p>
      <w:pPr>
        <w:pStyle w:val="BodyText"/>
      </w:pPr>
    </w:p>
    <w:p>
      <w:pPr>
        <w:pStyle w:val="BodyText"/>
        <w:spacing w:before="270"/>
      </w:pPr>
    </w:p>
    <w:p>
      <w:pPr>
        <w:spacing w:before="0"/>
        <w:ind w:left="1527" w:right="0" w:firstLine="0"/>
        <w:jc w:val="left"/>
        <w:rPr>
          <w:sz w:val="20"/>
        </w:rPr>
      </w:pPr>
      <w:r>
        <w:rPr>
          <w:sz w:val="20"/>
        </w:rPr>
        <mc:AlternateContent>
          <mc:Choice Requires="wps">
            <w:drawing>
              <wp:anchor distT="0" distB="0" distL="0" distR="0" allowOverlap="1" layoutInCell="1" locked="0" behindDoc="0" simplePos="0" relativeHeight="15734272">
                <wp:simplePos x="0" y="0"/>
                <wp:positionH relativeFrom="page">
                  <wp:posOffset>1075372</wp:posOffset>
                </wp:positionH>
                <wp:positionV relativeFrom="paragraph">
                  <wp:posOffset>345742</wp:posOffset>
                </wp:positionV>
                <wp:extent cx="5941060" cy="3613150"/>
                <wp:effectExtent l="0" t="0" r="0" b="0"/>
                <wp:wrapNone/>
                <wp:docPr id="394" name="Group 394"/>
                <wp:cNvGraphicFramePr>
                  <a:graphicFrameLocks/>
                </wp:cNvGraphicFramePr>
                <a:graphic>
                  <a:graphicData uri="http://schemas.microsoft.com/office/word/2010/wordprocessingGroup">
                    <wpg:wgp>
                      <wpg:cNvPr id="394" name="Group 394"/>
                      <wpg:cNvGrpSpPr/>
                      <wpg:grpSpPr>
                        <a:xfrm>
                          <a:off x="0" y="0"/>
                          <a:ext cx="5941060" cy="3613150"/>
                          <a:chExt cx="5941060" cy="3613150"/>
                        </a:xfrm>
                      </wpg:grpSpPr>
                      <wps:wsp>
                        <wps:cNvPr id="395" name="Graphic 395"/>
                        <wps:cNvSpPr/>
                        <wps:spPr>
                          <a:xfrm>
                            <a:off x="4765357" y="507174"/>
                            <a:ext cx="1050925" cy="193675"/>
                          </a:xfrm>
                          <a:custGeom>
                            <a:avLst/>
                            <a:gdLst/>
                            <a:ahLst/>
                            <a:cxnLst/>
                            <a:rect l="l" t="t" r="r" b="b"/>
                            <a:pathLst>
                              <a:path w="1050925" h="193675">
                                <a:moveTo>
                                  <a:pt x="0" y="193675"/>
                                </a:moveTo>
                                <a:lnTo>
                                  <a:pt x="1050925" y="193675"/>
                                </a:lnTo>
                                <a:lnTo>
                                  <a:pt x="1050925" y="0"/>
                                </a:lnTo>
                                <a:lnTo>
                                  <a:pt x="0" y="0"/>
                                </a:lnTo>
                                <a:lnTo>
                                  <a:pt x="0" y="193675"/>
                                </a:lnTo>
                                <a:close/>
                              </a:path>
                            </a:pathLst>
                          </a:custGeom>
                          <a:ln w="9525">
                            <a:solidFill>
                              <a:srgbClr val="82C99C"/>
                            </a:solidFill>
                            <a:prstDash val="solid"/>
                          </a:ln>
                        </wps:spPr>
                        <wps:bodyPr wrap="square" lIns="0" tIns="0" rIns="0" bIns="0" rtlCol="0">
                          <a:prstTxWarp prst="textNoShape">
                            <a:avLst/>
                          </a:prstTxWarp>
                          <a:noAutofit/>
                        </wps:bodyPr>
                      </wps:wsp>
                      <wps:wsp>
                        <wps:cNvPr id="396" name="Graphic 396"/>
                        <wps:cNvSpPr/>
                        <wps:spPr>
                          <a:xfrm>
                            <a:off x="4762" y="4762"/>
                            <a:ext cx="5931535" cy="3603625"/>
                          </a:xfrm>
                          <a:custGeom>
                            <a:avLst/>
                            <a:gdLst/>
                            <a:ahLst/>
                            <a:cxnLst/>
                            <a:rect l="l" t="t" r="r" b="b"/>
                            <a:pathLst>
                              <a:path w="5931535" h="3603625">
                                <a:moveTo>
                                  <a:pt x="0" y="81915"/>
                                </a:moveTo>
                                <a:lnTo>
                                  <a:pt x="6437" y="50041"/>
                                </a:lnTo>
                                <a:lnTo>
                                  <a:pt x="23993" y="24003"/>
                                </a:lnTo>
                                <a:lnTo>
                                  <a:pt x="50031" y="6441"/>
                                </a:lnTo>
                                <a:lnTo>
                                  <a:pt x="81915" y="0"/>
                                </a:lnTo>
                                <a:lnTo>
                                  <a:pt x="5849620" y="0"/>
                                </a:lnTo>
                                <a:lnTo>
                                  <a:pt x="5881493" y="6441"/>
                                </a:lnTo>
                                <a:lnTo>
                                  <a:pt x="5907532" y="24002"/>
                                </a:lnTo>
                                <a:lnTo>
                                  <a:pt x="5925093" y="50041"/>
                                </a:lnTo>
                                <a:lnTo>
                                  <a:pt x="5931535" y="81915"/>
                                </a:lnTo>
                                <a:lnTo>
                                  <a:pt x="5931535" y="3521710"/>
                                </a:lnTo>
                                <a:lnTo>
                                  <a:pt x="5925093" y="3553583"/>
                                </a:lnTo>
                                <a:lnTo>
                                  <a:pt x="5907532" y="3579622"/>
                                </a:lnTo>
                                <a:lnTo>
                                  <a:pt x="5881493" y="3597183"/>
                                </a:lnTo>
                                <a:lnTo>
                                  <a:pt x="5849620" y="3603625"/>
                                </a:lnTo>
                                <a:lnTo>
                                  <a:pt x="81915" y="3603625"/>
                                </a:lnTo>
                                <a:lnTo>
                                  <a:pt x="50031" y="3597183"/>
                                </a:lnTo>
                                <a:lnTo>
                                  <a:pt x="23993" y="3579622"/>
                                </a:lnTo>
                                <a:lnTo>
                                  <a:pt x="6437" y="3553583"/>
                                </a:lnTo>
                                <a:lnTo>
                                  <a:pt x="0" y="3521710"/>
                                </a:lnTo>
                                <a:lnTo>
                                  <a:pt x="0" y="81915"/>
                                </a:lnTo>
                                <a:close/>
                              </a:path>
                            </a:pathLst>
                          </a:custGeom>
                          <a:ln w="9525">
                            <a:solidFill>
                              <a:srgbClr val="9CC2E4"/>
                            </a:solidFill>
                            <a:prstDash val="solid"/>
                          </a:ln>
                        </wps:spPr>
                        <wps:bodyPr wrap="square" lIns="0" tIns="0" rIns="0" bIns="0" rtlCol="0">
                          <a:prstTxWarp prst="textNoShape">
                            <a:avLst/>
                          </a:prstTxWarp>
                          <a:noAutofit/>
                        </wps:bodyPr>
                      </wps:wsp>
                      <wps:wsp>
                        <wps:cNvPr id="397" name="Graphic 397"/>
                        <wps:cNvSpPr/>
                        <wps:spPr>
                          <a:xfrm>
                            <a:off x="78905" y="2154872"/>
                            <a:ext cx="803275" cy="468630"/>
                          </a:xfrm>
                          <a:custGeom>
                            <a:avLst/>
                            <a:gdLst/>
                            <a:ahLst/>
                            <a:cxnLst/>
                            <a:rect l="l" t="t" r="r" b="b"/>
                            <a:pathLst>
                              <a:path w="803275" h="468630">
                                <a:moveTo>
                                  <a:pt x="725195" y="0"/>
                                </a:moveTo>
                                <a:lnTo>
                                  <a:pt x="78092" y="0"/>
                                </a:lnTo>
                                <a:lnTo>
                                  <a:pt x="47695" y="6131"/>
                                </a:lnTo>
                                <a:lnTo>
                                  <a:pt x="22872" y="22859"/>
                                </a:lnTo>
                                <a:lnTo>
                                  <a:pt x="6136" y="47684"/>
                                </a:lnTo>
                                <a:lnTo>
                                  <a:pt x="0" y="78104"/>
                                </a:lnTo>
                                <a:lnTo>
                                  <a:pt x="0" y="390397"/>
                                </a:lnTo>
                                <a:lnTo>
                                  <a:pt x="6136" y="420818"/>
                                </a:lnTo>
                                <a:lnTo>
                                  <a:pt x="22872" y="445642"/>
                                </a:lnTo>
                                <a:lnTo>
                                  <a:pt x="47695" y="462371"/>
                                </a:lnTo>
                                <a:lnTo>
                                  <a:pt x="78092" y="468502"/>
                                </a:lnTo>
                                <a:lnTo>
                                  <a:pt x="725195" y="468502"/>
                                </a:lnTo>
                                <a:lnTo>
                                  <a:pt x="755542" y="462371"/>
                                </a:lnTo>
                                <a:lnTo>
                                  <a:pt x="780329" y="445642"/>
                                </a:lnTo>
                                <a:lnTo>
                                  <a:pt x="797043" y="420818"/>
                                </a:lnTo>
                                <a:lnTo>
                                  <a:pt x="803173" y="390397"/>
                                </a:lnTo>
                                <a:lnTo>
                                  <a:pt x="803173" y="78104"/>
                                </a:lnTo>
                                <a:lnTo>
                                  <a:pt x="797043" y="47684"/>
                                </a:lnTo>
                                <a:lnTo>
                                  <a:pt x="780329" y="22859"/>
                                </a:lnTo>
                                <a:lnTo>
                                  <a:pt x="755542" y="6131"/>
                                </a:lnTo>
                                <a:lnTo>
                                  <a:pt x="725195" y="0"/>
                                </a:lnTo>
                                <a:close/>
                              </a:path>
                            </a:pathLst>
                          </a:custGeom>
                          <a:solidFill>
                            <a:srgbClr val="0076A2"/>
                          </a:solidFill>
                        </wps:spPr>
                        <wps:bodyPr wrap="square" lIns="0" tIns="0" rIns="0" bIns="0" rtlCol="0">
                          <a:prstTxWarp prst="textNoShape">
                            <a:avLst/>
                          </a:prstTxWarp>
                          <a:noAutofit/>
                        </wps:bodyPr>
                      </wps:wsp>
                      <wps:wsp>
                        <wps:cNvPr id="398" name="Graphic 398"/>
                        <wps:cNvSpPr/>
                        <wps:spPr>
                          <a:xfrm>
                            <a:off x="894397" y="1479359"/>
                            <a:ext cx="521334" cy="1878330"/>
                          </a:xfrm>
                          <a:custGeom>
                            <a:avLst/>
                            <a:gdLst/>
                            <a:ahLst/>
                            <a:cxnLst/>
                            <a:rect l="l" t="t" r="r" b="b"/>
                            <a:pathLst>
                              <a:path w="521334" h="1878330">
                                <a:moveTo>
                                  <a:pt x="273050" y="1530477"/>
                                </a:moveTo>
                                <a:lnTo>
                                  <a:pt x="273050" y="1877822"/>
                                </a:lnTo>
                              </a:path>
                              <a:path w="521334" h="1878330">
                                <a:moveTo>
                                  <a:pt x="273050" y="492506"/>
                                </a:moveTo>
                                <a:lnTo>
                                  <a:pt x="273050" y="1252169"/>
                                </a:lnTo>
                              </a:path>
                              <a:path w="521334" h="1878330">
                                <a:moveTo>
                                  <a:pt x="273050" y="0"/>
                                </a:moveTo>
                                <a:lnTo>
                                  <a:pt x="273050" y="214198"/>
                                </a:lnTo>
                              </a:path>
                              <a:path w="521334" h="1878330">
                                <a:moveTo>
                                  <a:pt x="0" y="900557"/>
                                </a:moveTo>
                                <a:lnTo>
                                  <a:pt x="259206" y="900557"/>
                                </a:lnTo>
                              </a:path>
                              <a:path w="521334" h="1878330">
                                <a:moveTo>
                                  <a:pt x="281178" y="0"/>
                                </a:moveTo>
                                <a:lnTo>
                                  <a:pt x="521335" y="0"/>
                                </a:lnTo>
                              </a:path>
                              <a:path w="521334" h="1878330">
                                <a:moveTo>
                                  <a:pt x="273050" y="1867916"/>
                                </a:moveTo>
                                <a:lnTo>
                                  <a:pt x="513080" y="1867916"/>
                                </a:lnTo>
                              </a:path>
                            </a:pathLst>
                          </a:custGeom>
                          <a:ln w="9525">
                            <a:solidFill>
                              <a:srgbClr val="A6A6A6"/>
                            </a:solidFill>
                            <a:prstDash val="solid"/>
                          </a:ln>
                        </wps:spPr>
                        <wps:bodyPr wrap="square" lIns="0" tIns="0" rIns="0" bIns="0" rtlCol="0">
                          <a:prstTxWarp prst="textNoShape">
                            <a:avLst/>
                          </a:prstTxWarp>
                          <a:noAutofit/>
                        </wps:bodyPr>
                      </wps:wsp>
                      <wps:wsp>
                        <wps:cNvPr id="399" name="Graphic 399"/>
                        <wps:cNvSpPr/>
                        <wps:spPr>
                          <a:xfrm>
                            <a:off x="1364043" y="1191069"/>
                            <a:ext cx="841375" cy="450215"/>
                          </a:xfrm>
                          <a:custGeom>
                            <a:avLst/>
                            <a:gdLst/>
                            <a:ahLst/>
                            <a:cxnLst/>
                            <a:rect l="l" t="t" r="r" b="b"/>
                            <a:pathLst>
                              <a:path w="841375" h="450215">
                                <a:moveTo>
                                  <a:pt x="766063" y="0"/>
                                </a:moveTo>
                                <a:lnTo>
                                  <a:pt x="74929" y="0"/>
                                </a:lnTo>
                                <a:lnTo>
                                  <a:pt x="45755" y="5885"/>
                                </a:lnTo>
                                <a:lnTo>
                                  <a:pt x="21939" y="21939"/>
                                </a:lnTo>
                                <a:lnTo>
                                  <a:pt x="5885" y="45755"/>
                                </a:lnTo>
                                <a:lnTo>
                                  <a:pt x="0" y="74929"/>
                                </a:lnTo>
                                <a:lnTo>
                                  <a:pt x="0" y="374776"/>
                                </a:lnTo>
                                <a:lnTo>
                                  <a:pt x="5885" y="403971"/>
                                </a:lnTo>
                                <a:lnTo>
                                  <a:pt x="21939" y="427831"/>
                                </a:lnTo>
                                <a:lnTo>
                                  <a:pt x="45755" y="443928"/>
                                </a:lnTo>
                                <a:lnTo>
                                  <a:pt x="74929" y="449834"/>
                                </a:lnTo>
                                <a:lnTo>
                                  <a:pt x="766063" y="449834"/>
                                </a:lnTo>
                                <a:lnTo>
                                  <a:pt x="795258" y="443928"/>
                                </a:lnTo>
                                <a:lnTo>
                                  <a:pt x="819118" y="427831"/>
                                </a:lnTo>
                                <a:lnTo>
                                  <a:pt x="835215" y="403971"/>
                                </a:lnTo>
                                <a:lnTo>
                                  <a:pt x="841120" y="374776"/>
                                </a:lnTo>
                                <a:lnTo>
                                  <a:pt x="841120" y="74929"/>
                                </a:lnTo>
                                <a:lnTo>
                                  <a:pt x="835215" y="45755"/>
                                </a:lnTo>
                                <a:lnTo>
                                  <a:pt x="819118" y="21939"/>
                                </a:lnTo>
                                <a:lnTo>
                                  <a:pt x="795258" y="5885"/>
                                </a:lnTo>
                                <a:lnTo>
                                  <a:pt x="766063" y="0"/>
                                </a:lnTo>
                                <a:close/>
                              </a:path>
                            </a:pathLst>
                          </a:custGeom>
                          <a:solidFill>
                            <a:srgbClr val="EC7C30"/>
                          </a:solidFill>
                        </wps:spPr>
                        <wps:bodyPr wrap="square" lIns="0" tIns="0" rIns="0" bIns="0" rtlCol="0">
                          <a:prstTxWarp prst="textNoShape">
                            <a:avLst/>
                          </a:prstTxWarp>
                          <a:noAutofit/>
                        </wps:bodyPr>
                      </wps:wsp>
                      <wps:wsp>
                        <wps:cNvPr id="400" name="Graphic 400"/>
                        <wps:cNvSpPr/>
                        <wps:spPr>
                          <a:xfrm>
                            <a:off x="1372298" y="3061017"/>
                            <a:ext cx="819785" cy="437515"/>
                          </a:xfrm>
                          <a:custGeom>
                            <a:avLst/>
                            <a:gdLst/>
                            <a:ahLst/>
                            <a:cxnLst/>
                            <a:rect l="l" t="t" r="r" b="b"/>
                            <a:pathLst>
                              <a:path w="819785" h="437515">
                                <a:moveTo>
                                  <a:pt x="746379" y="0"/>
                                </a:moveTo>
                                <a:lnTo>
                                  <a:pt x="72898" y="0"/>
                                </a:lnTo>
                                <a:lnTo>
                                  <a:pt x="44523" y="5728"/>
                                </a:lnTo>
                                <a:lnTo>
                                  <a:pt x="21351" y="21351"/>
                                </a:lnTo>
                                <a:lnTo>
                                  <a:pt x="5728" y="44523"/>
                                </a:lnTo>
                                <a:lnTo>
                                  <a:pt x="0" y="72898"/>
                                </a:lnTo>
                                <a:lnTo>
                                  <a:pt x="0" y="364617"/>
                                </a:lnTo>
                                <a:lnTo>
                                  <a:pt x="5728" y="392991"/>
                                </a:lnTo>
                                <a:lnTo>
                                  <a:pt x="21351" y="416163"/>
                                </a:lnTo>
                                <a:lnTo>
                                  <a:pt x="44523" y="431786"/>
                                </a:lnTo>
                                <a:lnTo>
                                  <a:pt x="72898" y="437515"/>
                                </a:lnTo>
                                <a:lnTo>
                                  <a:pt x="746379" y="437515"/>
                                </a:lnTo>
                                <a:lnTo>
                                  <a:pt x="774753" y="431786"/>
                                </a:lnTo>
                                <a:lnTo>
                                  <a:pt x="797925" y="416163"/>
                                </a:lnTo>
                                <a:lnTo>
                                  <a:pt x="813548" y="392991"/>
                                </a:lnTo>
                                <a:lnTo>
                                  <a:pt x="819277" y="364617"/>
                                </a:lnTo>
                                <a:lnTo>
                                  <a:pt x="819277" y="72898"/>
                                </a:lnTo>
                                <a:lnTo>
                                  <a:pt x="813548" y="44523"/>
                                </a:lnTo>
                                <a:lnTo>
                                  <a:pt x="797925" y="21351"/>
                                </a:lnTo>
                                <a:lnTo>
                                  <a:pt x="774753" y="5728"/>
                                </a:lnTo>
                                <a:lnTo>
                                  <a:pt x="746379" y="0"/>
                                </a:lnTo>
                                <a:close/>
                              </a:path>
                            </a:pathLst>
                          </a:custGeom>
                          <a:solidFill>
                            <a:srgbClr val="6CCFF6"/>
                          </a:solidFill>
                        </wps:spPr>
                        <wps:bodyPr wrap="square" lIns="0" tIns="0" rIns="0" bIns="0" rtlCol="0">
                          <a:prstTxWarp prst="textNoShape">
                            <a:avLst/>
                          </a:prstTxWarp>
                          <a:noAutofit/>
                        </wps:bodyPr>
                      </wps:wsp>
                      <wps:wsp>
                        <wps:cNvPr id="401" name="Graphic 401"/>
                        <wps:cNvSpPr/>
                        <wps:spPr>
                          <a:xfrm>
                            <a:off x="2196020" y="606107"/>
                            <a:ext cx="346075" cy="1864360"/>
                          </a:xfrm>
                          <a:custGeom>
                            <a:avLst/>
                            <a:gdLst/>
                            <a:ahLst/>
                            <a:cxnLst/>
                            <a:rect l="l" t="t" r="r" b="b"/>
                            <a:pathLst>
                              <a:path w="346075" h="1864360">
                                <a:moveTo>
                                  <a:pt x="205867" y="1419987"/>
                                </a:moveTo>
                                <a:lnTo>
                                  <a:pt x="205867" y="1864360"/>
                                </a:lnTo>
                              </a:path>
                              <a:path w="346075" h="1864360">
                                <a:moveTo>
                                  <a:pt x="205867" y="579754"/>
                                </a:moveTo>
                                <a:lnTo>
                                  <a:pt x="205867" y="1145133"/>
                                </a:lnTo>
                              </a:path>
                              <a:path w="346075" h="1864360">
                                <a:moveTo>
                                  <a:pt x="205867" y="2032"/>
                                </a:moveTo>
                                <a:lnTo>
                                  <a:pt x="205867" y="304812"/>
                                </a:lnTo>
                              </a:path>
                              <a:path w="346075" h="1864360">
                                <a:moveTo>
                                  <a:pt x="0" y="858901"/>
                                </a:moveTo>
                                <a:lnTo>
                                  <a:pt x="205867" y="858901"/>
                                </a:lnTo>
                              </a:path>
                              <a:path w="346075" h="1864360">
                                <a:moveTo>
                                  <a:pt x="197612" y="0"/>
                                </a:moveTo>
                                <a:lnTo>
                                  <a:pt x="346075" y="0"/>
                                </a:lnTo>
                              </a:path>
                              <a:path w="346075" h="1864360">
                                <a:moveTo>
                                  <a:pt x="197612" y="1864360"/>
                                </a:moveTo>
                                <a:lnTo>
                                  <a:pt x="346075" y="1864360"/>
                                </a:lnTo>
                              </a:path>
                            </a:pathLst>
                          </a:custGeom>
                          <a:ln w="9525">
                            <a:solidFill>
                              <a:srgbClr val="A6A6A6"/>
                            </a:solidFill>
                            <a:prstDash val="solid"/>
                          </a:ln>
                        </wps:spPr>
                        <wps:bodyPr wrap="square" lIns="0" tIns="0" rIns="0" bIns="0" rtlCol="0">
                          <a:prstTxWarp prst="textNoShape">
                            <a:avLst/>
                          </a:prstTxWarp>
                          <a:noAutofit/>
                        </wps:bodyPr>
                      </wps:wsp>
                      <wps:wsp>
                        <wps:cNvPr id="402" name="Graphic 402"/>
                        <wps:cNvSpPr/>
                        <wps:spPr>
                          <a:xfrm>
                            <a:off x="2624391" y="457898"/>
                            <a:ext cx="926465" cy="318770"/>
                          </a:xfrm>
                          <a:custGeom>
                            <a:avLst/>
                            <a:gdLst/>
                            <a:ahLst/>
                            <a:cxnLst/>
                            <a:rect l="l" t="t" r="r" b="b"/>
                            <a:pathLst>
                              <a:path w="926465" h="318770">
                                <a:moveTo>
                                  <a:pt x="873125" y="0"/>
                                </a:moveTo>
                                <a:lnTo>
                                  <a:pt x="53086" y="0"/>
                                </a:lnTo>
                                <a:lnTo>
                                  <a:pt x="32414" y="4169"/>
                                </a:lnTo>
                                <a:lnTo>
                                  <a:pt x="15541" y="15541"/>
                                </a:lnTo>
                                <a:lnTo>
                                  <a:pt x="4169" y="32414"/>
                                </a:lnTo>
                                <a:lnTo>
                                  <a:pt x="0" y="53086"/>
                                </a:lnTo>
                                <a:lnTo>
                                  <a:pt x="0" y="265684"/>
                                </a:lnTo>
                                <a:lnTo>
                                  <a:pt x="4169" y="286355"/>
                                </a:lnTo>
                                <a:lnTo>
                                  <a:pt x="15541" y="303228"/>
                                </a:lnTo>
                                <a:lnTo>
                                  <a:pt x="32414" y="314600"/>
                                </a:lnTo>
                                <a:lnTo>
                                  <a:pt x="53086" y="318770"/>
                                </a:lnTo>
                                <a:lnTo>
                                  <a:pt x="873125" y="318770"/>
                                </a:lnTo>
                                <a:lnTo>
                                  <a:pt x="893796" y="314600"/>
                                </a:lnTo>
                                <a:lnTo>
                                  <a:pt x="910669" y="303228"/>
                                </a:lnTo>
                                <a:lnTo>
                                  <a:pt x="922041" y="286355"/>
                                </a:lnTo>
                                <a:lnTo>
                                  <a:pt x="926211" y="265684"/>
                                </a:lnTo>
                                <a:lnTo>
                                  <a:pt x="926211" y="53086"/>
                                </a:lnTo>
                                <a:lnTo>
                                  <a:pt x="922041" y="32414"/>
                                </a:lnTo>
                                <a:lnTo>
                                  <a:pt x="910669" y="15541"/>
                                </a:lnTo>
                                <a:lnTo>
                                  <a:pt x="893796" y="4169"/>
                                </a:lnTo>
                                <a:lnTo>
                                  <a:pt x="873125" y="0"/>
                                </a:lnTo>
                                <a:close/>
                              </a:path>
                            </a:pathLst>
                          </a:custGeom>
                          <a:solidFill>
                            <a:srgbClr val="8392C9"/>
                          </a:solidFill>
                        </wps:spPr>
                        <wps:bodyPr wrap="square" lIns="0" tIns="0" rIns="0" bIns="0" rtlCol="0">
                          <a:prstTxWarp prst="textNoShape">
                            <a:avLst/>
                          </a:prstTxWarp>
                          <a:noAutofit/>
                        </wps:bodyPr>
                      </wps:wsp>
                      <wps:wsp>
                        <wps:cNvPr id="403" name="Graphic 403"/>
                        <wps:cNvSpPr/>
                        <wps:spPr>
                          <a:xfrm>
                            <a:off x="2657284" y="2294953"/>
                            <a:ext cx="926465" cy="318770"/>
                          </a:xfrm>
                          <a:custGeom>
                            <a:avLst/>
                            <a:gdLst/>
                            <a:ahLst/>
                            <a:cxnLst/>
                            <a:rect l="l" t="t" r="r" b="b"/>
                            <a:pathLst>
                              <a:path w="926465" h="318770">
                                <a:moveTo>
                                  <a:pt x="873251" y="0"/>
                                </a:moveTo>
                                <a:lnTo>
                                  <a:pt x="53212" y="0"/>
                                </a:lnTo>
                                <a:lnTo>
                                  <a:pt x="32521" y="4169"/>
                                </a:lnTo>
                                <a:lnTo>
                                  <a:pt x="15605" y="15541"/>
                                </a:lnTo>
                                <a:lnTo>
                                  <a:pt x="4189" y="32414"/>
                                </a:lnTo>
                                <a:lnTo>
                                  <a:pt x="0" y="53085"/>
                                </a:lnTo>
                                <a:lnTo>
                                  <a:pt x="0" y="265683"/>
                                </a:lnTo>
                                <a:lnTo>
                                  <a:pt x="4189" y="286355"/>
                                </a:lnTo>
                                <a:lnTo>
                                  <a:pt x="15605" y="303228"/>
                                </a:lnTo>
                                <a:lnTo>
                                  <a:pt x="32521" y="314600"/>
                                </a:lnTo>
                                <a:lnTo>
                                  <a:pt x="53212" y="318769"/>
                                </a:lnTo>
                                <a:lnTo>
                                  <a:pt x="873251" y="318769"/>
                                </a:lnTo>
                                <a:lnTo>
                                  <a:pt x="893923" y="314600"/>
                                </a:lnTo>
                                <a:lnTo>
                                  <a:pt x="910796" y="303228"/>
                                </a:lnTo>
                                <a:lnTo>
                                  <a:pt x="922168" y="286355"/>
                                </a:lnTo>
                                <a:lnTo>
                                  <a:pt x="926338" y="265683"/>
                                </a:lnTo>
                                <a:lnTo>
                                  <a:pt x="926338" y="53085"/>
                                </a:lnTo>
                                <a:lnTo>
                                  <a:pt x="922168" y="32414"/>
                                </a:lnTo>
                                <a:lnTo>
                                  <a:pt x="910796" y="15541"/>
                                </a:lnTo>
                                <a:lnTo>
                                  <a:pt x="893923" y="4169"/>
                                </a:lnTo>
                                <a:lnTo>
                                  <a:pt x="873251" y="0"/>
                                </a:lnTo>
                                <a:close/>
                              </a:path>
                            </a:pathLst>
                          </a:custGeom>
                          <a:solidFill>
                            <a:srgbClr val="82C99C"/>
                          </a:solidFill>
                        </wps:spPr>
                        <wps:bodyPr wrap="square" lIns="0" tIns="0" rIns="0" bIns="0" rtlCol="0">
                          <a:prstTxWarp prst="textNoShape">
                            <a:avLst/>
                          </a:prstTxWarp>
                          <a:noAutofit/>
                        </wps:bodyPr>
                      </wps:wsp>
                      <wps:wsp>
                        <wps:cNvPr id="404" name="Graphic 404"/>
                        <wps:cNvSpPr/>
                        <wps:spPr>
                          <a:xfrm>
                            <a:off x="4604956" y="207073"/>
                            <a:ext cx="1905" cy="1515110"/>
                          </a:xfrm>
                          <a:custGeom>
                            <a:avLst/>
                            <a:gdLst/>
                            <a:ahLst/>
                            <a:cxnLst/>
                            <a:rect l="l" t="t" r="r" b="b"/>
                            <a:pathLst>
                              <a:path w="1905" h="1515110">
                                <a:moveTo>
                                  <a:pt x="0" y="0"/>
                                </a:moveTo>
                                <a:lnTo>
                                  <a:pt x="1778" y="1514983"/>
                                </a:lnTo>
                              </a:path>
                            </a:pathLst>
                          </a:custGeom>
                          <a:ln w="9525">
                            <a:solidFill>
                              <a:srgbClr val="A6A6A6"/>
                            </a:solidFill>
                            <a:prstDash val="solid"/>
                          </a:ln>
                        </wps:spPr>
                        <wps:bodyPr wrap="square" lIns="0" tIns="0" rIns="0" bIns="0" rtlCol="0">
                          <a:prstTxWarp prst="textNoShape">
                            <a:avLst/>
                          </a:prstTxWarp>
                          <a:noAutofit/>
                        </wps:bodyPr>
                      </wps:wsp>
                      <wps:wsp>
                        <wps:cNvPr id="405" name="Graphic 405"/>
                        <wps:cNvSpPr/>
                        <wps:spPr>
                          <a:xfrm>
                            <a:off x="4480864" y="619569"/>
                            <a:ext cx="133985" cy="1270"/>
                          </a:xfrm>
                          <a:custGeom>
                            <a:avLst/>
                            <a:gdLst/>
                            <a:ahLst/>
                            <a:cxnLst/>
                            <a:rect l="l" t="t" r="r" b="b"/>
                            <a:pathLst>
                              <a:path w="133985" h="0">
                                <a:moveTo>
                                  <a:pt x="0" y="0"/>
                                </a:moveTo>
                                <a:lnTo>
                                  <a:pt x="133934" y="0"/>
                                </a:lnTo>
                              </a:path>
                            </a:pathLst>
                          </a:custGeom>
                          <a:ln w="17145">
                            <a:solidFill>
                              <a:srgbClr val="A6A6A6"/>
                            </a:solidFill>
                            <a:prstDash val="solid"/>
                          </a:ln>
                        </wps:spPr>
                        <wps:bodyPr wrap="square" lIns="0" tIns="0" rIns="0" bIns="0" rtlCol="0">
                          <a:prstTxWarp prst="textNoShape">
                            <a:avLst/>
                          </a:prstTxWarp>
                          <a:noAutofit/>
                        </wps:bodyPr>
                      </wps:wsp>
                      <wps:wsp>
                        <wps:cNvPr id="406" name="Graphic 406"/>
                        <wps:cNvSpPr/>
                        <wps:spPr>
                          <a:xfrm>
                            <a:off x="4448746" y="202501"/>
                            <a:ext cx="331470" cy="2249170"/>
                          </a:xfrm>
                          <a:custGeom>
                            <a:avLst/>
                            <a:gdLst/>
                            <a:ahLst/>
                            <a:cxnLst/>
                            <a:rect l="l" t="t" r="r" b="b"/>
                            <a:pathLst>
                              <a:path w="331470" h="2249170">
                                <a:moveTo>
                                  <a:pt x="152400" y="0"/>
                                </a:moveTo>
                                <a:lnTo>
                                  <a:pt x="306704" y="0"/>
                                </a:lnTo>
                              </a:path>
                              <a:path w="331470" h="2249170">
                                <a:moveTo>
                                  <a:pt x="156971" y="409066"/>
                                </a:moveTo>
                                <a:lnTo>
                                  <a:pt x="311276" y="409066"/>
                                </a:lnTo>
                              </a:path>
                              <a:path w="331470" h="2249170">
                                <a:moveTo>
                                  <a:pt x="161289" y="1071117"/>
                                </a:moveTo>
                                <a:lnTo>
                                  <a:pt x="315594" y="1071117"/>
                                </a:lnTo>
                              </a:path>
                              <a:path w="331470" h="2249170">
                                <a:moveTo>
                                  <a:pt x="152400" y="1516126"/>
                                </a:moveTo>
                                <a:lnTo>
                                  <a:pt x="306704" y="1516126"/>
                                </a:lnTo>
                              </a:path>
                              <a:path w="331470" h="2249170">
                                <a:moveTo>
                                  <a:pt x="0" y="2248916"/>
                                </a:moveTo>
                                <a:lnTo>
                                  <a:pt x="330961" y="2248916"/>
                                </a:lnTo>
                              </a:path>
                            </a:pathLst>
                          </a:custGeom>
                          <a:ln w="9525">
                            <a:solidFill>
                              <a:srgbClr val="AEABAB"/>
                            </a:solidFill>
                            <a:prstDash val="solid"/>
                          </a:ln>
                        </wps:spPr>
                        <wps:bodyPr wrap="square" lIns="0" tIns="0" rIns="0" bIns="0" rtlCol="0">
                          <a:prstTxWarp prst="textNoShape">
                            <a:avLst/>
                          </a:prstTxWarp>
                          <a:noAutofit/>
                        </wps:bodyPr>
                      </wps:wsp>
                      <wps:wsp>
                        <wps:cNvPr id="407" name="Textbox 407"/>
                        <wps:cNvSpPr txBox="1"/>
                        <wps:spPr>
                          <a:xfrm>
                            <a:off x="2346642" y="542505"/>
                            <a:ext cx="2036445" cy="596265"/>
                          </a:xfrm>
                          <a:prstGeom prst="rect">
                            <a:avLst/>
                          </a:prstGeom>
                        </wps:spPr>
                        <wps:txbx>
                          <w:txbxContent>
                            <w:p>
                              <w:pPr>
                                <w:tabs>
                                  <w:tab w:pos="2340" w:val="left" w:leader="none"/>
                                  <w:tab w:pos="2613" w:val="left" w:leader="none"/>
                                </w:tabs>
                                <w:spacing w:line="171" w:lineRule="exact" w:before="0"/>
                                <w:ind w:left="623" w:right="0" w:firstLine="0"/>
                                <w:jc w:val="left"/>
                                <w:rPr>
                                  <w:position w:val="1"/>
                                  <w:sz w:val="12"/>
                                </w:rPr>
                              </w:pPr>
                              <w:r>
                                <w:rPr>
                                  <w:rFonts w:ascii="Calibri"/>
                                  <w:b/>
                                  <w:sz w:val="18"/>
                                </w:rPr>
                                <w:t>32 indicadores</w:t>
                              </w:r>
                              <w:r>
                                <w:rPr>
                                  <w:rFonts w:ascii="Calibri"/>
                                  <w:b/>
                                  <w:spacing w:val="131"/>
                                  <w:sz w:val="18"/>
                                </w:rPr>
                                <w:t> </w:t>
                              </w:r>
                              <w:r>
                                <w:rPr>
                                  <w:rFonts w:ascii="Calibri"/>
                                  <w:b/>
                                  <w:sz w:val="18"/>
                                  <w:u w:val="thick" w:color="A6A6A6"/>
                                </w:rPr>
                                <w:tab/>
                              </w:r>
                              <w:r>
                                <w:rPr>
                                  <w:rFonts w:ascii="Calibri"/>
                                  <w:b/>
                                  <w:sz w:val="18"/>
                                </w:rPr>
                                <w:tab/>
                              </w:r>
                              <w:r>
                                <w:rPr>
                                  <w:color w:val="3A3838"/>
                                  <w:position w:val="1"/>
                                  <w:sz w:val="12"/>
                                </w:rPr>
                                <w:t>Nivel</w:t>
                              </w:r>
                              <w:r>
                                <w:rPr>
                                  <w:color w:val="3A3838"/>
                                  <w:spacing w:val="-3"/>
                                  <w:position w:val="1"/>
                                  <w:sz w:val="12"/>
                                </w:rPr>
                                <w:t> </w:t>
                              </w:r>
                              <w:r>
                                <w:rPr>
                                  <w:color w:val="3A3838"/>
                                  <w:spacing w:val="-5"/>
                                  <w:position w:val="1"/>
                                  <w:sz w:val="12"/>
                                </w:rPr>
                                <w:t>de</w:t>
                              </w:r>
                            </w:p>
                            <w:p>
                              <w:pPr>
                                <w:spacing w:line="125" w:lineRule="exact" w:before="0"/>
                                <w:ind w:left="0" w:right="18" w:firstLine="0"/>
                                <w:jc w:val="right"/>
                                <w:rPr>
                                  <w:sz w:val="12"/>
                                </w:rPr>
                              </w:pPr>
                              <w:r>
                                <w:rPr>
                                  <w:color w:val="3A3838"/>
                                  <w:spacing w:val="-2"/>
                                  <w:sz w:val="12"/>
                                </w:rPr>
                                <w:t>cumplimiento</w:t>
                              </w:r>
                            </w:p>
                            <w:p>
                              <w:pPr>
                                <w:spacing w:line="240" w:lineRule="auto" w:before="0"/>
                                <w:rPr>
                                  <w:sz w:val="12"/>
                                </w:rPr>
                              </w:pPr>
                            </w:p>
                            <w:p>
                              <w:pPr>
                                <w:spacing w:line="240" w:lineRule="auto" w:before="74"/>
                                <w:rPr>
                                  <w:sz w:val="12"/>
                                </w:rPr>
                              </w:pPr>
                            </w:p>
                            <w:p>
                              <w:pPr>
                                <w:spacing w:line="254" w:lineRule="auto" w:before="0"/>
                                <w:ind w:left="312" w:right="1689" w:hanging="312"/>
                                <w:jc w:val="left"/>
                                <w:rPr>
                                  <w:sz w:val="12"/>
                                </w:rPr>
                              </w:pPr>
                              <w:r>
                                <w:rPr>
                                  <w:color w:val="3A3838"/>
                                  <w:sz w:val="12"/>
                                </w:rPr>
                                <w:t>Sin</w:t>
                              </w:r>
                              <w:r>
                                <w:rPr>
                                  <w:color w:val="3A3838"/>
                                  <w:spacing w:val="-11"/>
                                  <w:sz w:val="12"/>
                                </w:rPr>
                                <w:t> </w:t>
                              </w:r>
                              <w:r>
                                <w:rPr>
                                  <w:color w:val="3A3838"/>
                                  <w:sz w:val="12"/>
                                </w:rPr>
                                <w:t>dificultades</w:t>
                              </w:r>
                              <w:r>
                                <w:rPr>
                                  <w:color w:val="3A3838"/>
                                  <w:spacing w:val="-8"/>
                                  <w:sz w:val="12"/>
                                </w:rPr>
                                <w:t> </w:t>
                              </w:r>
                              <w:r>
                                <w:rPr>
                                  <w:color w:val="3A3838"/>
                                  <w:sz w:val="12"/>
                                </w:rPr>
                                <w:t>en</w:t>
                              </w:r>
                              <w:r>
                                <w:rPr>
                                  <w:color w:val="3A3838"/>
                                  <w:spacing w:val="-8"/>
                                  <w:sz w:val="12"/>
                                </w:rPr>
                                <w:t> </w:t>
                              </w:r>
                              <w:r>
                                <w:rPr>
                                  <w:color w:val="3A3838"/>
                                  <w:sz w:val="12"/>
                                </w:rPr>
                                <w:t>la</w:t>
                              </w:r>
                              <w:r>
                                <w:rPr>
                                  <w:color w:val="3A3838"/>
                                  <w:spacing w:val="40"/>
                                  <w:sz w:val="12"/>
                                </w:rPr>
                                <w:t> </w:t>
                              </w:r>
                              <w:r>
                                <w:rPr>
                                  <w:color w:val="3A3838"/>
                                  <w:spacing w:val="-2"/>
                                  <w:sz w:val="12"/>
                                </w:rPr>
                                <w:t>medición</w:t>
                              </w:r>
                            </w:p>
                          </w:txbxContent>
                        </wps:txbx>
                        <wps:bodyPr wrap="square" lIns="0" tIns="0" rIns="0" bIns="0" rtlCol="0">
                          <a:noAutofit/>
                        </wps:bodyPr>
                      </wps:wsp>
                      <wps:wsp>
                        <wps:cNvPr id="408" name="Textbox 408"/>
                        <wps:cNvSpPr txBox="1"/>
                        <wps:spPr>
                          <a:xfrm>
                            <a:off x="1509966" y="1282128"/>
                            <a:ext cx="561340" cy="264160"/>
                          </a:xfrm>
                          <a:prstGeom prst="rect">
                            <a:avLst/>
                          </a:prstGeom>
                        </wps:spPr>
                        <wps:txbx>
                          <w:txbxContent>
                            <w:p>
                              <w:pPr>
                                <w:spacing w:line="183" w:lineRule="exact" w:before="0"/>
                                <w:ind w:left="0" w:right="17" w:firstLine="0"/>
                                <w:jc w:val="center"/>
                                <w:rPr>
                                  <w:rFonts w:ascii="Calibri"/>
                                  <w:b/>
                                  <w:sz w:val="18"/>
                                </w:rPr>
                              </w:pPr>
                              <w:r>
                                <w:rPr>
                                  <w:rFonts w:ascii="Calibri"/>
                                  <w:b/>
                                  <w:spacing w:val="-5"/>
                                  <w:sz w:val="18"/>
                                </w:rPr>
                                <w:t>35</w:t>
                              </w:r>
                            </w:p>
                            <w:p>
                              <w:pPr>
                                <w:spacing w:line="216" w:lineRule="exact" w:before="15"/>
                                <w:ind w:left="0" w:right="18" w:firstLine="0"/>
                                <w:jc w:val="center"/>
                                <w:rPr>
                                  <w:rFonts w:ascii="Calibri"/>
                                  <w:b/>
                                  <w:sz w:val="18"/>
                                </w:rPr>
                              </w:pPr>
                              <w:r>
                                <w:rPr>
                                  <w:rFonts w:ascii="Calibri"/>
                                  <w:b/>
                                  <w:spacing w:val="-2"/>
                                  <w:sz w:val="18"/>
                                </w:rPr>
                                <w:t>indicadores</w:t>
                              </w:r>
                            </w:p>
                          </w:txbxContent>
                        </wps:txbx>
                        <wps:bodyPr wrap="square" lIns="0" tIns="0" rIns="0" bIns="0" rtlCol="0">
                          <a:noAutofit/>
                        </wps:bodyPr>
                      </wps:wsp>
                      <wps:wsp>
                        <wps:cNvPr id="409" name="Textbox 409"/>
                        <wps:cNvSpPr txBox="1"/>
                        <wps:spPr>
                          <a:xfrm>
                            <a:off x="1169733" y="1742355"/>
                            <a:ext cx="344805" cy="179705"/>
                          </a:xfrm>
                          <a:prstGeom prst="rect">
                            <a:avLst/>
                          </a:prstGeom>
                        </wps:spPr>
                        <wps:txbx>
                          <w:txbxContent>
                            <w:p>
                              <w:pPr>
                                <w:spacing w:line="259" w:lineRule="auto" w:before="0"/>
                                <w:ind w:left="129" w:right="18" w:hanging="130"/>
                                <w:jc w:val="left"/>
                                <w:rPr>
                                  <w:sz w:val="12"/>
                                </w:rPr>
                              </w:pPr>
                              <w:r>
                                <w:rPr>
                                  <w:color w:val="3A3838"/>
                                  <w:sz w:val="12"/>
                                </w:rPr>
                                <w:t>Con</w:t>
                              </w:r>
                              <w:r>
                                <w:rPr>
                                  <w:color w:val="3A3838"/>
                                  <w:spacing w:val="-9"/>
                                  <w:sz w:val="12"/>
                                </w:rPr>
                                <w:t> </w:t>
                              </w:r>
                              <w:r>
                                <w:rPr>
                                  <w:color w:val="3A3838"/>
                                  <w:sz w:val="12"/>
                                </w:rPr>
                                <w:t>meta</w:t>
                              </w:r>
                              <w:r>
                                <w:rPr>
                                  <w:color w:val="3A3838"/>
                                  <w:spacing w:val="40"/>
                                  <w:sz w:val="12"/>
                                </w:rPr>
                                <w:t> </w:t>
                              </w:r>
                              <w:r>
                                <w:rPr>
                                  <w:color w:val="3A3838"/>
                                  <w:spacing w:val="-4"/>
                                  <w:sz w:val="12"/>
                                </w:rPr>
                                <w:t>2023</w:t>
                              </w:r>
                            </w:p>
                          </w:txbxContent>
                        </wps:txbx>
                        <wps:bodyPr wrap="square" lIns="0" tIns="0" rIns="0" bIns="0" rtlCol="0">
                          <a:noAutofit/>
                        </wps:bodyPr>
                      </wps:wsp>
                      <wps:wsp>
                        <wps:cNvPr id="410" name="Textbox 410"/>
                        <wps:cNvSpPr txBox="1"/>
                        <wps:spPr>
                          <a:xfrm>
                            <a:off x="2348166" y="1800267"/>
                            <a:ext cx="661670" cy="179705"/>
                          </a:xfrm>
                          <a:prstGeom prst="rect">
                            <a:avLst/>
                          </a:prstGeom>
                        </wps:spPr>
                        <wps:txbx>
                          <w:txbxContent>
                            <w:p>
                              <w:pPr>
                                <w:spacing w:line="259" w:lineRule="auto" w:before="0"/>
                                <w:ind w:left="206" w:right="18" w:hanging="207"/>
                                <w:jc w:val="left"/>
                                <w:rPr>
                                  <w:sz w:val="12"/>
                                </w:rPr>
                              </w:pPr>
                              <w:r>
                                <w:rPr>
                                  <w:color w:val="3A3838"/>
                                  <w:sz w:val="12"/>
                                </w:rPr>
                                <w:t>Con</w:t>
                              </w:r>
                              <w:r>
                                <w:rPr>
                                  <w:color w:val="3A3838"/>
                                  <w:spacing w:val="-9"/>
                                  <w:sz w:val="12"/>
                                </w:rPr>
                                <w:t> </w:t>
                              </w:r>
                              <w:r>
                                <w:rPr>
                                  <w:color w:val="3A3838"/>
                                  <w:sz w:val="12"/>
                                </w:rPr>
                                <w:t>dificultades</w:t>
                              </w:r>
                              <w:r>
                                <w:rPr>
                                  <w:color w:val="3A3838"/>
                                  <w:spacing w:val="-8"/>
                                  <w:sz w:val="12"/>
                                </w:rPr>
                                <w:t> </w:t>
                              </w:r>
                              <w:r>
                                <w:rPr>
                                  <w:color w:val="3A3838"/>
                                  <w:sz w:val="12"/>
                                </w:rPr>
                                <w:t>en</w:t>
                              </w:r>
                              <w:r>
                                <w:rPr>
                                  <w:color w:val="3A3838"/>
                                  <w:spacing w:val="40"/>
                                  <w:sz w:val="12"/>
                                </w:rPr>
                                <w:t> </w:t>
                              </w:r>
                              <w:r>
                                <w:rPr>
                                  <w:color w:val="3A3838"/>
                                  <w:sz w:val="12"/>
                                </w:rPr>
                                <w:t>la</w:t>
                              </w:r>
                              <w:r>
                                <w:rPr>
                                  <w:color w:val="3A3838"/>
                                  <w:spacing w:val="-8"/>
                                  <w:sz w:val="12"/>
                                </w:rPr>
                                <w:t> </w:t>
                              </w:r>
                              <w:r>
                                <w:rPr>
                                  <w:color w:val="3A3838"/>
                                  <w:sz w:val="12"/>
                                </w:rPr>
                                <w:t>medición</w:t>
                              </w:r>
                            </w:p>
                          </w:txbxContent>
                        </wps:txbx>
                        <wps:bodyPr wrap="square" lIns="0" tIns="0" rIns="0" bIns="0" rtlCol="0">
                          <a:noAutofit/>
                        </wps:bodyPr>
                      </wps:wsp>
                      <wps:wsp>
                        <wps:cNvPr id="411" name="Textbox 411"/>
                        <wps:cNvSpPr txBox="1"/>
                        <wps:spPr>
                          <a:xfrm>
                            <a:off x="205041" y="2246820"/>
                            <a:ext cx="561340" cy="264160"/>
                          </a:xfrm>
                          <a:prstGeom prst="rect">
                            <a:avLst/>
                          </a:prstGeom>
                        </wps:spPr>
                        <wps:txbx>
                          <w:txbxContent>
                            <w:p>
                              <w:pPr>
                                <w:spacing w:line="183" w:lineRule="exact" w:before="0"/>
                                <w:ind w:left="0" w:right="17" w:firstLine="0"/>
                                <w:jc w:val="center"/>
                                <w:rPr>
                                  <w:rFonts w:ascii="Calibri"/>
                                  <w:b/>
                                  <w:sz w:val="18"/>
                                </w:rPr>
                              </w:pPr>
                              <w:r>
                                <w:rPr>
                                  <w:rFonts w:ascii="Calibri"/>
                                  <w:b/>
                                  <w:color w:val="FFFFFF"/>
                                  <w:spacing w:val="-5"/>
                                  <w:sz w:val="18"/>
                                </w:rPr>
                                <w:t>38</w:t>
                              </w:r>
                            </w:p>
                            <w:p>
                              <w:pPr>
                                <w:spacing w:line="216" w:lineRule="exact" w:before="15"/>
                                <w:ind w:left="0" w:right="18" w:firstLine="0"/>
                                <w:jc w:val="center"/>
                                <w:rPr>
                                  <w:rFonts w:ascii="Calibri"/>
                                  <w:b/>
                                  <w:sz w:val="18"/>
                                </w:rPr>
                              </w:pPr>
                              <w:r>
                                <w:rPr>
                                  <w:rFonts w:ascii="Calibri"/>
                                  <w:b/>
                                  <w:color w:val="FFFFFF"/>
                                  <w:spacing w:val="-2"/>
                                  <w:sz w:val="18"/>
                                </w:rPr>
                                <w:t>indicadores</w:t>
                              </w:r>
                            </w:p>
                          </w:txbxContent>
                        </wps:txbx>
                        <wps:bodyPr wrap="square" lIns="0" tIns="0" rIns="0" bIns="0" rtlCol="0">
                          <a:noAutofit/>
                        </wps:bodyPr>
                      </wps:wsp>
                      <wps:wsp>
                        <wps:cNvPr id="412" name="Textbox 412"/>
                        <wps:cNvSpPr txBox="1"/>
                        <wps:spPr>
                          <a:xfrm>
                            <a:off x="2805366" y="2379408"/>
                            <a:ext cx="645160" cy="114300"/>
                          </a:xfrm>
                          <a:prstGeom prst="rect">
                            <a:avLst/>
                          </a:prstGeom>
                        </wps:spPr>
                        <wps:txbx>
                          <w:txbxContent>
                            <w:p>
                              <w:pPr>
                                <w:spacing w:line="180" w:lineRule="exact" w:before="0"/>
                                <w:ind w:left="0" w:right="0" w:firstLine="0"/>
                                <w:jc w:val="left"/>
                                <w:rPr>
                                  <w:rFonts w:ascii="Calibri"/>
                                  <w:b/>
                                  <w:sz w:val="18"/>
                                </w:rPr>
                              </w:pPr>
                              <w:r>
                                <w:rPr>
                                  <w:rFonts w:ascii="Calibri"/>
                                  <w:b/>
                                  <w:sz w:val="18"/>
                                </w:rPr>
                                <w:t>3 </w:t>
                              </w:r>
                              <w:r>
                                <w:rPr>
                                  <w:rFonts w:ascii="Calibri"/>
                                  <w:b/>
                                  <w:spacing w:val="-2"/>
                                  <w:sz w:val="18"/>
                                </w:rPr>
                                <w:t>indicadores</w:t>
                              </w:r>
                            </w:p>
                          </w:txbxContent>
                        </wps:txbx>
                        <wps:bodyPr wrap="square" lIns="0" tIns="0" rIns="0" bIns="0" rtlCol="0">
                          <a:noAutofit/>
                        </wps:bodyPr>
                      </wps:wsp>
                      <wps:wsp>
                        <wps:cNvPr id="413" name="Textbox 413"/>
                        <wps:cNvSpPr txBox="1"/>
                        <wps:spPr>
                          <a:xfrm>
                            <a:off x="3579939" y="2351955"/>
                            <a:ext cx="771525" cy="142240"/>
                          </a:xfrm>
                          <a:prstGeom prst="rect">
                            <a:avLst/>
                          </a:prstGeom>
                        </wps:spPr>
                        <wps:txbx>
                          <w:txbxContent>
                            <w:p>
                              <w:pPr>
                                <w:tabs>
                                  <w:tab w:pos="438" w:val="left" w:leader="none"/>
                                </w:tabs>
                                <w:spacing w:line="134" w:lineRule="exact" w:before="0"/>
                                <w:ind w:left="0" w:right="0" w:firstLine="0"/>
                                <w:jc w:val="left"/>
                                <w:rPr>
                                  <w:sz w:val="12"/>
                                </w:rPr>
                              </w:pPr>
                              <w:r>
                                <w:rPr>
                                  <w:rFonts w:ascii="Calibri"/>
                                  <w:b/>
                                  <w:position w:val="-6"/>
                                  <w:sz w:val="18"/>
                                  <w:u w:val="single" w:color="AEABAB"/>
                                </w:rPr>
                                <w:tab/>
                              </w:r>
                              <w:r>
                                <w:rPr>
                                  <w:rFonts w:ascii="Calibri"/>
                                  <w:b/>
                                  <w:spacing w:val="75"/>
                                  <w:position w:val="-6"/>
                                  <w:sz w:val="18"/>
                                </w:rPr>
                                <w:t> </w:t>
                              </w:r>
                              <w:r>
                                <w:rPr>
                                  <w:color w:val="3A3838"/>
                                  <w:sz w:val="12"/>
                                </w:rPr>
                                <w:t>Dificultades</w:t>
                              </w:r>
                            </w:p>
                          </w:txbxContent>
                        </wps:txbx>
                        <wps:bodyPr wrap="square" lIns="0" tIns="0" rIns="0" bIns="0" rtlCol="0">
                          <a:noAutofit/>
                        </wps:bodyPr>
                      </wps:wsp>
                      <wps:wsp>
                        <wps:cNvPr id="414" name="Textbox 414"/>
                        <wps:cNvSpPr txBox="1"/>
                        <wps:spPr>
                          <a:xfrm>
                            <a:off x="3930332" y="2446443"/>
                            <a:ext cx="437515" cy="85725"/>
                          </a:xfrm>
                          <a:prstGeom prst="rect">
                            <a:avLst/>
                          </a:prstGeom>
                        </wps:spPr>
                        <wps:txbx>
                          <w:txbxContent>
                            <w:p>
                              <w:pPr>
                                <w:spacing w:line="134" w:lineRule="exact" w:before="0"/>
                                <w:ind w:left="0" w:right="0" w:firstLine="0"/>
                                <w:jc w:val="left"/>
                                <w:rPr>
                                  <w:sz w:val="12"/>
                                </w:rPr>
                              </w:pPr>
                              <w:r>
                                <w:rPr>
                                  <w:color w:val="3A3838"/>
                                  <w:spacing w:val="-2"/>
                                  <w:sz w:val="12"/>
                                </w:rPr>
                                <w:t>identificadas</w:t>
                              </w:r>
                            </w:p>
                          </w:txbxContent>
                        </wps:txbx>
                        <wps:bodyPr wrap="square" lIns="0" tIns="0" rIns="0" bIns="0" rtlCol="0">
                          <a:noAutofit/>
                        </wps:bodyPr>
                      </wps:wsp>
                      <wps:wsp>
                        <wps:cNvPr id="415" name="Textbox 415"/>
                        <wps:cNvSpPr txBox="1"/>
                        <wps:spPr>
                          <a:xfrm>
                            <a:off x="1192593" y="2780199"/>
                            <a:ext cx="314325" cy="179705"/>
                          </a:xfrm>
                          <a:prstGeom prst="rect">
                            <a:avLst/>
                          </a:prstGeom>
                        </wps:spPr>
                        <wps:txbx>
                          <w:txbxContent>
                            <w:p>
                              <w:pPr>
                                <w:spacing w:line="134" w:lineRule="exact" w:before="0"/>
                                <w:ind w:left="0" w:right="18" w:firstLine="0"/>
                                <w:jc w:val="right"/>
                                <w:rPr>
                                  <w:sz w:val="12"/>
                                </w:rPr>
                              </w:pPr>
                              <w:r>
                                <w:rPr>
                                  <w:color w:val="3A3838"/>
                                  <w:sz w:val="12"/>
                                </w:rPr>
                                <w:t>Sin</w:t>
                              </w:r>
                              <w:r>
                                <w:rPr>
                                  <w:color w:val="3A3838"/>
                                  <w:spacing w:val="-2"/>
                                  <w:sz w:val="12"/>
                                </w:rPr>
                                <w:t> </w:t>
                              </w:r>
                              <w:r>
                                <w:rPr>
                                  <w:color w:val="3A3838"/>
                                  <w:spacing w:val="-4"/>
                                  <w:sz w:val="12"/>
                                </w:rPr>
                                <w:t>meta</w:t>
                              </w:r>
                            </w:p>
                            <w:p>
                              <w:pPr>
                                <w:spacing w:before="11"/>
                                <w:ind w:left="0" w:right="117" w:firstLine="0"/>
                                <w:jc w:val="right"/>
                                <w:rPr>
                                  <w:sz w:val="12"/>
                                </w:rPr>
                              </w:pPr>
                              <w:r>
                                <w:rPr>
                                  <w:color w:val="3A3838"/>
                                  <w:spacing w:val="-4"/>
                                  <w:sz w:val="12"/>
                                </w:rPr>
                                <w:t>2023</w:t>
                              </w:r>
                            </w:p>
                          </w:txbxContent>
                        </wps:txbx>
                        <wps:bodyPr wrap="square" lIns="0" tIns="0" rIns="0" bIns="0" rtlCol="0">
                          <a:noAutofit/>
                        </wps:bodyPr>
                      </wps:wsp>
                      <wps:wsp>
                        <wps:cNvPr id="416" name="Textbox 416"/>
                        <wps:cNvSpPr txBox="1"/>
                        <wps:spPr>
                          <a:xfrm>
                            <a:off x="1506918" y="3152457"/>
                            <a:ext cx="561340" cy="264160"/>
                          </a:xfrm>
                          <a:prstGeom prst="rect">
                            <a:avLst/>
                          </a:prstGeom>
                        </wps:spPr>
                        <wps:txbx>
                          <w:txbxContent>
                            <w:p>
                              <w:pPr>
                                <w:spacing w:line="183" w:lineRule="exact" w:before="0"/>
                                <w:ind w:left="0" w:right="12" w:firstLine="0"/>
                                <w:jc w:val="center"/>
                                <w:rPr>
                                  <w:rFonts w:ascii="Calibri"/>
                                  <w:b/>
                                  <w:sz w:val="18"/>
                                </w:rPr>
                              </w:pPr>
                              <w:r>
                                <w:rPr>
                                  <w:rFonts w:ascii="Calibri"/>
                                  <w:b/>
                                  <w:spacing w:val="-10"/>
                                  <w:sz w:val="18"/>
                                </w:rPr>
                                <w:t>3</w:t>
                              </w:r>
                            </w:p>
                            <w:p>
                              <w:pPr>
                                <w:spacing w:line="216" w:lineRule="exact" w:before="15"/>
                                <w:ind w:left="0" w:right="18" w:firstLine="0"/>
                                <w:jc w:val="center"/>
                                <w:rPr>
                                  <w:rFonts w:ascii="Calibri"/>
                                  <w:b/>
                                  <w:sz w:val="18"/>
                                </w:rPr>
                              </w:pPr>
                              <w:r>
                                <w:rPr>
                                  <w:rFonts w:ascii="Calibri"/>
                                  <w:b/>
                                  <w:spacing w:val="-2"/>
                                  <w:sz w:val="18"/>
                                </w:rPr>
                                <w:t>indicadores</w:t>
                              </w:r>
                            </w:p>
                          </w:txbxContent>
                        </wps:txbx>
                        <wps:bodyPr wrap="square" lIns="0" tIns="0" rIns="0" bIns="0" rtlCol="0">
                          <a:noAutofit/>
                        </wps:bodyPr>
                      </wps:wsp>
                      <wps:wsp>
                        <wps:cNvPr id="417" name="Textbox 417"/>
                        <wps:cNvSpPr txBox="1"/>
                        <wps:spPr>
                          <a:xfrm>
                            <a:off x="4782756" y="2327846"/>
                            <a:ext cx="1051560" cy="279400"/>
                          </a:xfrm>
                          <a:prstGeom prst="rect">
                            <a:avLst/>
                          </a:prstGeom>
                          <a:ln w="9525">
                            <a:solidFill>
                              <a:srgbClr val="FFC000"/>
                            </a:solidFill>
                            <a:prstDash val="solid"/>
                          </a:ln>
                        </wps:spPr>
                        <wps:txbx>
                          <w:txbxContent>
                            <w:p>
                              <w:pPr>
                                <w:spacing w:line="259" w:lineRule="auto" w:before="72"/>
                                <w:ind w:left="445" w:right="438" w:firstLine="79"/>
                                <w:jc w:val="left"/>
                                <w:rPr>
                                  <w:sz w:val="12"/>
                                </w:rPr>
                              </w:pPr>
                              <w:r>
                                <w:rPr>
                                  <w:color w:val="EC7C30"/>
                                  <w:sz w:val="12"/>
                                </w:rPr>
                                <w:t>Servicio</w:t>
                              </w:r>
                              <w:r>
                                <w:rPr>
                                  <w:color w:val="EC7C30"/>
                                  <w:spacing w:val="-7"/>
                                  <w:sz w:val="12"/>
                                </w:rPr>
                                <w:t> </w:t>
                              </w:r>
                              <w:r>
                                <w:rPr>
                                  <w:color w:val="EC7C30"/>
                                  <w:sz w:val="12"/>
                                </w:rPr>
                                <w:t>no</w:t>
                              </w:r>
                              <w:r>
                                <w:rPr>
                                  <w:color w:val="EC7C30"/>
                                  <w:spacing w:val="40"/>
                                  <w:sz w:val="12"/>
                                </w:rPr>
                                <w:t> </w:t>
                              </w:r>
                              <w:r>
                                <w:rPr>
                                  <w:color w:val="EC7C30"/>
                                  <w:spacing w:val="-2"/>
                                  <w:sz w:val="12"/>
                                </w:rPr>
                                <w:t>implementado</w:t>
                              </w:r>
                            </w:p>
                          </w:txbxContent>
                        </wps:txbx>
                        <wps:bodyPr wrap="square" lIns="0" tIns="0" rIns="0" bIns="0" rtlCol="0">
                          <a:noAutofit/>
                        </wps:bodyPr>
                      </wps:wsp>
                      <wps:wsp>
                        <wps:cNvPr id="418" name="Textbox 418"/>
                        <wps:cNvSpPr txBox="1"/>
                        <wps:spPr>
                          <a:xfrm>
                            <a:off x="4763960" y="1520507"/>
                            <a:ext cx="1060450" cy="365760"/>
                          </a:xfrm>
                          <a:prstGeom prst="rect">
                            <a:avLst/>
                          </a:prstGeom>
                          <a:ln w="9525">
                            <a:solidFill>
                              <a:srgbClr val="C00000"/>
                            </a:solidFill>
                            <a:prstDash val="solid"/>
                          </a:ln>
                        </wps:spPr>
                        <wps:txbx>
                          <w:txbxContent>
                            <w:p>
                              <w:pPr>
                                <w:spacing w:line="240" w:lineRule="auto" w:before="7"/>
                                <w:rPr>
                                  <w:sz w:val="12"/>
                                </w:rPr>
                              </w:pPr>
                            </w:p>
                            <w:p>
                              <w:pPr>
                                <w:spacing w:before="1"/>
                                <w:ind w:left="225" w:right="0" w:hanging="34"/>
                                <w:jc w:val="left"/>
                                <w:rPr>
                                  <w:sz w:val="12"/>
                                </w:rPr>
                              </w:pPr>
                              <w:r>
                                <w:rPr>
                                  <w:sz w:val="12"/>
                                </w:rPr>
                                <w:t>Bajo</w:t>
                              </w:r>
                              <w:r>
                                <w:rPr>
                                  <w:spacing w:val="-9"/>
                                  <w:sz w:val="12"/>
                                </w:rPr>
                                <w:t> </w:t>
                              </w:r>
                              <w:r>
                                <w:rPr>
                                  <w:sz w:val="12"/>
                                </w:rPr>
                                <w:t>con</w:t>
                              </w:r>
                              <w:r>
                                <w:rPr>
                                  <w:spacing w:val="-8"/>
                                  <w:sz w:val="12"/>
                                </w:rPr>
                                <w:t> </w:t>
                              </w:r>
                              <w:r>
                                <w:rPr>
                                  <w:sz w:val="12"/>
                                </w:rPr>
                                <w:t>posible</w:t>
                              </w:r>
                              <w:r>
                                <w:rPr>
                                  <w:spacing w:val="-8"/>
                                  <w:sz w:val="12"/>
                                </w:rPr>
                                <w:t> </w:t>
                              </w:r>
                              <w:r>
                                <w:rPr>
                                  <w:sz w:val="12"/>
                                </w:rPr>
                                <w:t>falla</w:t>
                              </w:r>
                              <w:r>
                                <w:rPr>
                                  <w:spacing w:val="-9"/>
                                  <w:sz w:val="12"/>
                                </w:rPr>
                                <w:t> </w:t>
                              </w:r>
                              <w:r>
                                <w:rPr>
                                  <w:sz w:val="12"/>
                                </w:rPr>
                                <w:t>de</w:t>
                              </w:r>
                              <w:r>
                                <w:rPr>
                                  <w:spacing w:val="40"/>
                                  <w:sz w:val="12"/>
                                </w:rPr>
                                <w:t> </w:t>
                              </w:r>
                              <w:r>
                                <w:rPr>
                                  <w:sz w:val="12"/>
                                </w:rPr>
                                <w:t>planeación:</w:t>
                              </w:r>
                              <w:r>
                                <w:rPr>
                                  <w:spacing w:val="-5"/>
                                  <w:sz w:val="12"/>
                                </w:rPr>
                                <w:t> </w:t>
                              </w:r>
                              <w:r>
                                <w:rPr>
                                  <w:sz w:val="12"/>
                                </w:rPr>
                                <w:t>1</w:t>
                              </w:r>
                              <w:r>
                                <w:rPr>
                                  <w:spacing w:val="-3"/>
                                  <w:sz w:val="12"/>
                                </w:rPr>
                                <w:t> </w:t>
                              </w:r>
                              <w:r>
                                <w:rPr>
                                  <w:spacing w:val="-2"/>
                                  <w:sz w:val="12"/>
                                </w:rPr>
                                <w:t>indicador</w:t>
                              </w:r>
                            </w:p>
                          </w:txbxContent>
                        </wps:txbx>
                        <wps:bodyPr wrap="square" lIns="0" tIns="0" rIns="0" bIns="0" rtlCol="0">
                          <a:noAutofit/>
                        </wps:bodyPr>
                      </wps:wsp>
                      <wps:wsp>
                        <wps:cNvPr id="419" name="Textbox 419"/>
                        <wps:cNvSpPr txBox="1"/>
                        <wps:spPr>
                          <a:xfrm>
                            <a:off x="4763960" y="1133411"/>
                            <a:ext cx="1060450" cy="302260"/>
                          </a:xfrm>
                          <a:prstGeom prst="rect">
                            <a:avLst/>
                          </a:prstGeom>
                          <a:ln w="9525">
                            <a:solidFill>
                              <a:srgbClr val="FF0000"/>
                            </a:solidFill>
                            <a:prstDash val="solid"/>
                          </a:ln>
                        </wps:spPr>
                        <wps:txbx>
                          <w:txbxContent>
                            <w:p>
                              <w:pPr>
                                <w:spacing w:line="240" w:lineRule="auto" w:before="7"/>
                                <w:rPr>
                                  <w:sz w:val="12"/>
                                </w:rPr>
                              </w:pPr>
                            </w:p>
                            <w:p>
                              <w:pPr>
                                <w:spacing w:before="1"/>
                                <w:ind w:left="314" w:right="0" w:firstLine="0"/>
                                <w:jc w:val="left"/>
                                <w:rPr>
                                  <w:sz w:val="12"/>
                                </w:rPr>
                              </w:pPr>
                              <w:r>
                                <w:rPr>
                                  <w:color w:val="171717"/>
                                  <w:sz w:val="12"/>
                                </w:rPr>
                                <w:t>Bajo:</w:t>
                              </w:r>
                              <w:r>
                                <w:rPr>
                                  <w:color w:val="171717"/>
                                  <w:spacing w:val="-1"/>
                                  <w:sz w:val="12"/>
                                </w:rPr>
                                <w:t> </w:t>
                              </w:r>
                              <w:r>
                                <w:rPr>
                                  <w:color w:val="171717"/>
                                  <w:sz w:val="12"/>
                                </w:rPr>
                                <w:t>5</w:t>
                              </w:r>
                              <w:r>
                                <w:rPr>
                                  <w:color w:val="171717"/>
                                  <w:spacing w:val="-1"/>
                                  <w:sz w:val="12"/>
                                </w:rPr>
                                <w:t> </w:t>
                              </w:r>
                              <w:r>
                                <w:rPr>
                                  <w:color w:val="171717"/>
                                  <w:spacing w:val="-2"/>
                                  <w:sz w:val="12"/>
                                </w:rPr>
                                <w:t>indicadores</w:t>
                              </w:r>
                            </w:p>
                          </w:txbxContent>
                        </wps:txbx>
                        <wps:bodyPr wrap="square" lIns="0" tIns="0" rIns="0" bIns="0" rtlCol="0">
                          <a:noAutofit/>
                        </wps:bodyPr>
                      </wps:wsp>
                      <wps:wsp>
                        <wps:cNvPr id="420" name="Textbox 420"/>
                        <wps:cNvSpPr txBox="1"/>
                        <wps:spPr>
                          <a:xfrm>
                            <a:off x="4768722" y="511937"/>
                            <a:ext cx="1054735" cy="184150"/>
                          </a:xfrm>
                          <a:prstGeom prst="rect">
                            <a:avLst/>
                          </a:prstGeom>
                        </wps:spPr>
                        <wps:txbx>
                          <w:txbxContent>
                            <w:p>
                              <w:pPr>
                                <w:spacing w:before="66"/>
                                <w:ind w:left="321" w:right="0" w:firstLine="0"/>
                                <w:jc w:val="left"/>
                                <w:rPr>
                                  <w:sz w:val="12"/>
                                </w:rPr>
                              </w:pPr>
                              <w:r>
                                <w:rPr>
                                  <w:color w:val="171717"/>
                                  <w:sz w:val="12"/>
                                </w:rPr>
                                <w:t>Alto:</w:t>
                              </w:r>
                              <w:r>
                                <w:rPr>
                                  <w:color w:val="171717"/>
                                  <w:spacing w:val="-3"/>
                                  <w:sz w:val="12"/>
                                </w:rPr>
                                <w:t> </w:t>
                              </w:r>
                              <w:r>
                                <w:rPr>
                                  <w:color w:val="171717"/>
                                  <w:sz w:val="12"/>
                                </w:rPr>
                                <w:t>14</w:t>
                              </w:r>
                              <w:r>
                                <w:rPr>
                                  <w:color w:val="171717"/>
                                  <w:spacing w:val="-1"/>
                                  <w:sz w:val="12"/>
                                </w:rPr>
                                <w:t> </w:t>
                              </w:r>
                              <w:r>
                                <w:rPr>
                                  <w:color w:val="171717"/>
                                  <w:spacing w:val="-2"/>
                                  <w:sz w:val="12"/>
                                </w:rPr>
                                <w:t>indicadores</w:t>
                              </w:r>
                            </w:p>
                          </w:txbxContent>
                        </wps:txbx>
                        <wps:bodyPr wrap="square" lIns="0" tIns="0" rIns="0" bIns="0" rtlCol="0">
                          <a:noAutofit/>
                        </wps:bodyPr>
                      </wps:wsp>
                      <wps:wsp>
                        <wps:cNvPr id="421" name="Textbox 421"/>
                        <wps:cNvSpPr txBox="1"/>
                        <wps:spPr>
                          <a:xfrm>
                            <a:off x="4763960" y="37731"/>
                            <a:ext cx="1060450" cy="361315"/>
                          </a:xfrm>
                          <a:prstGeom prst="rect">
                            <a:avLst/>
                          </a:prstGeom>
                          <a:ln w="9525">
                            <a:solidFill>
                              <a:srgbClr val="538235"/>
                            </a:solidFill>
                            <a:prstDash val="solid"/>
                          </a:ln>
                        </wps:spPr>
                        <wps:txbx>
                          <w:txbxContent>
                            <w:p>
                              <w:pPr>
                                <w:spacing w:line="240" w:lineRule="auto" w:before="7"/>
                                <w:rPr>
                                  <w:sz w:val="12"/>
                                </w:rPr>
                              </w:pPr>
                            </w:p>
                            <w:p>
                              <w:pPr>
                                <w:spacing w:before="0"/>
                                <w:ind w:left="144" w:right="0" w:firstLine="38"/>
                                <w:jc w:val="left"/>
                                <w:rPr>
                                  <w:sz w:val="12"/>
                                </w:rPr>
                              </w:pPr>
                              <w:r>
                                <w:rPr>
                                  <w:color w:val="171717"/>
                                  <w:sz w:val="12"/>
                                </w:rPr>
                                <w:t>Alto con Posible falla de</w:t>
                              </w:r>
                              <w:r>
                                <w:rPr>
                                  <w:color w:val="171717"/>
                                  <w:spacing w:val="40"/>
                                  <w:sz w:val="12"/>
                                </w:rPr>
                                <w:t> </w:t>
                              </w:r>
                              <w:r>
                                <w:rPr>
                                  <w:color w:val="171717"/>
                                  <w:sz w:val="12"/>
                                </w:rPr>
                                <w:t>planeación:</w:t>
                              </w:r>
                              <w:r>
                                <w:rPr>
                                  <w:color w:val="171717"/>
                                  <w:spacing w:val="-9"/>
                                  <w:sz w:val="12"/>
                                </w:rPr>
                                <w:t> </w:t>
                              </w:r>
                              <w:r>
                                <w:rPr>
                                  <w:color w:val="171717"/>
                                  <w:sz w:val="12"/>
                                </w:rPr>
                                <w:t>8</w:t>
                              </w:r>
                              <w:r>
                                <w:rPr>
                                  <w:color w:val="171717"/>
                                  <w:spacing w:val="-8"/>
                                  <w:sz w:val="12"/>
                                </w:rPr>
                                <w:t> </w:t>
                              </w:r>
                              <w:r>
                                <w:rPr>
                                  <w:color w:val="171717"/>
                                  <w:sz w:val="12"/>
                                </w:rPr>
                                <w:t>indicadores</w:t>
                              </w:r>
                            </w:p>
                          </w:txbxContent>
                        </wps:txbx>
                        <wps:bodyPr wrap="square" lIns="0" tIns="0" rIns="0" bIns="0" rtlCol="0">
                          <a:noAutofit/>
                        </wps:bodyPr>
                      </wps:wsp>
                      <wps:wsp>
                        <wps:cNvPr id="422" name="Textbox 422"/>
                        <wps:cNvSpPr txBox="1"/>
                        <wps:spPr>
                          <a:xfrm>
                            <a:off x="4757991" y="845083"/>
                            <a:ext cx="1067435" cy="222885"/>
                          </a:xfrm>
                          <a:prstGeom prst="rect">
                            <a:avLst/>
                          </a:prstGeom>
                          <a:ln w="9525">
                            <a:solidFill>
                              <a:srgbClr val="FFC000"/>
                            </a:solidFill>
                            <a:prstDash val="solid"/>
                          </a:ln>
                        </wps:spPr>
                        <wps:txbx>
                          <w:txbxContent>
                            <w:p>
                              <w:pPr>
                                <w:spacing w:before="86"/>
                                <w:ind w:left="276" w:right="0" w:firstLine="0"/>
                                <w:jc w:val="left"/>
                                <w:rPr>
                                  <w:sz w:val="12"/>
                                </w:rPr>
                              </w:pPr>
                              <w:r>
                                <w:rPr>
                                  <w:color w:val="171717"/>
                                  <w:sz w:val="12"/>
                                </w:rPr>
                                <w:t>Medio:</w:t>
                              </w:r>
                              <w:r>
                                <w:rPr>
                                  <w:color w:val="171717"/>
                                  <w:spacing w:val="-4"/>
                                  <w:sz w:val="12"/>
                                </w:rPr>
                                <w:t> </w:t>
                              </w:r>
                              <w:r>
                                <w:rPr>
                                  <w:color w:val="171717"/>
                                  <w:sz w:val="12"/>
                                </w:rPr>
                                <w:t>4</w:t>
                              </w:r>
                              <w:r>
                                <w:rPr>
                                  <w:color w:val="171717"/>
                                  <w:spacing w:val="-1"/>
                                  <w:sz w:val="12"/>
                                </w:rPr>
                                <w:t> </w:t>
                              </w:r>
                              <w:r>
                                <w:rPr>
                                  <w:color w:val="171717"/>
                                  <w:spacing w:val="-2"/>
                                  <w:sz w:val="12"/>
                                </w:rPr>
                                <w:t>indicadores</w:t>
                              </w:r>
                            </w:p>
                          </w:txbxContent>
                        </wps:txbx>
                        <wps:bodyPr wrap="square" lIns="0" tIns="0" rIns="0" bIns="0" rtlCol="0">
                          <a:noAutofit/>
                        </wps:bodyPr>
                      </wps:wsp>
                    </wpg:wgp>
                  </a:graphicData>
                </a:graphic>
              </wp:anchor>
            </w:drawing>
          </mc:Choice>
          <mc:Fallback>
            <w:pict>
              <v:group style="position:absolute;margin-left:84.675003pt;margin-top:27.223808pt;width:467.8pt;height:284.5pt;mso-position-horizontal-relative:page;mso-position-vertical-relative:paragraph;z-index:15734272" id="docshapegroup391" coordorigin="1694,544" coordsize="9356,5690">
                <v:rect style="position:absolute;left:9198;top:1343;width:1655;height:305" id="docshape392" filled="false" stroked="true" strokeweight=".75pt" strokecolor="#82c99c">
                  <v:stroke dashstyle="solid"/>
                </v:rect>
                <v:shape style="position:absolute;left:1701;top:551;width:9341;height:5675" id="docshape393" coordorigin="1701,552" coordsize="9341,5675" path="m1701,681l1711,631,1739,590,1780,562,1830,552,10913,552,10963,562,11004,590,11032,631,11042,681,11042,6098,11032,6148,11004,6189,10963,6217,10913,6227,1830,6227,1780,6217,1739,6189,1711,6148,1701,6098,1701,681xe" filled="false" stroked="true" strokeweight=".75pt" strokecolor="#9cc2e4">
                  <v:path arrowok="t"/>
                  <v:stroke dashstyle="solid"/>
                </v:shape>
                <v:shape style="position:absolute;left:1817;top:3937;width:1265;height:738" id="docshape394" coordorigin="1818,3938" coordsize="1265,738" path="m2960,3938l1941,3938,1893,3948,1854,3974,1827,4013,1818,4061,1818,4553,1827,4601,1854,4640,1893,4666,1941,4676,2960,4676,3008,4666,3047,4640,3073,4601,3083,4553,3083,4061,3073,4013,3047,3974,3008,3948,2960,3938xe" filled="true" fillcolor="#0076a2" stroked="false">
                  <v:path arrowok="t"/>
                  <v:fill type="solid"/>
                </v:shape>
                <v:shape style="position:absolute;left:3102;top:2874;width:821;height:2958" id="docshape395" coordorigin="3102,2874" coordsize="821,2958" path="m3532,5284l3532,5831m3532,3650l3532,4846m3532,2874l3532,3211m3102,4292l3510,4292m3545,2874l3923,2874m3532,5816l3910,5816e" filled="false" stroked="true" strokeweight=".75pt" strokecolor="#a6a6a6">
                  <v:path arrowok="t"/>
                  <v:stroke dashstyle="solid"/>
                </v:shape>
                <v:shape style="position:absolute;left:3841;top:2420;width:1325;height:709" id="docshape396" coordorigin="3842,2420" coordsize="1325,709" path="m5048,2420l3960,2420,3914,2429,3876,2455,3851,2492,3842,2538,3842,3010,3851,3056,3876,3094,3914,3119,3960,3129,5048,3129,5094,3119,5132,3094,5157,3056,5166,3010,5166,2538,5157,2492,5132,2455,5094,2429,5048,2420xe" filled="true" fillcolor="#ec7c30" stroked="false">
                  <v:path arrowok="t"/>
                  <v:fill type="solid"/>
                </v:shape>
                <v:shape style="position:absolute;left:3854;top:5364;width:1291;height:689" id="docshape397" coordorigin="3855,5365" coordsize="1291,689" path="m5030,5365l3969,5365,3925,5374,3888,5399,3864,5435,3855,5480,3855,5939,3864,5984,3888,6020,3925,6045,3969,6054,5030,6054,5075,6045,5111,6020,5136,5984,5145,5939,5145,5480,5136,5435,5111,5399,5075,5374,5030,5365xe" filled="true" fillcolor="#6ccff6" stroked="false">
                  <v:path arrowok="t"/>
                  <v:fill type="solid"/>
                </v:shape>
                <v:shape style="position:absolute;left:5151;top:1498;width:545;height:2936" id="docshape398" coordorigin="5152,1499" coordsize="545,2936" path="m5476,3735l5476,4435m5476,2412l5476,3302m5476,1502l5476,1979m5152,2852l5476,2852m5463,1499l5697,1499m5463,4435l5697,4435e" filled="false" stroked="true" strokeweight=".75pt" strokecolor="#a6a6a6">
                  <v:path arrowok="t"/>
                  <v:stroke dashstyle="solid"/>
                </v:shape>
                <v:shape style="position:absolute;left:5826;top:1265;width:1459;height:502" id="docshape399" coordorigin="5826,1266" coordsize="1459,502" path="m7201,1266l5910,1266,5877,1272,5851,1290,5833,1317,5826,1349,5826,1684,5833,1717,5851,1743,5877,1761,5910,1768,7201,1768,7234,1761,7261,1743,7278,1717,7285,1684,7285,1349,7278,1317,7261,1290,7234,1272,7201,1266xe" filled="true" fillcolor="#8392c9" stroked="false">
                  <v:path arrowok="t"/>
                  <v:fill type="solid"/>
                </v:shape>
                <v:shape style="position:absolute;left:5878;top:4158;width:1459;height:502" id="docshape400" coordorigin="5878,4159" coordsize="1459,502" path="m7253,4159l5962,4159,5929,4165,5903,4183,5885,4210,5878,4242,5878,4577,5885,4610,5903,4636,5929,4654,5962,4661,7253,4661,7286,4654,7313,4636,7330,4610,7337,4577,7337,4242,7330,4210,7313,4183,7286,4165,7253,4159xe" filled="true" fillcolor="#82c99c" stroked="false">
                  <v:path arrowok="t"/>
                  <v:fill type="solid"/>
                </v:shape>
                <v:line style="position:absolute" from="8945,871" to="8948,3256" stroked="true" strokeweight=".75pt" strokecolor="#a6a6a6">
                  <v:stroke dashstyle="solid"/>
                </v:line>
                <v:line style="position:absolute" from="8750,1520" to="8961,1520" stroked="true" strokeweight="1.35pt" strokecolor="#a6a6a6">
                  <v:stroke dashstyle="solid"/>
                </v:line>
                <v:shape style="position:absolute;left:8699;top:863;width:522;height:3542" id="docshape401" coordorigin="8699,863" coordsize="522,3542" path="m8939,863l9182,863m8947,1508l9190,1508m8953,2550l9196,2550m8939,3251l9182,3251m8699,4405l9221,4405e" filled="false" stroked="true" strokeweight=".75pt" strokecolor="#aeabab">
                  <v:path arrowok="t"/>
                  <v:stroke dashstyle="solid"/>
                </v:shape>
                <v:shape style="position:absolute;left:5389;top:1398;width:3207;height:939" type="#_x0000_t202" id="docshape402" filled="false" stroked="false">
                  <v:textbox inset="0,0,0,0">
                    <w:txbxContent>
                      <w:p>
                        <w:pPr>
                          <w:tabs>
                            <w:tab w:pos="2340" w:val="left" w:leader="none"/>
                            <w:tab w:pos="2613" w:val="left" w:leader="none"/>
                          </w:tabs>
                          <w:spacing w:line="171" w:lineRule="exact" w:before="0"/>
                          <w:ind w:left="623" w:right="0" w:firstLine="0"/>
                          <w:jc w:val="left"/>
                          <w:rPr>
                            <w:position w:val="1"/>
                            <w:sz w:val="12"/>
                          </w:rPr>
                        </w:pPr>
                        <w:r>
                          <w:rPr>
                            <w:rFonts w:ascii="Calibri"/>
                            <w:b/>
                            <w:sz w:val="18"/>
                          </w:rPr>
                          <w:t>32 indicadores</w:t>
                        </w:r>
                        <w:r>
                          <w:rPr>
                            <w:rFonts w:ascii="Calibri"/>
                            <w:b/>
                            <w:spacing w:val="131"/>
                            <w:sz w:val="18"/>
                          </w:rPr>
                          <w:t> </w:t>
                        </w:r>
                        <w:r>
                          <w:rPr>
                            <w:rFonts w:ascii="Calibri"/>
                            <w:b/>
                            <w:sz w:val="18"/>
                            <w:u w:val="thick" w:color="A6A6A6"/>
                          </w:rPr>
                          <w:tab/>
                        </w:r>
                        <w:r>
                          <w:rPr>
                            <w:rFonts w:ascii="Calibri"/>
                            <w:b/>
                            <w:sz w:val="18"/>
                          </w:rPr>
                          <w:tab/>
                        </w:r>
                        <w:r>
                          <w:rPr>
                            <w:color w:val="3A3838"/>
                            <w:position w:val="1"/>
                            <w:sz w:val="12"/>
                          </w:rPr>
                          <w:t>Nivel</w:t>
                        </w:r>
                        <w:r>
                          <w:rPr>
                            <w:color w:val="3A3838"/>
                            <w:spacing w:val="-3"/>
                            <w:position w:val="1"/>
                            <w:sz w:val="12"/>
                          </w:rPr>
                          <w:t> </w:t>
                        </w:r>
                        <w:r>
                          <w:rPr>
                            <w:color w:val="3A3838"/>
                            <w:spacing w:val="-5"/>
                            <w:position w:val="1"/>
                            <w:sz w:val="12"/>
                          </w:rPr>
                          <w:t>de</w:t>
                        </w:r>
                      </w:p>
                      <w:p>
                        <w:pPr>
                          <w:spacing w:line="125" w:lineRule="exact" w:before="0"/>
                          <w:ind w:left="0" w:right="18" w:firstLine="0"/>
                          <w:jc w:val="right"/>
                          <w:rPr>
                            <w:sz w:val="12"/>
                          </w:rPr>
                        </w:pPr>
                        <w:r>
                          <w:rPr>
                            <w:color w:val="3A3838"/>
                            <w:spacing w:val="-2"/>
                            <w:sz w:val="12"/>
                          </w:rPr>
                          <w:t>cumplimiento</w:t>
                        </w:r>
                      </w:p>
                      <w:p>
                        <w:pPr>
                          <w:spacing w:line="240" w:lineRule="auto" w:before="0"/>
                          <w:rPr>
                            <w:sz w:val="12"/>
                          </w:rPr>
                        </w:pPr>
                      </w:p>
                      <w:p>
                        <w:pPr>
                          <w:spacing w:line="240" w:lineRule="auto" w:before="74"/>
                          <w:rPr>
                            <w:sz w:val="12"/>
                          </w:rPr>
                        </w:pPr>
                      </w:p>
                      <w:p>
                        <w:pPr>
                          <w:spacing w:line="254" w:lineRule="auto" w:before="0"/>
                          <w:ind w:left="312" w:right="1689" w:hanging="312"/>
                          <w:jc w:val="left"/>
                          <w:rPr>
                            <w:sz w:val="12"/>
                          </w:rPr>
                        </w:pPr>
                        <w:r>
                          <w:rPr>
                            <w:color w:val="3A3838"/>
                            <w:sz w:val="12"/>
                          </w:rPr>
                          <w:t>Sin</w:t>
                        </w:r>
                        <w:r>
                          <w:rPr>
                            <w:color w:val="3A3838"/>
                            <w:spacing w:val="-11"/>
                            <w:sz w:val="12"/>
                          </w:rPr>
                          <w:t> </w:t>
                        </w:r>
                        <w:r>
                          <w:rPr>
                            <w:color w:val="3A3838"/>
                            <w:sz w:val="12"/>
                          </w:rPr>
                          <w:t>dificultades</w:t>
                        </w:r>
                        <w:r>
                          <w:rPr>
                            <w:color w:val="3A3838"/>
                            <w:spacing w:val="-8"/>
                            <w:sz w:val="12"/>
                          </w:rPr>
                          <w:t> </w:t>
                        </w:r>
                        <w:r>
                          <w:rPr>
                            <w:color w:val="3A3838"/>
                            <w:sz w:val="12"/>
                          </w:rPr>
                          <w:t>en</w:t>
                        </w:r>
                        <w:r>
                          <w:rPr>
                            <w:color w:val="3A3838"/>
                            <w:spacing w:val="-8"/>
                            <w:sz w:val="12"/>
                          </w:rPr>
                          <w:t> </w:t>
                        </w:r>
                        <w:r>
                          <w:rPr>
                            <w:color w:val="3A3838"/>
                            <w:sz w:val="12"/>
                          </w:rPr>
                          <w:t>la</w:t>
                        </w:r>
                        <w:r>
                          <w:rPr>
                            <w:color w:val="3A3838"/>
                            <w:spacing w:val="40"/>
                            <w:sz w:val="12"/>
                          </w:rPr>
                          <w:t> </w:t>
                        </w:r>
                        <w:r>
                          <w:rPr>
                            <w:color w:val="3A3838"/>
                            <w:spacing w:val="-2"/>
                            <w:sz w:val="12"/>
                          </w:rPr>
                          <w:t>medición</w:t>
                        </w:r>
                      </w:p>
                    </w:txbxContent>
                  </v:textbox>
                  <w10:wrap type="none"/>
                </v:shape>
                <v:shape style="position:absolute;left:4071;top:2563;width:884;height:416" type="#_x0000_t202" id="docshape403" filled="false" stroked="false">
                  <v:textbox inset="0,0,0,0">
                    <w:txbxContent>
                      <w:p>
                        <w:pPr>
                          <w:spacing w:line="183" w:lineRule="exact" w:before="0"/>
                          <w:ind w:left="0" w:right="17" w:firstLine="0"/>
                          <w:jc w:val="center"/>
                          <w:rPr>
                            <w:rFonts w:ascii="Calibri"/>
                            <w:b/>
                            <w:sz w:val="18"/>
                          </w:rPr>
                        </w:pPr>
                        <w:r>
                          <w:rPr>
                            <w:rFonts w:ascii="Calibri"/>
                            <w:b/>
                            <w:spacing w:val="-5"/>
                            <w:sz w:val="18"/>
                          </w:rPr>
                          <w:t>35</w:t>
                        </w:r>
                      </w:p>
                      <w:p>
                        <w:pPr>
                          <w:spacing w:line="216" w:lineRule="exact" w:before="15"/>
                          <w:ind w:left="0" w:right="18" w:firstLine="0"/>
                          <w:jc w:val="center"/>
                          <w:rPr>
                            <w:rFonts w:ascii="Calibri"/>
                            <w:b/>
                            <w:sz w:val="18"/>
                          </w:rPr>
                        </w:pPr>
                        <w:r>
                          <w:rPr>
                            <w:rFonts w:ascii="Calibri"/>
                            <w:b/>
                            <w:spacing w:val="-2"/>
                            <w:sz w:val="18"/>
                          </w:rPr>
                          <w:t>indicadores</w:t>
                        </w:r>
                      </w:p>
                    </w:txbxContent>
                  </v:textbox>
                  <w10:wrap type="none"/>
                </v:shape>
                <v:shape style="position:absolute;left:3535;top:3288;width:543;height:283" type="#_x0000_t202" id="docshape404" filled="false" stroked="false">
                  <v:textbox inset="0,0,0,0">
                    <w:txbxContent>
                      <w:p>
                        <w:pPr>
                          <w:spacing w:line="259" w:lineRule="auto" w:before="0"/>
                          <w:ind w:left="129" w:right="18" w:hanging="130"/>
                          <w:jc w:val="left"/>
                          <w:rPr>
                            <w:sz w:val="12"/>
                          </w:rPr>
                        </w:pPr>
                        <w:r>
                          <w:rPr>
                            <w:color w:val="3A3838"/>
                            <w:sz w:val="12"/>
                          </w:rPr>
                          <w:t>Con</w:t>
                        </w:r>
                        <w:r>
                          <w:rPr>
                            <w:color w:val="3A3838"/>
                            <w:spacing w:val="-9"/>
                            <w:sz w:val="12"/>
                          </w:rPr>
                          <w:t> </w:t>
                        </w:r>
                        <w:r>
                          <w:rPr>
                            <w:color w:val="3A3838"/>
                            <w:sz w:val="12"/>
                          </w:rPr>
                          <w:t>meta</w:t>
                        </w:r>
                        <w:r>
                          <w:rPr>
                            <w:color w:val="3A3838"/>
                            <w:spacing w:val="40"/>
                            <w:sz w:val="12"/>
                          </w:rPr>
                          <w:t> </w:t>
                        </w:r>
                        <w:r>
                          <w:rPr>
                            <w:color w:val="3A3838"/>
                            <w:spacing w:val="-4"/>
                            <w:sz w:val="12"/>
                          </w:rPr>
                          <w:t>2023</w:t>
                        </w:r>
                      </w:p>
                    </w:txbxContent>
                  </v:textbox>
                  <w10:wrap type="none"/>
                </v:shape>
                <v:shape style="position:absolute;left:5391;top:3379;width:1042;height:283" type="#_x0000_t202" id="docshape405" filled="false" stroked="false">
                  <v:textbox inset="0,0,0,0">
                    <w:txbxContent>
                      <w:p>
                        <w:pPr>
                          <w:spacing w:line="259" w:lineRule="auto" w:before="0"/>
                          <w:ind w:left="206" w:right="18" w:hanging="207"/>
                          <w:jc w:val="left"/>
                          <w:rPr>
                            <w:sz w:val="12"/>
                          </w:rPr>
                        </w:pPr>
                        <w:r>
                          <w:rPr>
                            <w:color w:val="3A3838"/>
                            <w:sz w:val="12"/>
                          </w:rPr>
                          <w:t>Con</w:t>
                        </w:r>
                        <w:r>
                          <w:rPr>
                            <w:color w:val="3A3838"/>
                            <w:spacing w:val="-9"/>
                            <w:sz w:val="12"/>
                          </w:rPr>
                          <w:t> </w:t>
                        </w:r>
                        <w:r>
                          <w:rPr>
                            <w:color w:val="3A3838"/>
                            <w:sz w:val="12"/>
                          </w:rPr>
                          <w:t>dificultades</w:t>
                        </w:r>
                        <w:r>
                          <w:rPr>
                            <w:color w:val="3A3838"/>
                            <w:spacing w:val="-8"/>
                            <w:sz w:val="12"/>
                          </w:rPr>
                          <w:t> </w:t>
                        </w:r>
                        <w:r>
                          <w:rPr>
                            <w:color w:val="3A3838"/>
                            <w:sz w:val="12"/>
                          </w:rPr>
                          <w:t>en</w:t>
                        </w:r>
                        <w:r>
                          <w:rPr>
                            <w:color w:val="3A3838"/>
                            <w:spacing w:val="40"/>
                            <w:sz w:val="12"/>
                          </w:rPr>
                          <w:t> </w:t>
                        </w:r>
                        <w:r>
                          <w:rPr>
                            <w:color w:val="3A3838"/>
                            <w:sz w:val="12"/>
                          </w:rPr>
                          <w:t>la</w:t>
                        </w:r>
                        <w:r>
                          <w:rPr>
                            <w:color w:val="3A3838"/>
                            <w:spacing w:val="-8"/>
                            <w:sz w:val="12"/>
                          </w:rPr>
                          <w:t> </w:t>
                        </w:r>
                        <w:r>
                          <w:rPr>
                            <w:color w:val="3A3838"/>
                            <w:sz w:val="12"/>
                          </w:rPr>
                          <w:t>medición</w:t>
                        </w:r>
                      </w:p>
                    </w:txbxContent>
                  </v:textbox>
                  <w10:wrap type="none"/>
                </v:shape>
                <v:shape style="position:absolute;left:2016;top:4082;width:884;height:416" type="#_x0000_t202" id="docshape406" filled="false" stroked="false">
                  <v:textbox inset="0,0,0,0">
                    <w:txbxContent>
                      <w:p>
                        <w:pPr>
                          <w:spacing w:line="183" w:lineRule="exact" w:before="0"/>
                          <w:ind w:left="0" w:right="17" w:firstLine="0"/>
                          <w:jc w:val="center"/>
                          <w:rPr>
                            <w:rFonts w:ascii="Calibri"/>
                            <w:b/>
                            <w:sz w:val="18"/>
                          </w:rPr>
                        </w:pPr>
                        <w:r>
                          <w:rPr>
                            <w:rFonts w:ascii="Calibri"/>
                            <w:b/>
                            <w:color w:val="FFFFFF"/>
                            <w:spacing w:val="-5"/>
                            <w:sz w:val="18"/>
                          </w:rPr>
                          <w:t>38</w:t>
                        </w:r>
                      </w:p>
                      <w:p>
                        <w:pPr>
                          <w:spacing w:line="216" w:lineRule="exact" w:before="15"/>
                          <w:ind w:left="0" w:right="18" w:firstLine="0"/>
                          <w:jc w:val="center"/>
                          <w:rPr>
                            <w:rFonts w:ascii="Calibri"/>
                            <w:b/>
                            <w:sz w:val="18"/>
                          </w:rPr>
                        </w:pPr>
                        <w:r>
                          <w:rPr>
                            <w:rFonts w:ascii="Calibri"/>
                            <w:b/>
                            <w:color w:val="FFFFFF"/>
                            <w:spacing w:val="-2"/>
                            <w:sz w:val="18"/>
                          </w:rPr>
                          <w:t>indicadores</w:t>
                        </w:r>
                      </w:p>
                    </w:txbxContent>
                  </v:textbox>
                  <w10:wrap type="none"/>
                </v:shape>
                <v:shape style="position:absolute;left:6111;top:4291;width:1016;height:180" type="#_x0000_t202" id="docshape407" filled="false" stroked="false">
                  <v:textbox inset="0,0,0,0">
                    <w:txbxContent>
                      <w:p>
                        <w:pPr>
                          <w:spacing w:line="180" w:lineRule="exact" w:before="0"/>
                          <w:ind w:left="0" w:right="0" w:firstLine="0"/>
                          <w:jc w:val="left"/>
                          <w:rPr>
                            <w:rFonts w:ascii="Calibri"/>
                            <w:b/>
                            <w:sz w:val="18"/>
                          </w:rPr>
                        </w:pPr>
                        <w:r>
                          <w:rPr>
                            <w:rFonts w:ascii="Calibri"/>
                            <w:b/>
                            <w:sz w:val="18"/>
                          </w:rPr>
                          <w:t>3 </w:t>
                        </w:r>
                        <w:r>
                          <w:rPr>
                            <w:rFonts w:ascii="Calibri"/>
                            <w:b/>
                            <w:spacing w:val="-2"/>
                            <w:sz w:val="18"/>
                          </w:rPr>
                          <w:t>indicadores</w:t>
                        </w:r>
                      </w:p>
                    </w:txbxContent>
                  </v:textbox>
                  <w10:wrap type="none"/>
                </v:shape>
                <v:shape style="position:absolute;left:7331;top:4248;width:1215;height:224" type="#_x0000_t202" id="docshape408" filled="false" stroked="false">
                  <v:textbox inset="0,0,0,0">
                    <w:txbxContent>
                      <w:p>
                        <w:pPr>
                          <w:tabs>
                            <w:tab w:pos="438" w:val="left" w:leader="none"/>
                          </w:tabs>
                          <w:spacing w:line="134" w:lineRule="exact" w:before="0"/>
                          <w:ind w:left="0" w:right="0" w:firstLine="0"/>
                          <w:jc w:val="left"/>
                          <w:rPr>
                            <w:sz w:val="12"/>
                          </w:rPr>
                        </w:pPr>
                        <w:r>
                          <w:rPr>
                            <w:rFonts w:ascii="Calibri"/>
                            <w:b/>
                            <w:position w:val="-6"/>
                            <w:sz w:val="18"/>
                            <w:u w:val="single" w:color="AEABAB"/>
                          </w:rPr>
                          <w:tab/>
                        </w:r>
                        <w:r>
                          <w:rPr>
                            <w:rFonts w:ascii="Calibri"/>
                            <w:b/>
                            <w:spacing w:val="75"/>
                            <w:position w:val="-6"/>
                            <w:sz w:val="18"/>
                          </w:rPr>
                          <w:t> </w:t>
                        </w:r>
                        <w:r>
                          <w:rPr>
                            <w:color w:val="3A3838"/>
                            <w:sz w:val="12"/>
                          </w:rPr>
                          <w:t>Dificultades</w:t>
                        </w:r>
                      </w:p>
                    </w:txbxContent>
                  </v:textbox>
                  <w10:wrap type="none"/>
                </v:shape>
                <v:shape style="position:absolute;left:7883;top:4397;width:689;height:135" type="#_x0000_t202" id="docshape409" filled="false" stroked="false">
                  <v:textbox inset="0,0,0,0">
                    <w:txbxContent>
                      <w:p>
                        <w:pPr>
                          <w:spacing w:line="134" w:lineRule="exact" w:before="0"/>
                          <w:ind w:left="0" w:right="0" w:firstLine="0"/>
                          <w:jc w:val="left"/>
                          <w:rPr>
                            <w:sz w:val="12"/>
                          </w:rPr>
                        </w:pPr>
                        <w:r>
                          <w:rPr>
                            <w:color w:val="3A3838"/>
                            <w:spacing w:val="-2"/>
                            <w:sz w:val="12"/>
                          </w:rPr>
                          <w:t>identificadas</w:t>
                        </w:r>
                      </w:p>
                    </w:txbxContent>
                  </v:textbox>
                  <w10:wrap type="none"/>
                </v:shape>
                <v:shape style="position:absolute;left:3571;top:4922;width:495;height:283" type="#_x0000_t202" id="docshape410" filled="false" stroked="false">
                  <v:textbox inset="0,0,0,0">
                    <w:txbxContent>
                      <w:p>
                        <w:pPr>
                          <w:spacing w:line="134" w:lineRule="exact" w:before="0"/>
                          <w:ind w:left="0" w:right="18" w:firstLine="0"/>
                          <w:jc w:val="right"/>
                          <w:rPr>
                            <w:sz w:val="12"/>
                          </w:rPr>
                        </w:pPr>
                        <w:r>
                          <w:rPr>
                            <w:color w:val="3A3838"/>
                            <w:sz w:val="12"/>
                          </w:rPr>
                          <w:t>Sin</w:t>
                        </w:r>
                        <w:r>
                          <w:rPr>
                            <w:color w:val="3A3838"/>
                            <w:spacing w:val="-2"/>
                            <w:sz w:val="12"/>
                          </w:rPr>
                          <w:t> </w:t>
                        </w:r>
                        <w:r>
                          <w:rPr>
                            <w:color w:val="3A3838"/>
                            <w:spacing w:val="-4"/>
                            <w:sz w:val="12"/>
                          </w:rPr>
                          <w:t>meta</w:t>
                        </w:r>
                      </w:p>
                      <w:p>
                        <w:pPr>
                          <w:spacing w:before="11"/>
                          <w:ind w:left="0" w:right="117" w:firstLine="0"/>
                          <w:jc w:val="right"/>
                          <w:rPr>
                            <w:sz w:val="12"/>
                          </w:rPr>
                        </w:pPr>
                        <w:r>
                          <w:rPr>
                            <w:color w:val="3A3838"/>
                            <w:spacing w:val="-4"/>
                            <w:sz w:val="12"/>
                          </w:rPr>
                          <w:t>2023</w:t>
                        </w:r>
                      </w:p>
                    </w:txbxContent>
                  </v:textbox>
                  <w10:wrap type="none"/>
                </v:shape>
                <v:shape style="position:absolute;left:4066;top:5508;width:884;height:416" type="#_x0000_t202" id="docshape411" filled="false" stroked="false">
                  <v:textbox inset="0,0,0,0">
                    <w:txbxContent>
                      <w:p>
                        <w:pPr>
                          <w:spacing w:line="183" w:lineRule="exact" w:before="0"/>
                          <w:ind w:left="0" w:right="12" w:firstLine="0"/>
                          <w:jc w:val="center"/>
                          <w:rPr>
                            <w:rFonts w:ascii="Calibri"/>
                            <w:b/>
                            <w:sz w:val="18"/>
                          </w:rPr>
                        </w:pPr>
                        <w:r>
                          <w:rPr>
                            <w:rFonts w:ascii="Calibri"/>
                            <w:b/>
                            <w:spacing w:val="-10"/>
                            <w:sz w:val="18"/>
                          </w:rPr>
                          <w:t>3</w:t>
                        </w:r>
                      </w:p>
                      <w:p>
                        <w:pPr>
                          <w:spacing w:line="216" w:lineRule="exact" w:before="15"/>
                          <w:ind w:left="0" w:right="18" w:firstLine="0"/>
                          <w:jc w:val="center"/>
                          <w:rPr>
                            <w:rFonts w:ascii="Calibri"/>
                            <w:b/>
                            <w:sz w:val="18"/>
                          </w:rPr>
                        </w:pPr>
                        <w:r>
                          <w:rPr>
                            <w:rFonts w:ascii="Calibri"/>
                            <w:b/>
                            <w:spacing w:val="-2"/>
                            <w:sz w:val="18"/>
                          </w:rPr>
                          <w:t>indicadores</w:t>
                        </w:r>
                      </w:p>
                    </w:txbxContent>
                  </v:textbox>
                  <w10:wrap type="none"/>
                </v:shape>
                <v:shape style="position:absolute;left:9225;top:4210;width:1656;height:440" type="#_x0000_t202" id="docshape412" filled="false" stroked="true" strokeweight=".75pt" strokecolor="#ffc000">
                  <v:textbox inset="0,0,0,0">
                    <w:txbxContent>
                      <w:p>
                        <w:pPr>
                          <w:spacing w:line="259" w:lineRule="auto" w:before="72"/>
                          <w:ind w:left="445" w:right="438" w:firstLine="79"/>
                          <w:jc w:val="left"/>
                          <w:rPr>
                            <w:sz w:val="12"/>
                          </w:rPr>
                        </w:pPr>
                        <w:r>
                          <w:rPr>
                            <w:color w:val="EC7C30"/>
                            <w:sz w:val="12"/>
                          </w:rPr>
                          <w:t>Servicio</w:t>
                        </w:r>
                        <w:r>
                          <w:rPr>
                            <w:color w:val="EC7C30"/>
                            <w:spacing w:val="-7"/>
                            <w:sz w:val="12"/>
                          </w:rPr>
                          <w:t> </w:t>
                        </w:r>
                        <w:r>
                          <w:rPr>
                            <w:color w:val="EC7C30"/>
                            <w:sz w:val="12"/>
                          </w:rPr>
                          <w:t>no</w:t>
                        </w:r>
                        <w:r>
                          <w:rPr>
                            <w:color w:val="EC7C30"/>
                            <w:spacing w:val="40"/>
                            <w:sz w:val="12"/>
                          </w:rPr>
                          <w:t> </w:t>
                        </w:r>
                        <w:r>
                          <w:rPr>
                            <w:color w:val="EC7C30"/>
                            <w:spacing w:val="-2"/>
                            <w:sz w:val="12"/>
                          </w:rPr>
                          <w:t>implementado</w:t>
                        </w:r>
                      </w:p>
                    </w:txbxContent>
                  </v:textbox>
                  <v:stroke dashstyle="solid"/>
                  <w10:wrap type="none"/>
                </v:shape>
                <v:shape style="position:absolute;left:9195;top:2938;width:1670;height:576" type="#_x0000_t202" id="docshape413" filled="false" stroked="true" strokeweight=".75pt" strokecolor="#c00000">
                  <v:textbox inset="0,0,0,0">
                    <w:txbxContent>
                      <w:p>
                        <w:pPr>
                          <w:spacing w:line="240" w:lineRule="auto" w:before="7"/>
                          <w:rPr>
                            <w:sz w:val="12"/>
                          </w:rPr>
                        </w:pPr>
                      </w:p>
                      <w:p>
                        <w:pPr>
                          <w:spacing w:before="1"/>
                          <w:ind w:left="225" w:right="0" w:hanging="34"/>
                          <w:jc w:val="left"/>
                          <w:rPr>
                            <w:sz w:val="12"/>
                          </w:rPr>
                        </w:pPr>
                        <w:r>
                          <w:rPr>
                            <w:sz w:val="12"/>
                          </w:rPr>
                          <w:t>Bajo</w:t>
                        </w:r>
                        <w:r>
                          <w:rPr>
                            <w:spacing w:val="-9"/>
                            <w:sz w:val="12"/>
                          </w:rPr>
                          <w:t> </w:t>
                        </w:r>
                        <w:r>
                          <w:rPr>
                            <w:sz w:val="12"/>
                          </w:rPr>
                          <w:t>con</w:t>
                        </w:r>
                        <w:r>
                          <w:rPr>
                            <w:spacing w:val="-8"/>
                            <w:sz w:val="12"/>
                          </w:rPr>
                          <w:t> </w:t>
                        </w:r>
                        <w:r>
                          <w:rPr>
                            <w:sz w:val="12"/>
                          </w:rPr>
                          <w:t>posible</w:t>
                        </w:r>
                        <w:r>
                          <w:rPr>
                            <w:spacing w:val="-8"/>
                            <w:sz w:val="12"/>
                          </w:rPr>
                          <w:t> </w:t>
                        </w:r>
                        <w:r>
                          <w:rPr>
                            <w:sz w:val="12"/>
                          </w:rPr>
                          <w:t>falla</w:t>
                        </w:r>
                        <w:r>
                          <w:rPr>
                            <w:spacing w:val="-9"/>
                            <w:sz w:val="12"/>
                          </w:rPr>
                          <w:t> </w:t>
                        </w:r>
                        <w:r>
                          <w:rPr>
                            <w:sz w:val="12"/>
                          </w:rPr>
                          <w:t>de</w:t>
                        </w:r>
                        <w:r>
                          <w:rPr>
                            <w:spacing w:val="40"/>
                            <w:sz w:val="12"/>
                          </w:rPr>
                          <w:t> </w:t>
                        </w:r>
                        <w:r>
                          <w:rPr>
                            <w:sz w:val="12"/>
                          </w:rPr>
                          <w:t>planeación:</w:t>
                        </w:r>
                        <w:r>
                          <w:rPr>
                            <w:spacing w:val="-5"/>
                            <w:sz w:val="12"/>
                          </w:rPr>
                          <w:t> </w:t>
                        </w:r>
                        <w:r>
                          <w:rPr>
                            <w:sz w:val="12"/>
                          </w:rPr>
                          <w:t>1</w:t>
                        </w:r>
                        <w:r>
                          <w:rPr>
                            <w:spacing w:val="-3"/>
                            <w:sz w:val="12"/>
                          </w:rPr>
                          <w:t> </w:t>
                        </w:r>
                        <w:r>
                          <w:rPr>
                            <w:spacing w:val="-2"/>
                            <w:sz w:val="12"/>
                          </w:rPr>
                          <w:t>indicador</w:t>
                        </w:r>
                      </w:p>
                    </w:txbxContent>
                  </v:textbox>
                  <v:stroke dashstyle="solid"/>
                  <w10:wrap type="none"/>
                </v:shape>
                <v:shape style="position:absolute;left:9195;top:2329;width:1670;height:476" type="#_x0000_t202" id="docshape414" filled="false" stroked="true" strokeweight=".75pt" strokecolor="#ff0000">
                  <v:textbox inset="0,0,0,0">
                    <w:txbxContent>
                      <w:p>
                        <w:pPr>
                          <w:spacing w:line="240" w:lineRule="auto" w:before="7"/>
                          <w:rPr>
                            <w:sz w:val="12"/>
                          </w:rPr>
                        </w:pPr>
                      </w:p>
                      <w:p>
                        <w:pPr>
                          <w:spacing w:before="1"/>
                          <w:ind w:left="314" w:right="0" w:firstLine="0"/>
                          <w:jc w:val="left"/>
                          <w:rPr>
                            <w:sz w:val="12"/>
                          </w:rPr>
                        </w:pPr>
                        <w:r>
                          <w:rPr>
                            <w:color w:val="171717"/>
                            <w:sz w:val="12"/>
                          </w:rPr>
                          <w:t>Bajo:</w:t>
                        </w:r>
                        <w:r>
                          <w:rPr>
                            <w:color w:val="171717"/>
                            <w:spacing w:val="-1"/>
                            <w:sz w:val="12"/>
                          </w:rPr>
                          <w:t> </w:t>
                        </w:r>
                        <w:r>
                          <w:rPr>
                            <w:color w:val="171717"/>
                            <w:sz w:val="12"/>
                          </w:rPr>
                          <w:t>5</w:t>
                        </w:r>
                        <w:r>
                          <w:rPr>
                            <w:color w:val="171717"/>
                            <w:spacing w:val="-1"/>
                            <w:sz w:val="12"/>
                          </w:rPr>
                          <w:t> </w:t>
                        </w:r>
                        <w:r>
                          <w:rPr>
                            <w:color w:val="171717"/>
                            <w:spacing w:val="-2"/>
                            <w:sz w:val="12"/>
                          </w:rPr>
                          <w:t>indicadores</w:t>
                        </w:r>
                      </w:p>
                    </w:txbxContent>
                  </v:textbox>
                  <v:stroke dashstyle="solid"/>
                  <w10:wrap type="none"/>
                </v:shape>
                <v:shape style="position:absolute;left:9203;top:1350;width:1661;height:290" type="#_x0000_t202" id="docshape415" filled="false" stroked="false">
                  <v:textbox inset="0,0,0,0">
                    <w:txbxContent>
                      <w:p>
                        <w:pPr>
                          <w:spacing w:before="66"/>
                          <w:ind w:left="321" w:right="0" w:firstLine="0"/>
                          <w:jc w:val="left"/>
                          <w:rPr>
                            <w:sz w:val="12"/>
                          </w:rPr>
                        </w:pPr>
                        <w:r>
                          <w:rPr>
                            <w:color w:val="171717"/>
                            <w:sz w:val="12"/>
                          </w:rPr>
                          <w:t>Alto:</w:t>
                        </w:r>
                        <w:r>
                          <w:rPr>
                            <w:color w:val="171717"/>
                            <w:spacing w:val="-3"/>
                            <w:sz w:val="12"/>
                          </w:rPr>
                          <w:t> </w:t>
                        </w:r>
                        <w:r>
                          <w:rPr>
                            <w:color w:val="171717"/>
                            <w:sz w:val="12"/>
                          </w:rPr>
                          <w:t>14</w:t>
                        </w:r>
                        <w:r>
                          <w:rPr>
                            <w:color w:val="171717"/>
                            <w:spacing w:val="-1"/>
                            <w:sz w:val="12"/>
                          </w:rPr>
                          <w:t> </w:t>
                        </w:r>
                        <w:r>
                          <w:rPr>
                            <w:color w:val="171717"/>
                            <w:spacing w:val="-2"/>
                            <w:sz w:val="12"/>
                          </w:rPr>
                          <w:t>indicadores</w:t>
                        </w:r>
                      </w:p>
                    </w:txbxContent>
                  </v:textbox>
                  <w10:wrap type="none"/>
                </v:shape>
                <v:shape style="position:absolute;left:9195;top:603;width:1670;height:569" type="#_x0000_t202" id="docshape416" filled="false" stroked="true" strokeweight=".75pt" strokecolor="#538235">
                  <v:textbox inset="0,0,0,0">
                    <w:txbxContent>
                      <w:p>
                        <w:pPr>
                          <w:spacing w:line="240" w:lineRule="auto" w:before="7"/>
                          <w:rPr>
                            <w:sz w:val="12"/>
                          </w:rPr>
                        </w:pPr>
                      </w:p>
                      <w:p>
                        <w:pPr>
                          <w:spacing w:before="0"/>
                          <w:ind w:left="144" w:right="0" w:firstLine="38"/>
                          <w:jc w:val="left"/>
                          <w:rPr>
                            <w:sz w:val="12"/>
                          </w:rPr>
                        </w:pPr>
                        <w:r>
                          <w:rPr>
                            <w:color w:val="171717"/>
                            <w:sz w:val="12"/>
                          </w:rPr>
                          <w:t>Alto con Posible falla de</w:t>
                        </w:r>
                        <w:r>
                          <w:rPr>
                            <w:color w:val="171717"/>
                            <w:spacing w:val="40"/>
                            <w:sz w:val="12"/>
                          </w:rPr>
                          <w:t> </w:t>
                        </w:r>
                        <w:r>
                          <w:rPr>
                            <w:color w:val="171717"/>
                            <w:sz w:val="12"/>
                          </w:rPr>
                          <w:t>planeación:</w:t>
                        </w:r>
                        <w:r>
                          <w:rPr>
                            <w:color w:val="171717"/>
                            <w:spacing w:val="-9"/>
                            <w:sz w:val="12"/>
                          </w:rPr>
                          <w:t> </w:t>
                        </w:r>
                        <w:r>
                          <w:rPr>
                            <w:color w:val="171717"/>
                            <w:sz w:val="12"/>
                          </w:rPr>
                          <w:t>8</w:t>
                        </w:r>
                        <w:r>
                          <w:rPr>
                            <w:color w:val="171717"/>
                            <w:spacing w:val="-8"/>
                            <w:sz w:val="12"/>
                          </w:rPr>
                          <w:t> </w:t>
                        </w:r>
                        <w:r>
                          <w:rPr>
                            <w:color w:val="171717"/>
                            <w:sz w:val="12"/>
                          </w:rPr>
                          <w:t>indicadores</w:t>
                        </w:r>
                      </w:p>
                    </w:txbxContent>
                  </v:textbox>
                  <v:stroke dashstyle="solid"/>
                  <w10:wrap type="none"/>
                </v:shape>
                <v:shape style="position:absolute;left:9186;top:1875;width:1681;height:351" type="#_x0000_t202" id="docshape417" filled="false" stroked="true" strokeweight=".75pt" strokecolor="#ffc000">
                  <v:textbox inset="0,0,0,0">
                    <w:txbxContent>
                      <w:p>
                        <w:pPr>
                          <w:spacing w:before="86"/>
                          <w:ind w:left="276" w:right="0" w:firstLine="0"/>
                          <w:jc w:val="left"/>
                          <w:rPr>
                            <w:sz w:val="12"/>
                          </w:rPr>
                        </w:pPr>
                        <w:r>
                          <w:rPr>
                            <w:color w:val="171717"/>
                            <w:sz w:val="12"/>
                          </w:rPr>
                          <w:t>Medio:</w:t>
                        </w:r>
                        <w:r>
                          <w:rPr>
                            <w:color w:val="171717"/>
                            <w:spacing w:val="-4"/>
                            <w:sz w:val="12"/>
                          </w:rPr>
                          <w:t> </w:t>
                        </w:r>
                        <w:r>
                          <w:rPr>
                            <w:color w:val="171717"/>
                            <w:sz w:val="12"/>
                          </w:rPr>
                          <w:t>4</w:t>
                        </w:r>
                        <w:r>
                          <w:rPr>
                            <w:color w:val="171717"/>
                            <w:spacing w:val="-1"/>
                            <w:sz w:val="12"/>
                          </w:rPr>
                          <w:t> </w:t>
                        </w:r>
                        <w:r>
                          <w:rPr>
                            <w:color w:val="171717"/>
                            <w:spacing w:val="-2"/>
                            <w:sz w:val="12"/>
                          </w:rPr>
                          <w:t>indicadores</w:t>
                        </w:r>
                      </w:p>
                    </w:txbxContent>
                  </v:textbox>
                  <v:stroke dashstyle="solid"/>
                  <w10:wrap type="none"/>
                </v:shape>
                <w10:wrap type="none"/>
              </v:group>
            </w:pict>
          </mc:Fallback>
        </mc:AlternateContent>
      </w:r>
      <w:r>
        <w:rPr>
          <w:color w:val="44536A"/>
          <w:sz w:val="20"/>
        </w:rPr>
        <w:t>Ilustración</w:t>
      </w:r>
      <w:r>
        <w:rPr>
          <w:color w:val="44536A"/>
          <w:spacing w:val="-5"/>
          <w:sz w:val="20"/>
        </w:rPr>
        <w:t> </w:t>
      </w:r>
      <w:r>
        <w:rPr>
          <w:color w:val="44536A"/>
          <w:sz w:val="20"/>
        </w:rPr>
        <w:t>1.</w:t>
      </w:r>
      <w:r>
        <w:rPr>
          <w:color w:val="44536A"/>
          <w:spacing w:val="-6"/>
          <w:sz w:val="20"/>
        </w:rPr>
        <w:t> </w:t>
      </w:r>
      <w:r>
        <w:rPr>
          <w:color w:val="44536A"/>
          <w:sz w:val="20"/>
        </w:rPr>
        <w:t>Resumen</w:t>
      </w:r>
      <w:r>
        <w:rPr>
          <w:color w:val="44536A"/>
          <w:spacing w:val="-6"/>
          <w:sz w:val="20"/>
        </w:rPr>
        <w:t> </w:t>
      </w:r>
      <w:r>
        <w:rPr>
          <w:color w:val="44536A"/>
          <w:sz w:val="20"/>
        </w:rPr>
        <w:t>de</w:t>
      </w:r>
      <w:r>
        <w:rPr>
          <w:color w:val="44536A"/>
          <w:spacing w:val="-5"/>
          <w:sz w:val="20"/>
        </w:rPr>
        <w:t> </w:t>
      </w:r>
      <w:r>
        <w:rPr>
          <w:color w:val="44536A"/>
          <w:sz w:val="20"/>
        </w:rPr>
        <w:t>los</w:t>
      </w:r>
      <w:r>
        <w:rPr>
          <w:color w:val="44536A"/>
          <w:spacing w:val="-6"/>
          <w:sz w:val="20"/>
        </w:rPr>
        <w:t> </w:t>
      </w:r>
      <w:r>
        <w:rPr>
          <w:color w:val="44536A"/>
          <w:sz w:val="20"/>
        </w:rPr>
        <w:t>indicadores</w:t>
      </w:r>
      <w:r>
        <w:rPr>
          <w:color w:val="44536A"/>
          <w:spacing w:val="-5"/>
          <w:sz w:val="20"/>
        </w:rPr>
        <w:t> </w:t>
      </w:r>
      <w:r>
        <w:rPr>
          <w:color w:val="44536A"/>
          <w:sz w:val="20"/>
        </w:rPr>
        <w:t>de</w:t>
      </w:r>
      <w:r>
        <w:rPr>
          <w:color w:val="44536A"/>
          <w:spacing w:val="-6"/>
          <w:sz w:val="20"/>
        </w:rPr>
        <w:t> </w:t>
      </w:r>
      <w:r>
        <w:rPr>
          <w:color w:val="44536A"/>
          <w:sz w:val="20"/>
        </w:rPr>
        <w:t>servicio</w:t>
      </w:r>
      <w:r>
        <w:rPr>
          <w:color w:val="44536A"/>
          <w:spacing w:val="-3"/>
          <w:sz w:val="20"/>
        </w:rPr>
        <w:t> </w:t>
      </w:r>
      <w:r>
        <w:rPr>
          <w:color w:val="44536A"/>
          <w:sz w:val="20"/>
        </w:rPr>
        <w:t>de</w:t>
      </w:r>
      <w:r>
        <w:rPr>
          <w:color w:val="44536A"/>
          <w:spacing w:val="-6"/>
          <w:sz w:val="20"/>
        </w:rPr>
        <w:t> </w:t>
      </w:r>
      <w:r>
        <w:rPr>
          <w:color w:val="44536A"/>
          <w:sz w:val="20"/>
        </w:rPr>
        <w:t>la</w:t>
      </w:r>
      <w:r>
        <w:rPr>
          <w:color w:val="44536A"/>
          <w:spacing w:val="-5"/>
          <w:sz w:val="20"/>
        </w:rPr>
        <w:t> </w:t>
      </w:r>
      <w:r>
        <w:rPr>
          <w:color w:val="44536A"/>
          <w:spacing w:val="-4"/>
          <w:sz w:val="20"/>
        </w:rPr>
        <w:t>PNIG</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82"/>
        <w:rPr>
          <w:sz w:val="20"/>
        </w:rPr>
      </w:pPr>
    </w:p>
    <w:p>
      <w:pPr>
        <w:spacing w:line="307" w:lineRule="auto" w:before="0"/>
        <w:ind w:left="1222" w:right="4189" w:firstLine="0"/>
        <w:jc w:val="left"/>
        <w:rPr>
          <w:sz w:val="18"/>
        </w:rPr>
      </w:pPr>
      <w:r>
        <w:rPr>
          <w:sz w:val="18"/>
        </w:rPr>
        <w:t>Fuente: Reporte</w:t>
      </w:r>
      <w:r>
        <w:rPr>
          <w:spacing w:val="-1"/>
          <w:sz w:val="18"/>
        </w:rPr>
        <w:t> </w:t>
      </w:r>
      <w:r>
        <w:rPr>
          <w:sz w:val="18"/>
        </w:rPr>
        <w:t>de</w:t>
      </w:r>
      <w:r>
        <w:rPr>
          <w:spacing w:val="-3"/>
          <w:sz w:val="18"/>
        </w:rPr>
        <w:t> </w:t>
      </w:r>
      <w:r>
        <w:rPr>
          <w:sz w:val="18"/>
        </w:rPr>
        <w:t>seguimiento</w:t>
      </w:r>
      <w:r>
        <w:rPr>
          <w:spacing w:val="-1"/>
          <w:sz w:val="18"/>
        </w:rPr>
        <w:t> </w:t>
      </w:r>
      <w:r>
        <w:rPr>
          <w:sz w:val="18"/>
        </w:rPr>
        <w:t>2023 Elaboración propia</w:t>
      </w:r>
    </w:p>
    <w:p>
      <w:pPr>
        <w:spacing w:after="0" w:line="307" w:lineRule="auto"/>
        <w:jc w:val="left"/>
        <w:rPr>
          <w:sz w:val="18"/>
        </w:rPr>
        <w:sectPr>
          <w:pgSz w:w="11910" w:h="16840"/>
          <w:pgMar w:header="713" w:footer="1000" w:top="1420" w:bottom="1200" w:left="1559" w:right="992"/>
        </w:sectPr>
      </w:pPr>
    </w:p>
    <w:p>
      <w:pPr>
        <w:pStyle w:val="BodyText"/>
        <w:spacing w:line="326" w:lineRule="auto" w:before="126"/>
        <w:ind w:left="143" w:right="704"/>
        <w:jc w:val="both"/>
      </w:pPr>
      <w:r>
        <w:rPr/>
        <w:t>Así,</w:t>
      </w:r>
      <w:r>
        <w:rPr>
          <w:spacing w:val="-11"/>
        </w:rPr>
        <w:t> </w:t>
      </w:r>
      <w:r>
        <w:rPr/>
        <w:t>de</w:t>
      </w:r>
      <w:r>
        <w:rPr>
          <w:spacing w:val="-11"/>
        </w:rPr>
        <w:t> </w:t>
      </w:r>
      <w:r>
        <w:rPr/>
        <w:t>los</w:t>
      </w:r>
      <w:r>
        <w:rPr>
          <w:spacing w:val="-11"/>
        </w:rPr>
        <w:t> </w:t>
      </w:r>
      <w:r>
        <w:rPr/>
        <w:t>32</w:t>
      </w:r>
      <w:r>
        <w:rPr>
          <w:spacing w:val="-7"/>
        </w:rPr>
        <w:t> </w:t>
      </w:r>
      <w:r>
        <w:rPr/>
        <w:t>indicadores</w:t>
      </w:r>
      <w:r>
        <w:rPr>
          <w:spacing w:val="-7"/>
        </w:rPr>
        <w:t> </w:t>
      </w:r>
      <w:r>
        <w:rPr/>
        <w:t>reportados,</w:t>
      </w:r>
      <w:r>
        <w:rPr>
          <w:spacing w:val="-7"/>
        </w:rPr>
        <w:t> </w:t>
      </w:r>
      <w:r>
        <w:rPr/>
        <w:t>y</w:t>
      </w:r>
      <w:r>
        <w:rPr>
          <w:spacing w:val="-11"/>
        </w:rPr>
        <w:t> </w:t>
      </w:r>
      <w:r>
        <w:rPr/>
        <w:t>cuya</w:t>
      </w:r>
      <w:r>
        <w:rPr>
          <w:spacing w:val="-8"/>
        </w:rPr>
        <w:t> </w:t>
      </w:r>
      <w:r>
        <w:rPr/>
        <w:t>fuente</w:t>
      </w:r>
      <w:r>
        <w:rPr>
          <w:spacing w:val="-8"/>
        </w:rPr>
        <w:t> </w:t>
      </w:r>
      <w:r>
        <w:rPr/>
        <w:t>de</w:t>
      </w:r>
      <w:r>
        <w:rPr>
          <w:spacing w:val="-11"/>
        </w:rPr>
        <w:t> </w:t>
      </w:r>
      <w:r>
        <w:rPr/>
        <w:t>información</w:t>
      </w:r>
      <w:r>
        <w:rPr>
          <w:spacing w:val="-8"/>
        </w:rPr>
        <w:t> </w:t>
      </w:r>
      <w:r>
        <w:rPr/>
        <w:t>corresponde </w:t>
      </w:r>
      <w:r>
        <w:rPr>
          <w:w w:val="105"/>
        </w:rPr>
        <w:t>a</w:t>
      </w:r>
      <w:r>
        <w:rPr>
          <w:spacing w:val="-5"/>
          <w:w w:val="105"/>
        </w:rPr>
        <w:t> </w:t>
      </w:r>
      <w:r>
        <w:rPr>
          <w:w w:val="105"/>
        </w:rPr>
        <w:t>los</w:t>
      </w:r>
      <w:r>
        <w:rPr>
          <w:spacing w:val="-5"/>
          <w:w w:val="105"/>
        </w:rPr>
        <w:t> </w:t>
      </w:r>
      <w:r>
        <w:rPr>
          <w:w w:val="105"/>
        </w:rPr>
        <w:t>registros</w:t>
      </w:r>
      <w:r>
        <w:rPr>
          <w:spacing w:val="-5"/>
          <w:w w:val="105"/>
        </w:rPr>
        <w:t> </w:t>
      </w:r>
      <w:r>
        <w:rPr>
          <w:w w:val="105"/>
        </w:rPr>
        <w:t>administrativos</w:t>
      </w:r>
      <w:r>
        <w:rPr>
          <w:spacing w:val="-5"/>
          <w:w w:val="105"/>
        </w:rPr>
        <w:t> </w:t>
      </w:r>
      <w:r>
        <w:rPr>
          <w:w w:val="105"/>
        </w:rPr>
        <w:t>que</w:t>
      </w:r>
      <w:r>
        <w:rPr>
          <w:spacing w:val="-5"/>
          <w:w w:val="105"/>
        </w:rPr>
        <w:t> </w:t>
      </w:r>
      <w:r>
        <w:rPr>
          <w:w w:val="105"/>
        </w:rPr>
        <w:t>registró</w:t>
      </w:r>
      <w:r>
        <w:rPr>
          <w:spacing w:val="-6"/>
          <w:w w:val="105"/>
        </w:rPr>
        <w:t> </w:t>
      </w:r>
      <w:r>
        <w:rPr>
          <w:w w:val="105"/>
        </w:rPr>
        <w:t>cada</w:t>
      </w:r>
      <w:r>
        <w:rPr>
          <w:spacing w:val="-5"/>
          <w:w w:val="105"/>
        </w:rPr>
        <w:t> </w:t>
      </w:r>
      <w:r>
        <w:rPr>
          <w:w w:val="105"/>
        </w:rPr>
        <w:t>responsable</w:t>
      </w:r>
      <w:r>
        <w:rPr>
          <w:spacing w:val="-5"/>
          <w:w w:val="105"/>
        </w:rPr>
        <w:t> </w:t>
      </w:r>
      <w:r>
        <w:rPr>
          <w:w w:val="105"/>
        </w:rPr>
        <w:t>del</w:t>
      </w:r>
      <w:r>
        <w:rPr>
          <w:spacing w:val="-6"/>
          <w:w w:val="105"/>
        </w:rPr>
        <w:t> </w:t>
      </w:r>
      <w:r>
        <w:rPr>
          <w:w w:val="105"/>
        </w:rPr>
        <w:t>servicio,</w:t>
      </w:r>
      <w:r>
        <w:rPr>
          <w:spacing w:val="-4"/>
          <w:w w:val="105"/>
        </w:rPr>
        <w:t> </w:t>
      </w:r>
      <w:r>
        <w:rPr>
          <w:w w:val="105"/>
        </w:rPr>
        <w:t>se obtuvo</w:t>
      </w:r>
      <w:r>
        <w:rPr>
          <w:spacing w:val="-10"/>
          <w:w w:val="105"/>
        </w:rPr>
        <w:t> </w:t>
      </w:r>
      <w:r>
        <w:rPr>
          <w:w w:val="105"/>
        </w:rPr>
        <w:t>que,</w:t>
      </w:r>
      <w:r>
        <w:rPr>
          <w:spacing w:val="-9"/>
          <w:w w:val="105"/>
        </w:rPr>
        <w:t> </w:t>
      </w:r>
      <w:r>
        <w:rPr>
          <w:w w:val="105"/>
        </w:rPr>
        <w:t>14</w:t>
      </w:r>
      <w:r>
        <w:rPr>
          <w:spacing w:val="-10"/>
          <w:w w:val="105"/>
        </w:rPr>
        <w:t> </w:t>
      </w:r>
      <w:r>
        <w:rPr>
          <w:w w:val="105"/>
        </w:rPr>
        <w:t>presentan</w:t>
      </w:r>
      <w:r>
        <w:rPr>
          <w:spacing w:val="-8"/>
          <w:w w:val="105"/>
        </w:rPr>
        <w:t> </w:t>
      </w:r>
      <w:r>
        <w:rPr>
          <w:w w:val="105"/>
        </w:rPr>
        <w:t>un</w:t>
      </w:r>
      <w:r>
        <w:rPr>
          <w:spacing w:val="-11"/>
          <w:w w:val="105"/>
        </w:rPr>
        <w:t> </w:t>
      </w:r>
      <w:r>
        <w:rPr>
          <w:w w:val="105"/>
        </w:rPr>
        <w:t>nivel</w:t>
      </w:r>
      <w:r>
        <w:rPr>
          <w:spacing w:val="-10"/>
          <w:w w:val="105"/>
        </w:rPr>
        <w:t> </w:t>
      </w:r>
      <w:r>
        <w:rPr>
          <w:w w:val="105"/>
        </w:rPr>
        <w:t>de</w:t>
      </w:r>
      <w:r>
        <w:rPr>
          <w:spacing w:val="-11"/>
          <w:w w:val="105"/>
        </w:rPr>
        <w:t> </w:t>
      </w:r>
      <w:r>
        <w:rPr>
          <w:w w:val="105"/>
        </w:rPr>
        <w:t>cumplimiento</w:t>
      </w:r>
      <w:r>
        <w:rPr>
          <w:spacing w:val="-9"/>
          <w:w w:val="105"/>
        </w:rPr>
        <w:t> </w:t>
      </w:r>
      <w:r>
        <w:rPr>
          <w:w w:val="105"/>
        </w:rPr>
        <w:t>alto,</w:t>
      </w:r>
      <w:r>
        <w:rPr>
          <w:spacing w:val="-10"/>
          <w:w w:val="105"/>
        </w:rPr>
        <w:t> </w:t>
      </w:r>
      <w:r>
        <w:rPr>
          <w:w w:val="105"/>
        </w:rPr>
        <w:t>4</w:t>
      </w:r>
      <w:r>
        <w:rPr>
          <w:spacing w:val="-11"/>
          <w:w w:val="105"/>
        </w:rPr>
        <w:t> </w:t>
      </w:r>
      <w:r>
        <w:rPr>
          <w:w w:val="105"/>
        </w:rPr>
        <w:t>presentan</w:t>
      </w:r>
      <w:r>
        <w:rPr>
          <w:spacing w:val="-10"/>
          <w:w w:val="105"/>
        </w:rPr>
        <w:t> </w:t>
      </w:r>
      <w:r>
        <w:rPr>
          <w:w w:val="105"/>
        </w:rPr>
        <w:t>un</w:t>
      </w:r>
      <w:r>
        <w:rPr>
          <w:spacing w:val="-11"/>
          <w:w w:val="105"/>
        </w:rPr>
        <w:t> </w:t>
      </w:r>
      <w:r>
        <w:rPr>
          <w:w w:val="105"/>
        </w:rPr>
        <w:t>nivel medio,</w:t>
      </w:r>
      <w:r>
        <w:rPr>
          <w:spacing w:val="-9"/>
          <w:w w:val="105"/>
        </w:rPr>
        <w:t> </w:t>
      </w:r>
      <w:r>
        <w:rPr>
          <w:w w:val="105"/>
        </w:rPr>
        <w:t>5</w:t>
      </w:r>
      <w:r>
        <w:rPr>
          <w:spacing w:val="-10"/>
          <w:w w:val="105"/>
        </w:rPr>
        <w:t> </w:t>
      </w:r>
      <w:r>
        <w:rPr>
          <w:w w:val="105"/>
        </w:rPr>
        <w:t>presenta</w:t>
      </w:r>
      <w:r>
        <w:rPr>
          <w:spacing w:val="-11"/>
          <w:w w:val="105"/>
        </w:rPr>
        <w:t> </w:t>
      </w:r>
      <w:r>
        <w:rPr>
          <w:w w:val="105"/>
        </w:rPr>
        <w:t>un</w:t>
      </w:r>
      <w:r>
        <w:rPr>
          <w:spacing w:val="-11"/>
          <w:w w:val="105"/>
        </w:rPr>
        <w:t> </w:t>
      </w:r>
      <w:r>
        <w:rPr>
          <w:w w:val="105"/>
        </w:rPr>
        <w:t>nivel</w:t>
      </w:r>
      <w:r>
        <w:rPr>
          <w:spacing w:val="-10"/>
          <w:w w:val="105"/>
        </w:rPr>
        <w:t> </w:t>
      </w:r>
      <w:r>
        <w:rPr>
          <w:w w:val="105"/>
        </w:rPr>
        <w:t>de</w:t>
      </w:r>
      <w:r>
        <w:rPr>
          <w:spacing w:val="-11"/>
          <w:w w:val="105"/>
        </w:rPr>
        <w:t> </w:t>
      </w:r>
      <w:r>
        <w:rPr>
          <w:w w:val="105"/>
        </w:rPr>
        <w:t>cumplimiento</w:t>
      </w:r>
      <w:r>
        <w:rPr>
          <w:spacing w:val="-10"/>
          <w:w w:val="105"/>
        </w:rPr>
        <w:t> </w:t>
      </w:r>
      <w:r>
        <w:rPr>
          <w:w w:val="105"/>
        </w:rPr>
        <w:t>bajo</w:t>
      </w:r>
      <w:r>
        <w:rPr>
          <w:spacing w:val="-4"/>
          <w:w w:val="105"/>
        </w:rPr>
        <w:t> </w:t>
      </w:r>
      <w:r>
        <w:rPr>
          <w:w w:val="105"/>
        </w:rPr>
        <w:t>y</w:t>
      </w:r>
      <w:r>
        <w:rPr>
          <w:spacing w:val="-11"/>
          <w:w w:val="105"/>
        </w:rPr>
        <w:t> </w:t>
      </w:r>
      <w:r>
        <w:rPr>
          <w:w w:val="105"/>
        </w:rPr>
        <w:t>9</w:t>
      </w:r>
      <w:r>
        <w:rPr>
          <w:spacing w:val="-11"/>
          <w:w w:val="105"/>
        </w:rPr>
        <w:t> </w:t>
      </w:r>
      <w:r>
        <w:rPr>
          <w:w w:val="105"/>
        </w:rPr>
        <w:t>presentaron</w:t>
      </w:r>
      <w:r>
        <w:rPr>
          <w:spacing w:val="-13"/>
          <w:w w:val="105"/>
        </w:rPr>
        <w:t> </w:t>
      </w:r>
      <w:r>
        <w:rPr>
          <w:w w:val="105"/>
        </w:rPr>
        <w:t>una</w:t>
      </w:r>
      <w:r>
        <w:rPr>
          <w:spacing w:val="-10"/>
          <w:w w:val="105"/>
        </w:rPr>
        <w:t> </w:t>
      </w:r>
      <w:r>
        <w:rPr>
          <w:w w:val="105"/>
        </w:rPr>
        <w:t>posible falla de planeación.</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32"/>
      </w:pPr>
    </w:p>
    <w:p>
      <w:pPr>
        <w:pStyle w:val="BodyText"/>
        <w:ind w:right="563"/>
        <w:jc w:val="center"/>
      </w:pPr>
      <w:r>
        <w:rPr>
          <w:color w:val="44536A"/>
        </w:rPr>
        <w:t>Ilustración</w:t>
      </w:r>
      <w:r>
        <w:rPr>
          <w:color w:val="44536A"/>
          <w:spacing w:val="5"/>
        </w:rPr>
        <w:t> </w:t>
      </w:r>
      <w:r>
        <w:rPr>
          <w:color w:val="44536A"/>
        </w:rPr>
        <w:t>2.</w:t>
      </w:r>
      <w:r>
        <w:rPr>
          <w:color w:val="44536A"/>
          <w:spacing w:val="5"/>
        </w:rPr>
        <w:t> </w:t>
      </w:r>
      <w:r>
        <w:rPr>
          <w:color w:val="44536A"/>
        </w:rPr>
        <w:t>Nivel</w:t>
      </w:r>
      <w:r>
        <w:rPr>
          <w:color w:val="44536A"/>
          <w:spacing w:val="6"/>
        </w:rPr>
        <w:t> </w:t>
      </w:r>
      <w:r>
        <w:rPr>
          <w:color w:val="44536A"/>
        </w:rPr>
        <w:t>de</w:t>
      </w:r>
      <w:r>
        <w:rPr>
          <w:color w:val="44536A"/>
          <w:spacing w:val="3"/>
        </w:rPr>
        <w:t> </w:t>
      </w:r>
      <w:r>
        <w:rPr>
          <w:color w:val="44536A"/>
        </w:rPr>
        <w:t>cumplimiento</w:t>
      </w:r>
      <w:r>
        <w:rPr>
          <w:color w:val="44536A"/>
          <w:spacing w:val="6"/>
        </w:rPr>
        <w:t> </w:t>
      </w:r>
      <w:r>
        <w:rPr>
          <w:color w:val="44536A"/>
        </w:rPr>
        <w:t>de</w:t>
      </w:r>
      <w:r>
        <w:rPr>
          <w:color w:val="44536A"/>
          <w:spacing w:val="3"/>
        </w:rPr>
        <w:t> </w:t>
      </w:r>
      <w:r>
        <w:rPr>
          <w:color w:val="44536A"/>
        </w:rPr>
        <w:t>los</w:t>
      </w:r>
      <w:r>
        <w:rPr>
          <w:color w:val="44536A"/>
          <w:spacing w:val="4"/>
        </w:rPr>
        <w:t> </w:t>
      </w:r>
      <w:r>
        <w:rPr>
          <w:color w:val="44536A"/>
        </w:rPr>
        <w:t>indicadores</w:t>
      </w:r>
      <w:r>
        <w:rPr>
          <w:color w:val="44536A"/>
          <w:spacing w:val="7"/>
        </w:rPr>
        <w:t> </w:t>
      </w:r>
      <w:r>
        <w:rPr>
          <w:color w:val="44536A"/>
          <w:spacing w:val="-4"/>
        </w:rPr>
        <w:t>PNIG</w:t>
      </w:r>
    </w:p>
    <w:p>
      <w:pPr>
        <w:pStyle w:val="BodyText"/>
        <w:spacing w:before="4"/>
        <w:rPr>
          <w:sz w:val="16"/>
        </w:rPr>
      </w:pPr>
      <w:r>
        <w:rPr>
          <w:sz w:val="16"/>
        </w:rPr>
        <mc:AlternateContent>
          <mc:Choice Requires="wps">
            <w:drawing>
              <wp:anchor distT="0" distB="0" distL="0" distR="0" allowOverlap="1" layoutInCell="1" locked="0" behindDoc="1" simplePos="0" relativeHeight="487593984">
                <wp:simplePos x="0" y="0"/>
                <wp:positionH relativeFrom="page">
                  <wp:posOffset>1671954</wp:posOffset>
                </wp:positionH>
                <wp:positionV relativeFrom="paragraph">
                  <wp:posOffset>134638</wp:posOffset>
                </wp:positionV>
                <wp:extent cx="4206240" cy="2549525"/>
                <wp:effectExtent l="0" t="0" r="0" b="0"/>
                <wp:wrapTopAndBottom/>
                <wp:docPr id="423" name="Group 423"/>
                <wp:cNvGraphicFramePr>
                  <a:graphicFrameLocks/>
                </wp:cNvGraphicFramePr>
                <a:graphic>
                  <a:graphicData uri="http://schemas.microsoft.com/office/word/2010/wordprocessingGroup">
                    <wpg:wgp>
                      <wpg:cNvPr id="423" name="Group 423"/>
                      <wpg:cNvGrpSpPr/>
                      <wpg:grpSpPr>
                        <a:xfrm>
                          <a:off x="0" y="0"/>
                          <a:ext cx="4206240" cy="2549525"/>
                          <a:chExt cx="4206240" cy="2549525"/>
                        </a:xfrm>
                      </wpg:grpSpPr>
                      <wps:wsp>
                        <wps:cNvPr id="424" name="Graphic 424"/>
                        <wps:cNvSpPr/>
                        <wps:spPr>
                          <a:xfrm>
                            <a:off x="1569974" y="135636"/>
                            <a:ext cx="1170940" cy="1170940"/>
                          </a:xfrm>
                          <a:custGeom>
                            <a:avLst/>
                            <a:gdLst/>
                            <a:ahLst/>
                            <a:cxnLst/>
                            <a:rect l="l" t="t" r="r" b="b"/>
                            <a:pathLst>
                              <a:path w="1170940" h="1170940">
                                <a:moveTo>
                                  <a:pt x="0" y="0"/>
                                </a:moveTo>
                                <a:lnTo>
                                  <a:pt x="0" y="1170432"/>
                                </a:lnTo>
                                <a:lnTo>
                                  <a:pt x="1170432" y="1170432"/>
                                </a:lnTo>
                                <a:lnTo>
                                  <a:pt x="1169455" y="1122185"/>
                                </a:lnTo>
                                <a:lnTo>
                                  <a:pt x="1166552" y="1074435"/>
                                </a:lnTo>
                                <a:lnTo>
                                  <a:pt x="1161758" y="1027220"/>
                                </a:lnTo>
                                <a:lnTo>
                                  <a:pt x="1155113" y="980577"/>
                                </a:lnTo>
                                <a:lnTo>
                                  <a:pt x="1146653" y="934543"/>
                                </a:lnTo>
                                <a:lnTo>
                                  <a:pt x="1136417" y="889157"/>
                                </a:lnTo>
                                <a:lnTo>
                                  <a:pt x="1124441" y="844456"/>
                                </a:lnTo>
                                <a:lnTo>
                                  <a:pt x="1110764" y="800477"/>
                                </a:lnTo>
                                <a:lnTo>
                                  <a:pt x="1095423" y="757259"/>
                                </a:lnTo>
                                <a:lnTo>
                                  <a:pt x="1078456" y="714839"/>
                                </a:lnTo>
                                <a:lnTo>
                                  <a:pt x="1059900" y="673254"/>
                                </a:lnTo>
                                <a:lnTo>
                                  <a:pt x="1039793" y="632543"/>
                                </a:lnTo>
                                <a:lnTo>
                                  <a:pt x="1018174" y="592742"/>
                                </a:lnTo>
                                <a:lnTo>
                                  <a:pt x="995078" y="553890"/>
                                </a:lnTo>
                                <a:lnTo>
                                  <a:pt x="970545" y="516024"/>
                                </a:lnTo>
                                <a:lnTo>
                                  <a:pt x="944611" y="479182"/>
                                </a:lnTo>
                                <a:lnTo>
                                  <a:pt x="917315" y="443401"/>
                                </a:lnTo>
                                <a:lnTo>
                                  <a:pt x="888694" y="408719"/>
                                </a:lnTo>
                                <a:lnTo>
                                  <a:pt x="858785" y="375175"/>
                                </a:lnTo>
                                <a:lnTo>
                                  <a:pt x="827627" y="342804"/>
                                </a:lnTo>
                                <a:lnTo>
                                  <a:pt x="795256" y="311646"/>
                                </a:lnTo>
                                <a:lnTo>
                                  <a:pt x="761712" y="281737"/>
                                </a:lnTo>
                                <a:lnTo>
                                  <a:pt x="727030" y="253116"/>
                                </a:lnTo>
                                <a:lnTo>
                                  <a:pt x="691249" y="225820"/>
                                </a:lnTo>
                                <a:lnTo>
                                  <a:pt x="654407" y="199886"/>
                                </a:lnTo>
                                <a:lnTo>
                                  <a:pt x="616541" y="175353"/>
                                </a:lnTo>
                                <a:lnTo>
                                  <a:pt x="577689" y="152257"/>
                                </a:lnTo>
                                <a:lnTo>
                                  <a:pt x="537888" y="130638"/>
                                </a:lnTo>
                                <a:lnTo>
                                  <a:pt x="497177" y="110531"/>
                                </a:lnTo>
                                <a:lnTo>
                                  <a:pt x="455592" y="91975"/>
                                </a:lnTo>
                                <a:lnTo>
                                  <a:pt x="413172" y="75008"/>
                                </a:lnTo>
                                <a:lnTo>
                                  <a:pt x="369954" y="59667"/>
                                </a:lnTo>
                                <a:lnTo>
                                  <a:pt x="325975" y="45990"/>
                                </a:lnTo>
                                <a:lnTo>
                                  <a:pt x="281274" y="34014"/>
                                </a:lnTo>
                                <a:lnTo>
                                  <a:pt x="235888" y="23778"/>
                                </a:lnTo>
                                <a:lnTo>
                                  <a:pt x="189854" y="15318"/>
                                </a:lnTo>
                                <a:lnTo>
                                  <a:pt x="143211" y="8673"/>
                                </a:lnTo>
                                <a:lnTo>
                                  <a:pt x="95996" y="3879"/>
                                </a:lnTo>
                                <a:lnTo>
                                  <a:pt x="48246" y="976"/>
                                </a:lnTo>
                                <a:lnTo>
                                  <a:pt x="0" y="0"/>
                                </a:lnTo>
                                <a:close/>
                              </a:path>
                            </a:pathLst>
                          </a:custGeom>
                          <a:solidFill>
                            <a:srgbClr val="00AF50"/>
                          </a:solidFill>
                        </wps:spPr>
                        <wps:bodyPr wrap="square" lIns="0" tIns="0" rIns="0" bIns="0" rtlCol="0">
                          <a:prstTxWarp prst="textNoShape">
                            <a:avLst/>
                          </a:prstTxWarp>
                          <a:noAutofit/>
                        </wps:bodyPr>
                      </wps:wsp>
                      <wps:wsp>
                        <wps:cNvPr id="425" name="Graphic 425"/>
                        <wps:cNvSpPr/>
                        <wps:spPr>
                          <a:xfrm>
                            <a:off x="488823" y="1306067"/>
                            <a:ext cx="2251710" cy="1170305"/>
                          </a:xfrm>
                          <a:custGeom>
                            <a:avLst/>
                            <a:gdLst/>
                            <a:ahLst/>
                            <a:cxnLst/>
                            <a:rect l="l" t="t" r="r" b="b"/>
                            <a:pathLst>
                              <a:path w="2251710" h="1170305">
                                <a:moveTo>
                                  <a:pt x="2251583" y="0"/>
                                </a:moveTo>
                                <a:lnTo>
                                  <a:pt x="1081151" y="0"/>
                                </a:lnTo>
                                <a:lnTo>
                                  <a:pt x="0" y="447801"/>
                                </a:lnTo>
                                <a:lnTo>
                                  <a:pt x="19602" y="492500"/>
                                </a:lnTo>
                                <a:lnTo>
                                  <a:pt x="40908" y="536079"/>
                                </a:lnTo>
                                <a:lnTo>
                                  <a:pt x="63869" y="578507"/>
                                </a:lnTo>
                                <a:lnTo>
                                  <a:pt x="88435" y="619750"/>
                                </a:lnTo>
                                <a:lnTo>
                                  <a:pt x="114557" y="659776"/>
                                </a:lnTo>
                                <a:lnTo>
                                  <a:pt x="142187" y="698553"/>
                                </a:lnTo>
                                <a:lnTo>
                                  <a:pt x="171276" y="736046"/>
                                </a:lnTo>
                                <a:lnTo>
                                  <a:pt x="201774" y="772225"/>
                                </a:lnTo>
                                <a:lnTo>
                                  <a:pt x="233633" y="807056"/>
                                </a:lnTo>
                                <a:lnTo>
                                  <a:pt x="266803" y="840506"/>
                                </a:lnTo>
                                <a:lnTo>
                                  <a:pt x="301236" y="872544"/>
                                </a:lnTo>
                                <a:lnTo>
                                  <a:pt x="336883" y="903135"/>
                                </a:lnTo>
                                <a:lnTo>
                                  <a:pt x="373695" y="932248"/>
                                </a:lnTo>
                                <a:lnTo>
                                  <a:pt x="411623" y="959850"/>
                                </a:lnTo>
                                <a:lnTo>
                                  <a:pt x="450617" y="985907"/>
                                </a:lnTo>
                                <a:lnTo>
                                  <a:pt x="490630" y="1010388"/>
                                </a:lnTo>
                                <a:lnTo>
                                  <a:pt x="531612" y="1033260"/>
                                </a:lnTo>
                                <a:lnTo>
                                  <a:pt x="573513" y="1054490"/>
                                </a:lnTo>
                                <a:lnTo>
                                  <a:pt x="616286" y="1074046"/>
                                </a:lnTo>
                                <a:lnTo>
                                  <a:pt x="659881" y="1091894"/>
                                </a:lnTo>
                                <a:lnTo>
                                  <a:pt x="704249" y="1108002"/>
                                </a:lnTo>
                                <a:lnTo>
                                  <a:pt x="749341" y="1122337"/>
                                </a:lnTo>
                                <a:lnTo>
                                  <a:pt x="795108" y="1134867"/>
                                </a:lnTo>
                                <a:lnTo>
                                  <a:pt x="841502" y="1145559"/>
                                </a:lnTo>
                                <a:lnTo>
                                  <a:pt x="888473" y="1154380"/>
                                </a:lnTo>
                                <a:lnTo>
                                  <a:pt x="935972" y="1161298"/>
                                </a:lnTo>
                                <a:lnTo>
                                  <a:pt x="983951" y="1166280"/>
                                </a:lnTo>
                                <a:lnTo>
                                  <a:pt x="1032360" y="1169293"/>
                                </a:lnTo>
                                <a:lnTo>
                                  <a:pt x="1081151" y="1170304"/>
                                </a:lnTo>
                                <a:lnTo>
                                  <a:pt x="1129397" y="1169328"/>
                                </a:lnTo>
                                <a:lnTo>
                                  <a:pt x="1177147" y="1166425"/>
                                </a:lnTo>
                                <a:lnTo>
                                  <a:pt x="1224362" y="1161631"/>
                                </a:lnTo>
                                <a:lnTo>
                                  <a:pt x="1271005" y="1154986"/>
                                </a:lnTo>
                                <a:lnTo>
                                  <a:pt x="1317039" y="1146526"/>
                                </a:lnTo>
                                <a:lnTo>
                                  <a:pt x="1362425" y="1136290"/>
                                </a:lnTo>
                                <a:lnTo>
                                  <a:pt x="1407126" y="1124315"/>
                                </a:lnTo>
                                <a:lnTo>
                                  <a:pt x="1451105" y="1110638"/>
                                </a:lnTo>
                                <a:lnTo>
                                  <a:pt x="1494323" y="1095297"/>
                                </a:lnTo>
                                <a:lnTo>
                                  <a:pt x="1536743" y="1078331"/>
                                </a:lnTo>
                                <a:lnTo>
                                  <a:pt x="1578328" y="1059776"/>
                                </a:lnTo>
                                <a:lnTo>
                                  <a:pt x="1619039" y="1039670"/>
                                </a:lnTo>
                                <a:lnTo>
                                  <a:pt x="1658840" y="1018051"/>
                                </a:lnTo>
                                <a:lnTo>
                                  <a:pt x="1697692" y="994957"/>
                                </a:lnTo>
                                <a:lnTo>
                                  <a:pt x="1735558" y="970425"/>
                                </a:lnTo>
                                <a:lnTo>
                                  <a:pt x="1772400" y="944492"/>
                                </a:lnTo>
                                <a:lnTo>
                                  <a:pt x="1808181" y="917198"/>
                                </a:lnTo>
                                <a:lnTo>
                                  <a:pt x="1842863" y="888578"/>
                                </a:lnTo>
                                <a:lnTo>
                                  <a:pt x="1876407" y="858672"/>
                                </a:lnTo>
                                <a:lnTo>
                                  <a:pt x="1908778" y="827516"/>
                                </a:lnTo>
                                <a:lnTo>
                                  <a:pt x="1939936" y="795148"/>
                                </a:lnTo>
                                <a:lnTo>
                                  <a:pt x="1969845" y="761606"/>
                                </a:lnTo>
                                <a:lnTo>
                                  <a:pt x="1998466" y="726927"/>
                                </a:lnTo>
                                <a:lnTo>
                                  <a:pt x="2025762" y="691150"/>
                                </a:lnTo>
                                <a:lnTo>
                                  <a:pt x="2051696" y="654311"/>
                                </a:lnTo>
                                <a:lnTo>
                                  <a:pt x="2076229" y="616449"/>
                                </a:lnTo>
                                <a:lnTo>
                                  <a:pt x="2099325" y="577601"/>
                                </a:lnTo>
                                <a:lnTo>
                                  <a:pt x="2120944" y="537805"/>
                                </a:lnTo>
                                <a:lnTo>
                                  <a:pt x="2141051" y="497098"/>
                                </a:lnTo>
                                <a:lnTo>
                                  <a:pt x="2159607" y="455519"/>
                                </a:lnTo>
                                <a:lnTo>
                                  <a:pt x="2176574" y="413104"/>
                                </a:lnTo>
                                <a:lnTo>
                                  <a:pt x="2191915" y="369892"/>
                                </a:lnTo>
                                <a:lnTo>
                                  <a:pt x="2205592" y="325919"/>
                                </a:lnTo>
                                <a:lnTo>
                                  <a:pt x="2217568" y="281225"/>
                                </a:lnTo>
                                <a:lnTo>
                                  <a:pt x="2227804" y="235846"/>
                                </a:lnTo>
                                <a:lnTo>
                                  <a:pt x="2236264" y="189820"/>
                                </a:lnTo>
                                <a:lnTo>
                                  <a:pt x="2242909" y="143184"/>
                                </a:lnTo>
                                <a:lnTo>
                                  <a:pt x="2247703" y="95977"/>
                                </a:lnTo>
                                <a:lnTo>
                                  <a:pt x="2250606" y="48237"/>
                                </a:lnTo>
                                <a:lnTo>
                                  <a:pt x="2251583" y="0"/>
                                </a:lnTo>
                                <a:close/>
                              </a:path>
                            </a:pathLst>
                          </a:custGeom>
                          <a:solidFill>
                            <a:srgbClr val="E1EED9"/>
                          </a:solidFill>
                        </wps:spPr>
                        <wps:bodyPr wrap="square" lIns="0" tIns="0" rIns="0" bIns="0" rtlCol="0">
                          <a:prstTxWarp prst="textNoShape">
                            <a:avLst/>
                          </a:prstTxWarp>
                          <a:noAutofit/>
                        </wps:bodyPr>
                      </wps:wsp>
                      <wps:wsp>
                        <wps:cNvPr id="426" name="Graphic 426"/>
                        <wps:cNvSpPr/>
                        <wps:spPr>
                          <a:xfrm>
                            <a:off x="488823" y="1306067"/>
                            <a:ext cx="2251710" cy="1170305"/>
                          </a:xfrm>
                          <a:custGeom>
                            <a:avLst/>
                            <a:gdLst/>
                            <a:ahLst/>
                            <a:cxnLst/>
                            <a:rect l="l" t="t" r="r" b="b"/>
                            <a:pathLst>
                              <a:path w="2251710" h="1170305">
                                <a:moveTo>
                                  <a:pt x="2251583" y="0"/>
                                </a:moveTo>
                                <a:lnTo>
                                  <a:pt x="2250606" y="48237"/>
                                </a:lnTo>
                                <a:lnTo>
                                  <a:pt x="2247703" y="95977"/>
                                </a:lnTo>
                                <a:lnTo>
                                  <a:pt x="2242909" y="143184"/>
                                </a:lnTo>
                                <a:lnTo>
                                  <a:pt x="2236264" y="189820"/>
                                </a:lnTo>
                                <a:lnTo>
                                  <a:pt x="2227804" y="235846"/>
                                </a:lnTo>
                                <a:lnTo>
                                  <a:pt x="2217568" y="281225"/>
                                </a:lnTo>
                                <a:lnTo>
                                  <a:pt x="2205592" y="325919"/>
                                </a:lnTo>
                                <a:lnTo>
                                  <a:pt x="2191915" y="369892"/>
                                </a:lnTo>
                                <a:lnTo>
                                  <a:pt x="2176574" y="413104"/>
                                </a:lnTo>
                                <a:lnTo>
                                  <a:pt x="2159607" y="455519"/>
                                </a:lnTo>
                                <a:lnTo>
                                  <a:pt x="2141051" y="497098"/>
                                </a:lnTo>
                                <a:lnTo>
                                  <a:pt x="2120944" y="537805"/>
                                </a:lnTo>
                                <a:lnTo>
                                  <a:pt x="2099325" y="577601"/>
                                </a:lnTo>
                                <a:lnTo>
                                  <a:pt x="2076229" y="616449"/>
                                </a:lnTo>
                                <a:lnTo>
                                  <a:pt x="2051696" y="654311"/>
                                </a:lnTo>
                                <a:lnTo>
                                  <a:pt x="2025762" y="691150"/>
                                </a:lnTo>
                                <a:lnTo>
                                  <a:pt x="1998466" y="726927"/>
                                </a:lnTo>
                                <a:lnTo>
                                  <a:pt x="1969845" y="761606"/>
                                </a:lnTo>
                                <a:lnTo>
                                  <a:pt x="1939936" y="795148"/>
                                </a:lnTo>
                                <a:lnTo>
                                  <a:pt x="1908778" y="827516"/>
                                </a:lnTo>
                                <a:lnTo>
                                  <a:pt x="1876407" y="858672"/>
                                </a:lnTo>
                                <a:lnTo>
                                  <a:pt x="1842863" y="888578"/>
                                </a:lnTo>
                                <a:lnTo>
                                  <a:pt x="1808181" y="917198"/>
                                </a:lnTo>
                                <a:lnTo>
                                  <a:pt x="1772400" y="944492"/>
                                </a:lnTo>
                                <a:lnTo>
                                  <a:pt x="1735558" y="970425"/>
                                </a:lnTo>
                                <a:lnTo>
                                  <a:pt x="1697692" y="994957"/>
                                </a:lnTo>
                                <a:lnTo>
                                  <a:pt x="1658840" y="1018051"/>
                                </a:lnTo>
                                <a:lnTo>
                                  <a:pt x="1619039" y="1039670"/>
                                </a:lnTo>
                                <a:lnTo>
                                  <a:pt x="1578328" y="1059776"/>
                                </a:lnTo>
                                <a:lnTo>
                                  <a:pt x="1536743" y="1078331"/>
                                </a:lnTo>
                                <a:lnTo>
                                  <a:pt x="1494323" y="1095297"/>
                                </a:lnTo>
                                <a:lnTo>
                                  <a:pt x="1451105" y="1110638"/>
                                </a:lnTo>
                                <a:lnTo>
                                  <a:pt x="1407126" y="1124315"/>
                                </a:lnTo>
                                <a:lnTo>
                                  <a:pt x="1362425" y="1136290"/>
                                </a:lnTo>
                                <a:lnTo>
                                  <a:pt x="1317039" y="1146526"/>
                                </a:lnTo>
                                <a:lnTo>
                                  <a:pt x="1271005" y="1154986"/>
                                </a:lnTo>
                                <a:lnTo>
                                  <a:pt x="1224362" y="1161631"/>
                                </a:lnTo>
                                <a:lnTo>
                                  <a:pt x="1177147" y="1166425"/>
                                </a:lnTo>
                                <a:lnTo>
                                  <a:pt x="1129397" y="1169328"/>
                                </a:lnTo>
                                <a:lnTo>
                                  <a:pt x="1081151" y="1170304"/>
                                </a:lnTo>
                                <a:lnTo>
                                  <a:pt x="1032360" y="1169293"/>
                                </a:lnTo>
                                <a:lnTo>
                                  <a:pt x="983951" y="1166280"/>
                                </a:lnTo>
                                <a:lnTo>
                                  <a:pt x="935972" y="1161298"/>
                                </a:lnTo>
                                <a:lnTo>
                                  <a:pt x="888473" y="1154380"/>
                                </a:lnTo>
                                <a:lnTo>
                                  <a:pt x="841502" y="1145559"/>
                                </a:lnTo>
                                <a:lnTo>
                                  <a:pt x="795108" y="1134867"/>
                                </a:lnTo>
                                <a:lnTo>
                                  <a:pt x="749341" y="1122337"/>
                                </a:lnTo>
                                <a:lnTo>
                                  <a:pt x="704249" y="1108002"/>
                                </a:lnTo>
                                <a:lnTo>
                                  <a:pt x="659881" y="1091894"/>
                                </a:lnTo>
                                <a:lnTo>
                                  <a:pt x="616286" y="1074046"/>
                                </a:lnTo>
                                <a:lnTo>
                                  <a:pt x="573513" y="1054490"/>
                                </a:lnTo>
                                <a:lnTo>
                                  <a:pt x="531612" y="1033260"/>
                                </a:lnTo>
                                <a:lnTo>
                                  <a:pt x="490630" y="1010388"/>
                                </a:lnTo>
                                <a:lnTo>
                                  <a:pt x="450617" y="985907"/>
                                </a:lnTo>
                                <a:lnTo>
                                  <a:pt x="411623" y="959850"/>
                                </a:lnTo>
                                <a:lnTo>
                                  <a:pt x="373695" y="932248"/>
                                </a:lnTo>
                                <a:lnTo>
                                  <a:pt x="336883" y="903135"/>
                                </a:lnTo>
                                <a:lnTo>
                                  <a:pt x="301236" y="872544"/>
                                </a:lnTo>
                                <a:lnTo>
                                  <a:pt x="266803" y="840506"/>
                                </a:lnTo>
                                <a:lnTo>
                                  <a:pt x="233633" y="807056"/>
                                </a:lnTo>
                                <a:lnTo>
                                  <a:pt x="201774" y="772225"/>
                                </a:lnTo>
                                <a:lnTo>
                                  <a:pt x="171276" y="736046"/>
                                </a:lnTo>
                                <a:lnTo>
                                  <a:pt x="142187" y="698553"/>
                                </a:lnTo>
                                <a:lnTo>
                                  <a:pt x="114557" y="659776"/>
                                </a:lnTo>
                                <a:lnTo>
                                  <a:pt x="88435" y="619750"/>
                                </a:lnTo>
                                <a:lnTo>
                                  <a:pt x="63869" y="578507"/>
                                </a:lnTo>
                                <a:lnTo>
                                  <a:pt x="40908" y="536079"/>
                                </a:lnTo>
                                <a:lnTo>
                                  <a:pt x="19602" y="492500"/>
                                </a:lnTo>
                                <a:lnTo>
                                  <a:pt x="0" y="447801"/>
                                </a:lnTo>
                                <a:lnTo>
                                  <a:pt x="1081151" y="0"/>
                                </a:lnTo>
                                <a:lnTo>
                                  <a:pt x="2251583" y="0"/>
                                </a:lnTo>
                                <a:close/>
                              </a:path>
                            </a:pathLst>
                          </a:custGeom>
                          <a:ln w="19050">
                            <a:solidFill>
                              <a:srgbClr val="FFFFFF"/>
                            </a:solidFill>
                            <a:prstDash val="solid"/>
                          </a:ln>
                        </wps:spPr>
                        <wps:bodyPr wrap="square" lIns="0" tIns="0" rIns="0" bIns="0" rtlCol="0">
                          <a:prstTxWarp prst="textNoShape">
                            <a:avLst/>
                          </a:prstTxWarp>
                          <a:noAutofit/>
                        </wps:bodyPr>
                      </wps:wsp>
                      <wps:wsp>
                        <wps:cNvPr id="427" name="Graphic 427"/>
                        <wps:cNvSpPr/>
                        <wps:spPr>
                          <a:xfrm>
                            <a:off x="399915" y="858138"/>
                            <a:ext cx="1170305" cy="895985"/>
                          </a:xfrm>
                          <a:custGeom>
                            <a:avLst/>
                            <a:gdLst/>
                            <a:ahLst/>
                            <a:cxnLst/>
                            <a:rect l="l" t="t" r="r" b="b"/>
                            <a:pathLst>
                              <a:path w="1170305" h="895985">
                                <a:moveTo>
                                  <a:pt x="88907" y="0"/>
                                </a:moveTo>
                                <a:lnTo>
                                  <a:pt x="71125" y="45562"/>
                                </a:lnTo>
                                <a:lnTo>
                                  <a:pt x="55319" y="91652"/>
                                </a:lnTo>
                                <a:lnTo>
                                  <a:pt x="41489" y="138207"/>
                                </a:lnTo>
                                <a:lnTo>
                                  <a:pt x="29635" y="185165"/>
                                </a:lnTo>
                                <a:lnTo>
                                  <a:pt x="19757" y="232464"/>
                                </a:lnTo>
                                <a:lnTo>
                                  <a:pt x="11854" y="280041"/>
                                </a:lnTo>
                                <a:lnTo>
                                  <a:pt x="5927" y="327836"/>
                                </a:lnTo>
                                <a:lnTo>
                                  <a:pt x="1975" y="375786"/>
                                </a:lnTo>
                                <a:lnTo>
                                  <a:pt x="0" y="423828"/>
                                </a:lnTo>
                                <a:lnTo>
                                  <a:pt x="0" y="471902"/>
                                </a:lnTo>
                                <a:lnTo>
                                  <a:pt x="1975" y="519944"/>
                                </a:lnTo>
                                <a:lnTo>
                                  <a:pt x="5927" y="567894"/>
                                </a:lnTo>
                                <a:lnTo>
                                  <a:pt x="11854" y="615689"/>
                                </a:lnTo>
                                <a:lnTo>
                                  <a:pt x="19757" y="663266"/>
                                </a:lnTo>
                                <a:lnTo>
                                  <a:pt x="29635" y="710565"/>
                                </a:lnTo>
                                <a:lnTo>
                                  <a:pt x="41489" y="757523"/>
                                </a:lnTo>
                                <a:lnTo>
                                  <a:pt x="55319" y="804078"/>
                                </a:lnTo>
                                <a:lnTo>
                                  <a:pt x="71125" y="850168"/>
                                </a:lnTo>
                                <a:lnTo>
                                  <a:pt x="88907" y="895731"/>
                                </a:lnTo>
                                <a:lnTo>
                                  <a:pt x="1170058" y="447929"/>
                                </a:lnTo>
                                <a:lnTo>
                                  <a:pt x="88907" y="0"/>
                                </a:lnTo>
                                <a:close/>
                              </a:path>
                            </a:pathLst>
                          </a:custGeom>
                          <a:solidFill>
                            <a:srgbClr val="FFD966"/>
                          </a:solidFill>
                        </wps:spPr>
                        <wps:bodyPr wrap="square" lIns="0" tIns="0" rIns="0" bIns="0" rtlCol="0">
                          <a:prstTxWarp prst="textNoShape">
                            <a:avLst/>
                          </a:prstTxWarp>
                          <a:noAutofit/>
                        </wps:bodyPr>
                      </wps:wsp>
                      <wps:wsp>
                        <wps:cNvPr id="428" name="Graphic 428"/>
                        <wps:cNvSpPr/>
                        <wps:spPr>
                          <a:xfrm>
                            <a:off x="399915" y="858138"/>
                            <a:ext cx="1170305" cy="895985"/>
                          </a:xfrm>
                          <a:custGeom>
                            <a:avLst/>
                            <a:gdLst/>
                            <a:ahLst/>
                            <a:cxnLst/>
                            <a:rect l="l" t="t" r="r" b="b"/>
                            <a:pathLst>
                              <a:path w="1170305" h="895985">
                                <a:moveTo>
                                  <a:pt x="88907" y="895731"/>
                                </a:moveTo>
                                <a:lnTo>
                                  <a:pt x="71125" y="850168"/>
                                </a:lnTo>
                                <a:lnTo>
                                  <a:pt x="55319" y="804078"/>
                                </a:lnTo>
                                <a:lnTo>
                                  <a:pt x="41489" y="757523"/>
                                </a:lnTo>
                                <a:lnTo>
                                  <a:pt x="29635" y="710565"/>
                                </a:lnTo>
                                <a:lnTo>
                                  <a:pt x="19757" y="663266"/>
                                </a:lnTo>
                                <a:lnTo>
                                  <a:pt x="11854" y="615689"/>
                                </a:lnTo>
                                <a:lnTo>
                                  <a:pt x="5927" y="567894"/>
                                </a:lnTo>
                                <a:lnTo>
                                  <a:pt x="1975" y="519944"/>
                                </a:lnTo>
                                <a:lnTo>
                                  <a:pt x="0" y="471902"/>
                                </a:lnTo>
                                <a:lnTo>
                                  <a:pt x="0" y="423828"/>
                                </a:lnTo>
                                <a:lnTo>
                                  <a:pt x="1975" y="375786"/>
                                </a:lnTo>
                                <a:lnTo>
                                  <a:pt x="5927" y="327836"/>
                                </a:lnTo>
                                <a:lnTo>
                                  <a:pt x="11854" y="280041"/>
                                </a:lnTo>
                                <a:lnTo>
                                  <a:pt x="19757" y="232464"/>
                                </a:lnTo>
                                <a:lnTo>
                                  <a:pt x="29635" y="185165"/>
                                </a:lnTo>
                                <a:lnTo>
                                  <a:pt x="41489" y="138207"/>
                                </a:lnTo>
                                <a:lnTo>
                                  <a:pt x="55319" y="91652"/>
                                </a:lnTo>
                                <a:lnTo>
                                  <a:pt x="71125" y="45562"/>
                                </a:lnTo>
                                <a:lnTo>
                                  <a:pt x="88907" y="0"/>
                                </a:lnTo>
                                <a:lnTo>
                                  <a:pt x="1170058" y="447929"/>
                                </a:lnTo>
                                <a:lnTo>
                                  <a:pt x="88907" y="895731"/>
                                </a:lnTo>
                                <a:close/>
                              </a:path>
                            </a:pathLst>
                          </a:custGeom>
                          <a:ln w="19050">
                            <a:solidFill>
                              <a:srgbClr val="FFFFFF"/>
                            </a:solidFill>
                            <a:prstDash val="solid"/>
                          </a:ln>
                        </wps:spPr>
                        <wps:bodyPr wrap="square" lIns="0" tIns="0" rIns="0" bIns="0" rtlCol="0">
                          <a:prstTxWarp prst="textNoShape">
                            <a:avLst/>
                          </a:prstTxWarp>
                          <a:noAutofit/>
                        </wps:bodyPr>
                      </wps:wsp>
                      <wps:wsp>
                        <wps:cNvPr id="429" name="Graphic 429"/>
                        <wps:cNvSpPr/>
                        <wps:spPr>
                          <a:xfrm>
                            <a:off x="488823" y="158242"/>
                            <a:ext cx="1081405" cy="1148080"/>
                          </a:xfrm>
                          <a:custGeom>
                            <a:avLst/>
                            <a:gdLst/>
                            <a:ahLst/>
                            <a:cxnLst/>
                            <a:rect l="l" t="t" r="r" b="b"/>
                            <a:pathLst>
                              <a:path w="1081405" h="1148080">
                                <a:moveTo>
                                  <a:pt x="852932" y="0"/>
                                </a:moveTo>
                                <a:lnTo>
                                  <a:pt x="805343" y="10489"/>
                                </a:lnTo>
                                <a:lnTo>
                                  <a:pt x="758461" y="22883"/>
                                </a:lnTo>
                                <a:lnTo>
                                  <a:pt x="712332" y="37142"/>
                                </a:lnTo>
                                <a:lnTo>
                                  <a:pt x="667002" y="53228"/>
                                </a:lnTo>
                                <a:lnTo>
                                  <a:pt x="622519" y="71104"/>
                                </a:lnTo>
                                <a:lnTo>
                                  <a:pt x="578929" y="90731"/>
                                </a:lnTo>
                                <a:lnTo>
                                  <a:pt x="536278" y="112071"/>
                                </a:lnTo>
                                <a:lnTo>
                                  <a:pt x="494613" y="135085"/>
                                </a:lnTo>
                                <a:lnTo>
                                  <a:pt x="453980" y="159736"/>
                                </a:lnTo>
                                <a:lnTo>
                                  <a:pt x="414426" y="185985"/>
                                </a:lnTo>
                                <a:lnTo>
                                  <a:pt x="375997" y="213794"/>
                                </a:lnTo>
                                <a:lnTo>
                                  <a:pt x="338740" y="243125"/>
                                </a:lnTo>
                                <a:lnTo>
                                  <a:pt x="302702" y="273940"/>
                                </a:lnTo>
                                <a:lnTo>
                                  <a:pt x="267928" y="306200"/>
                                </a:lnTo>
                                <a:lnTo>
                                  <a:pt x="234466" y="339867"/>
                                </a:lnTo>
                                <a:lnTo>
                                  <a:pt x="202362" y="374904"/>
                                </a:lnTo>
                                <a:lnTo>
                                  <a:pt x="171663" y="411271"/>
                                </a:lnTo>
                                <a:lnTo>
                                  <a:pt x="142414" y="448931"/>
                                </a:lnTo>
                                <a:lnTo>
                                  <a:pt x="114663" y="487845"/>
                                </a:lnTo>
                                <a:lnTo>
                                  <a:pt x="88456" y="527976"/>
                                </a:lnTo>
                                <a:lnTo>
                                  <a:pt x="63840" y="569284"/>
                                </a:lnTo>
                                <a:lnTo>
                                  <a:pt x="40861" y="611733"/>
                                </a:lnTo>
                                <a:lnTo>
                                  <a:pt x="19565" y="655283"/>
                                </a:lnTo>
                                <a:lnTo>
                                  <a:pt x="0" y="699896"/>
                                </a:lnTo>
                                <a:lnTo>
                                  <a:pt x="1081151" y="1147826"/>
                                </a:lnTo>
                                <a:lnTo>
                                  <a:pt x="852932" y="0"/>
                                </a:lnTo>
                                <a:close/>
                              </a:path>
                            </a:pathLst>
                          </a:custGeom>
                          <a:solidFill>
                            <a:srgbClr val="FFB7B7"/>
                          </a:solidFill>
                        </wps:spPr>
                        <wps:bodyPr wrap="square" lIns="0" tIns="0" rIns="0" bIns="0" rtlCol="0">
                          <a:prstTxWarp prst="textNoShape">
                            <a:avLst/>
                          </a:prstTxWarp>
                          <a:noAutofit/>
                        </wps:bodyPr>
                      </wps:wsp>
                      <wps:wsp>
                        <wps:cNvPr id="430" name="Graphic 430"/>
                        <wps:cNvSpPr/>
                        <wps:spPr>
                          <a:xfrm>
                            <a:off x="488823" y="158242"/>
                            <a:ext cx="1081405" cy="1148080"/>
                          </a:xfrm>
                          <a:custGeom>
                            <a:avLst/>
                            <a:gdLst/>
                            <a:ahLst/>
                            <a:cxnLst/>
                            <a:rect l="l" t="t" r="r" b="b"/>
                            <a:pathLst>
                              <a:path w="1081405" h="1148080">
                                <a:moveTo>
                                  <a:pt x="0" y="699896"/>
                                </a:moveTo>
                                <a:lnTo>
                                  <a:pt x="19565" y="655283"/>
                                </a:lnTo>
                                <a:lnTo>
                                  <a:pt x="40861" y="611733"/>
                                </a:lnTo>
                                <a:lnTo>
                                  <a:pt x="63840" y="569284"/>
                                </a:lnTo>
                                <a:lnTo>
                                  <a:pt x="88456" y="527976"/>
                                </a:lnTo>
                                <a:lnTo>
                                  <a:pt x="114663" y="487845"/>
                                </a:lnTo>
                                <a:lnTo>
                                  <a:pt x="142414" y="448931"/>
                                </a:lnTo>
                                <a:lnTo>
                                  <a:pt x="171663" y="411271"/>
                                </a:lnTo>
                                <a:lnTo>
                                  <a:pt x="202362" y="374904"/>
                                </a:lnTo>
                                <a:lnTo>
                                  <a:pt x="234466" y="339867"/>
                                </a:lnTo>
                                <a:lnTo>
                                  <a:pt x="267928" y="306200"/>
                                </a:lnTo>
                                <a:lnTo>
                                  <a:pt x="302702" y="273940"/>
                                </a:lnTo>
                                <a:lnTo>
                                  <a:pt x="338740" y="243125"/>
                                </a:lnTo>
                                <a:lnTo>
                                  <a:pt x="375997" y="213794"/>
                                </a:lnTo>
                                <a:lnTo>
                                  <a:pt x="414426" y="185985"/>
                                </a:lnTo>
                                <a:lnTo>
                                  <a:pt x="453980" y="159736"/>
                                </a:lnTo>
                                <a:lnTo>
                                  <a:pt x="494613" y="135085"/>
                                </a:lnTo>
                                <a:lnTo>
                                  <a:pt x="536278" y="112071"/>
                                </a:lnTo>
                                <a:lnTo>
                                  <a:pt x="578929" y="90731"/>
                                </a:lnTo>
                                <a:lnTo>
                                  <a:pt x="622519" y="71104"/>
                                </a:lnTo>
                                <a:lnTo>
                                  <a:pt x="667002" y="53228"/>
                                </a:lnTo>
                                <a:lnTo>
                                  <a:pt x="712332" y="37142"/>
                                </a:lnTo>
                                <a:lnTo>
                                  <a:pt x="758461" y="22883"/>
                                </a:lnTo>
                                <a:lnTo>
                                  <a:pt x="805343" y="10489"/>
                                </a:lnTo>
                                <a:lnTo>
                                  <a:pt x="852932" y="0"/>
                                </a:lnTo>
                                <a:lnTo>
                                  <a:pt x="1081151" y="1147826"/>
                                </a:lnTo>
                                <a:lnTo>
                                  <a:pt x="0" y="699896"/>
                                </a:lnTo>
                                <a:close/>
                              </a:path>
                            </a:pathLst>
                          </a:custGeom>
                          <a:ln w="19049">
                            <a:solidFill>
                              <a:srgbClr val="FFFFFF"/>
                            </a:solidFill>
                            <a:prstDash val="solid"/>
                          </a:ln>
                        </wps:spPr>
                        <wps:bodyPr wrap="square" lIns="0" tIns="0" rIns="0" bIns="0" rtlCol="0">
                          <a:prstTxWarp prst="textNoShape">
                            <a:avLst/>
                          </a:prstTxWarp>
                          <a:noAutofit/>
                        </wps:bodyPr>
                      </wps:wsp>
                      <wps:wsp>
                        <wps:cNvPr id="431" name="Graphic 431"/>
                        <wps:cNvSpPr/>
                        <wps:spPr>
                          <a:xfrm>
                            <a:off x="1341755" y="135636"/>
                            <a:ext cx="228600" cy="1170940"/>
                          </a:xfrm>
                          <a:custGeom>
                            <a:avLst/>
                            <a:gdLst/>
                            <a:ahLst/>
                            <a:cxnLst/>
                            <a:rect l="l" t="t" r="r" b="b"/>
                            <a:pathLst>
                              <a:path w="228600" h="1170940">
                                <a:moveTo>
                                  <a:pt x="228219" y="0"/>
                                </a:moveTo>
                                <a:lnTo>
                                  <a:pt x="182294" y="912"/>
                                </a:lnTo>
                                <a:lnTo>
                                  <a:pt x="136455" y="3641"/>
                                </a:lnTo>
                                <a:lnTo>
                                  <a:pt x="90757" y="8174"/>
                                </a:lnTo>
                                <a:lnTo>
                                  <a:pt x="45253" y="14500"/>
                                </a:lnTo>
                                <a:lnTo>
                                  <a:pt x="0" y="22606"/>
                                </a:lnTo>
                                <a:lnTo>
                                  <a:pt x="228219" y="1170432"/>
                                </a:lnTo>
                                <a:lnTo>
                                  <a:pt x="228219" y="0"/>
                                </a:lnTo>
                                <a:close/>
                              </a:path>
                            </a:pathLst>
                          </a:custGeom>
                          <a:solidFill>
                            <a:srgbClr val="FF0000"/>
                          </a:solidFill>
                        </wps:spPr>
                        <wps:bodyPr wrap="square" lIns="0" tIns="0" rIns="0" bIns="0" rtlCol="0">
                          <a:prstTxWarp prst="textNoShape">
                            <a:avLst/>
                          </a:prstTxWarp>
                          <a:noAutofit/>
                        </wps:bodyPr>
                      </wps:wsp>
                      <wps:wsp>
                        <wps:cNvPr id="432" name="Graphic 432"/>
                        <wps:cNvSpPr/>
                        <wps:spPr>
                          <a:xfrm>
                            <a:off x="1341755" y="135636"/>
                            <a:ext cx="228600" cy="1170940"/>
                          </a:xfrm>
                          <a:custGeom>
                            <a:avLst/>
                            <a:gdLst/>
                            <a:ahLst/>
                            <a:cxnLst/>
                            <a:rect l="l" t="t" r="r" b="b"/>
                            <a:pathLst>
                              <a:path w="228600" h="1170940">
                                <a:moveTo>
                                  <a:pt x="0" y="22606"/>
                                </a:moveTo>
                                <a:lnTo>
                                  <a:pt x="45253" y="14500"/>
                                </a:lnTo>
                                <a:lnTo>
                                  <a:pt x="90757" y="8174"/>
                                </a:lnTo>
                                <a:lnTo>
                                  <a:pt x="136455" y="3641"/>
                                </a:lnTo>
                                <a:lnTo>
                                  <a:pt x="182294" y="912"/>
                                </a:lnTo>
                                <a:lnTo>
                                  <a:pt x="228219" y="0"/>
                                </a:lnTo>
                                <a:lnTo>
                                  <a:pt x="228219" y="1170432"/>
                                </a:lnTo>
                                <a:lnTo>
                                  <a:pt x="0" y="22606"/>
                                </a:lnTo>
                                <a:close/>
                              </a:path>
                            </a:pathLst>
                          </a:custGeom>
                          <a:ln w="19050">
                            <a:solidFill>
                              <a:srgbClr val="FFFFFF"/>
                            </a:solidFill>
                            <a:prstDash val="solid"/>
                          </a:ln>
                        </wps:spPr>
                        <wps:bodyPr wrap="square" lIns="0" tIns="0" rIns="0" bIns="0" rtlCol="0">
                          <a:prstTxWarp prst="textNoShape">
                            <a:avLst/>
                          </a:prstTxWarp>
                          <a:noAutofit/>
                        </wps:bodyPr>
                      </wps:wsp>
                      <wps:wsp>
                        <wps:cNvPr id="433" name="Graphic 433"/>
                        <wps:cNvSpPr/>
                        <wps:spPr>
                          <a:xfrm>
                            <a:off x="3019170" y="337524"/>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00AF50"/>
                          </a:solidFill>
                        </wps:spPr>
                        <wps:bodyPr wrap="square" lIns="0" tIns="0" rIns="0" bIns="0" rtlCol="0">
                          <a:prstTxWarp prst="textNoShape">
                            <a:avLst/>
                          </a:prstTxWarp>
                          <a:noAutofit/>
                        </wps:bodyPr>
                      </wps:wsp>
                      <wps:wsp>
                        <wps:cNvPr id="434" name="Graphic 434"/>
                        <wps:cNvSpPr/>
                        <wps:spPr>
                          <a:xfrm>
                            <a:off x="3019170" y="757005"/>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E1EED9"/>
                          </a:solidFill>
                        </wps:spPr>
                        <wps:bodyPr wrap="square" lIns="0" tIns="0" rIns="0" bIns="0" rtlCol="0">
                          <a:prstTxWarp prst="textNoShape">
                            <a:avLst/>
                          </a:prstTxWarp>
                          <a:noAutofit/>
                        </wps:bodyPr>
                      </wps:wsp>
                      <wps:wsp>
                        <wps:cNvPr id="435" name="Graphic 435"/>
                        <wps:cNvSpPr/>
                        <wps:spPr>
                          <a:xfrm>
                            <a:off x="3019170" y="1176613"/>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FFD966"/>
                          </a:solidFill>
                        </wps:spPr>
                        <wps:bodyPr wrap="square" lIns="0" tIns="0" rIns="0" bIns="0" rtlCol="0">
                          <a:prstTxWarp prst="textNoShape">
                            <a:avLst/>
                          </a:prstTxWarp>
                          <a:noAutofit/>
                        </wps:bodyPr>
                      </wps:wsp>
                      <wps:wsp>
                        <wps:cNvPr id="436" name="Graphic 436"/>
                        <wps:cNvSpPr/>
                        <wps:spPr>
                          <a:xfrm>
                            <a:off x="3019170" y="1596094"/>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FFB7B7"/>
                          </a:solidFill>
                        </wps:spPr>
                        <wps:bodyPr wrap="square" lIns="0" tIns="0" rIns="0" bIns="0" rtlCol="0">
                          <a:prstTxWarp prst="textNoShape">
                            <a:avLst/>
                          </a:prstTxWarp>
                          <a:noAutofit/>
                        </wps:bodyPr>
                      </wps:wsp>
                      <wps:wsp>
                        <wps:cNvPr id="437" name="Graphic 437"/>
                        <wps:cNvSpPr/>
                        <wps:spPr>
                          <a:xfrm>
                            <a:off x="3019170" y="2015575"/>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FF0000"/>
                          </a:solidFill>
                        </wps:spPr>
                        <wps:bodyPr wrap="square" lIns="0" tIns="0" rIns="0" bIns="0" rtlCol="0">
                          <a:prstTxWarp prst="textNoShape">
                            <a:avLst/>
                          </a:prstTxWarp>
                          <a:noAutofit/>
                        </wps:bodyPr>
                      </wps:wsp>
                      <wps:wsp>
                        <wps:cNvPr id="438" name="Graphic 438"/>
                        <wps:cNvSpPr/>
                        <wps:spPr>
                          <a:xfrm>
                            <a:off x="3175" y="3175"/>
                            <a:ext cx="4199890" cy="2543175"/>
                          </a:xfrm>
                          <a:custGeom>
                            <a:avLst/>
                            <a:gdLst/>
                            <a:ahLst/>
                            <a:cxnLst/>
                            <a:rect l="l" t="t" r="r" b="b"/>
                            <a:pathLst>
                              <a:path w="4199890" h="2543175">
                                <a:moveTo>
                                  <a:pt x="0" y="2543175"/>
                                </a:moveTo>
                                <a:lnTo>
                                  <a:pt x="4199890" y="2543175"/>
                                </a:lnTo>
                                <a:lnTo>
                                  <a:pt x="4199890" y="0"/>
                                </a:lnTo>
                                <a:lnTo>
                                  <a:pt x="0" y="0"/>
                                </a:lnTo>
                                <a:lnTo>
                                  <a:pt x="0" y="2543175"/>
                                </a:lnTo>
                                <a:close/>
                              </a:path>
                            </a:pathLst>
                          </a:custGeom>
                          <a:ln w="6350">
                            <a:solidFill>
                              <a:srgbClr val="585858"/>
                            </a:solidFill>
                            <a:prstDash val="solid"/>
                          </a:ln>
                        </wps:spPr>
                        <wps:bodyPr wrap="square" lIns="0" tIns="0" rIns="0" bIns="0" rtlCol="0">
                          <a:prstTxWarp prst="textNoShape">
                            <a:avLst/>
                          </a:prstTxWarp>
                          <a:noAutofit/>
                        </wps:bodyPr>
                      </wps:wsp>
                      <wps:wsp>
                        <wps:cNvPr id="439" name="Textbox 439"/>
                        <wps:cNvSpPr txBox="1"/>
                        <wps:spPr>
                          <a:xfrm>
                            <a:off x="776477" y="326009"/>
                            <a:ext cx="903605" cy="358775"/>
                          </a:xfrm>
                          <a:prstGeom prst="rect">
                            <a:avLst/>
                          </a:prstGeom>
                        </wps:spPr>
                        <wps:txbx>
                          <w:txbxContent>
                            <w:p>
                              <w:pPr>
                                <w:spacing w:line="154" w:lineRule="exact" w:before="0"/>
                                <w:ind w:left="0" w:right="256" w:firstLine="0"/>
                                <w:jc w:val="right"/>
                                <w:rPr>
                                  <w:rFonts w:ascii="Calibri"/>
                                  <w:b/>
                                  <w:sz w:val="18"/>
                                </w:rPr>
                              </w:pPr>
                              <w:r>
                                <w:rPr>
                                  <w:rFonts w:ascii="Calibri"/>
                                  <w:b/>
                                  <w:spacing w:val="-10"/>
                                  <w:sz w:val="18"/>
                                </w:rPr>
                                <w:t>1</w:t>
                              </w:r>
                            </w:p>
                            <w:p>
                              <w:pPr>
                                <w:tabs>
                                  <w:tab w:pos="837" w:val="left" w:leader="none"/>
                                </w:tabs>
                                <w:spacing w:line="223" w:lineRule="exact" w:before="0"/>
                                <w:ind w:left="235" w:right="0" w:firstLine="0"/>
                                <w:jc w:val="left"/>
                                <w:rPr>
                                  <w:rFonts w:ascii="Calibri"/>
                                  <w:b/>
                                  <w:sz w:val="18"/>
                                </w:rPr>
                              </w:pPr>
                              <w:r>
                                <w:rPr>
                                  <w:rFonts w:ascii="Calibri"/>
                                  <w:b/>
                                  <w:spacing w:val="-10"/>
                                  <w:position w:val="6"/>
                                  <w:sz w:val="18"/>
                                </w:rPr>
                                <w:t>5</w:t>
                              </w:r>
                              <w:r>
                                <w:rPr>
                                  <w:rFonts w:ascii="Calibri"/>
                                  <w:b/>
                                  <w:position w:val="6"/>
                                  <w:sz w:val="18"/>
                                </w:rPr>
                                <w:tab/>
                              </w:r>
                              <w:r>
                                <w:rPr>
                                  <w:rFonts w:ascii="Calibri"/>
                                  <w:b/>
                                  <w:spacing w:val="-2"/>
                                  <w:sz w:val="18"/>
                                </w:rPr>
                                <w:t>(14.3%)</w:t>
                              </w:r>
                            </w:p>
                            <w:p>
                              <w:pPr>
                                <w:spacing w:line="189" w:lineRule="exact" w:before="0"/>
                                <w:ind w:left="0" w:right="0" w:firstLine="0"/>
                                <w:jc w:val="left"/>
                                <w:rPr>
                                  <w:rFonts w:ascii="Calibri"/>
                                  <w:b/>
                                  <w:sz w:val="18"/>
                                </w:rPr>
                              </w:pPr>
                              <w:r>
                                <w:rPr>
                                  <w:rFonts w:ascii="Calibri"/>
                                  <w:b/>
                                  <w:spacing w:val="-2"/>
                                  <w:sz w:val="18"/>
                                </w:rPr>
                                <w:t>(11.4%)</w:t>
                              </w:r>
                            </w:p>
                          </w:txbxContent>
                        </wps:txbx>
                        <wps:bodyPr wrap="square" lIns="0" tIns="0" rIns="0" bIns="0" rtlCol="0">
                          <a:noAutofit/>
                        </wps:bodyPr>
                      </wps:wsp>
                      <wps:wsp>
                        <wps:cNvPr id="440" name="Textbox 440"/>
                        <wps:cNvSpPr txBox="1"/>
                        <wps:spPr>
                          <a:xfrm>
                            <a:off x="2149601" y="315975"/>
                            <a:ext cx="1845310" cy="591820"/>
                          </a:xfrm>
                          <a:prstGeom prst="rect">
                            <a:avLst/>
                          </a:prstGeom>
                        </wps:spPr>
                        <wps:txbx>
                          <w:txbxContent>
                            <w:p>
                              <w:pPr>
                                <w:spacing w:line="183" w:lineRule="exact" w:before="0"/>
                                <w:ind w:left="1511" w:right="0" w:firstLine="0"/>
                                <w:jc w:val="left"/>
                                <w:rPr>
                                  <w:rFonts w:ascii="Calibri"/>
                                  <w:sz w:val="18"/>
                                </w:rPr>
                              </w:pPr>
                              <w:r>
                                <w:rPr>
                                  <w:rFonts w:ascii="Calibri"/>
                                  <w:sz w:val="18"/>
                                </w:rPr>
                                <w:t>Alto</w:t>
                              </w:r>
                              <w:r>
                                <w:rPr>
                                  <w:rFonts w:ascii="Calibri"/>
                                  <w:spacing w:val="-5"/>
                                  <w:sz w:val="18"/>
                                </w:rPr>
                                <w:t> </w:t>
                              </w:r>
                              <w:r>
                                <w:rPr>
                                  <w:rFonts w:ascii="Calibri"/>
                                  <w:sz w:val="18"/>
                                </w:rPr>
                                <w:t>con</w:t>
                              </w:r>
                              <w:r>
                                <w:rPr>
                                  <w:rFonts w:ascii="Calibri"/>
                                  <w:spacing w:val="-2"/>
                                  <w:sz w:val="18"/>
                                </w:rPr>
                                <w:t> posible</w:t>
                              </w:r>
                            </w:p>
                            <w:p>
                              <w:pPr>
                                <w:spacing w:before="0"/>
                                <w:ind w:left="1511" w:right="0" w:firstLine="0"/>
                                <w:jc w:val="left"/>
                                <w:rPr>
                                  <w:rFonts w:ascii="Calibri" w:hAnsi="Calibri"/>
                                  <w:sz w:val="18"/>
                                </w:rPr>
                              </w:pPr>
                              <w:r>
                                <w:rPr>
                                  <w:rFonts w:ascii="Calibri" w:hAnsi="Calibri"/>
                                  <w:sz w:val="18"/>
                                </w:rPr>
                                <w:t>falla</w:t>
                              </w:r>
                              <w:r>
                                <w:rPr>
                                  <w:rFonts w:ascii="Calibri" w:hAnsi="Calibri"/>
                                  <w:spacing w:val="-1"/>
                                  <w:sz w:val="18"/>
                                </w:rPr>
                                <w:t> </w:t>
                              </w:r>
                              <w:r>
                                <w:rPr>
                                  <w:rFonts w:ascii="Calibri" w:hAnsi="Calibri"/>
                                  <w:sz w:val="18"/>
                                </w:rPr>
                                <w:t>de</w:t>
                              </w:r>
                              <w:r>
                                <w:rPr>
                                  <w:rFonts w:ascii="Calibri" w:hAnsi="Calibri"/>
                                  <w:spacing w:val="-1"/>
                                  <w:sz w:val="18"/>
                                </w:rPr>
                                <w:t> </w:t>
                              </w:r>
                              <w:r>
                                <w:rPr>
                                  <w:rFonts w:ascii="Calibri" w:hAnsi="Calibri"/>
                                  <w:spacing w:val="-2"/>
                                  <w:sz w:val="18"/>
                                </w:rPr>
                                <w:t>planeación</w:t>
                              </w:r>
                            </w:p>
                            <w:p>
                              <w:pPr>
                                <w:spacing w:line="175" w:lineRule="exact" w:before="91"/>
                                <w:ind w:left="189" w:right="0" w:firstLine="0"/>
                                <w:jc w:val="left"/>
                                <w:rPr>
                                  <w:rFonts w:ascii="Calibri"/>
                                  <w:b/>
                                  <w:sz w:val="18"/>
                                </w:rPr>
                              </w:pPr>
                              <w:r>
                                <w:rPr>
                                  <w:rFonts w:ascii="Calibri"/>
                                  <w:b/>
                                  <w:spacing w:val="-10"/>
                                  <w:sz w:val="18"/>
                                </w:rPr>
                                <w:t>8</w:t>
                              </w:r>
                            </w:p>
                            <w:p>
                              <w:pPr>
                                <w:tabs>
                                  <w:tab w:pos="1511" w:val="left" w:leader="none"/>
                                </w:tabs>
                                <w:spacing w:line="262" w:lineRule="exact" w:before="0"/>
                                <w:ind w:left="0" w:right="0" w:firstLine="0"/>
                                <w:jc w:val="left"/>
                                <w:rPr>
                                  <w:rFonts w:ascii="Calibri"/>
                                  <w:position w:val="9"/>
                                  <w:sz w:val="18"/>
                                </w:rPr>
                              </w:pPr>
                              <w:r>
                                <w:rPr>
                                  <w:rFonts w:ascii="Calibri"/>
                                  <w:b/>
                                  <w:spacing w:val="-2"/>
                                  <w:sz w:val="18"/>
                                </w:rPr>
                                <w:t>(8.6%)</w:t>
                              </w:r>
                              <w:r>
                                <w:rPr>
                                  <w:rFonts w:ascii="Calibri"/>
                                  <w:b/>
                                  <w:sz w:val="18"/>
                                </w:rPr>
                                <w:tab/>
                              </w:r>
                              <w:r>
                                <w:rPr>
                                  <w:rFonts w:ascii="Calibri"/>
                                  <w:spacing w:val="-4"/>
                                  <w:position w:val="9"/>
                                  <w:sz w:val="18"/>
                                </w:rPr>
                                <w:t>Alto</w:t>
                              </w:r>
                            </w:p>
                          </w:txbxContent>
                        </wps:txbx>
                        <wps:bodyPr wrap="square" lIns="0" tIns="0" rIns="0" bIns="0" rtlCol="0">
                          <a:noAutofit/>
                        </wps:bodyPr>
                      </wps:wsp>
                      <wps:wsp>
                        <wps:cNvPr id="441" name="Textbox 441"/>
                        <wps:cNvSpPr txBox="1"/>
                        <wps:spPr>
                          <a:xfrm>
                            <a:off x="680466" y="1167891"/>
                            <a:ext cx="371475" cy="254635"/>
                          </a:xfrm>
                          <a:prstGeom prst="rect">
                            <a:avLst/>
                          </a:prstGeom>
                        </wps:spPr>
                        <wps:txbx>
                          <w:txbxContent>
                            <w:p>
                              <w:pPr>
                                <w:spacing w:line="183" w:lineRule="exact" w:before="0"/>
                                <w:ind w:left="0" w:right="21" w:firstLine="0"/>
                                <w:jc w:val="center"/>
                                <w:rPr>
                                  <w:rFonts w:ascii="Calibri"/>
                                  <w:b/>
                                  <w:sz w:val="18"/>
                                </w:rPr>
                              </w:pPr>
                              <w:r>
                                <w:rPr>
                                  <w:rFonts w:ascii="Calibri"/>
                                  <w:b/>
                                  <w:spacing w:val="-10"/>
                                  <w:sz w:val="18"/>
                                </w:rPr>
                                <w:t>4</w:t>
                              </w:r>
                            </w:p>
                            <w:p>
                              <w:pPr>
                                <w:spacing w:line="216" w:lineRule="exact" w:before="1"/>
                                <w:ind w:left="-1" w:right="18" w:firstLine="0"/>
                                <w:jc w:val="center"/>
                                <w:rPr>
                                  <w:rFonts w:ascii="Calibri"/>
                                  <w:b/>
                                  <w:sz w:val="18"/>
                                </w:rPr>
                              </w:pPr>
                              <w:r>
                                <w:rPr>
                                  <w:rFonts w:ascii="Calibri"/>
                                  <w:b/>
                                  <w:spacing w:val="-2"/>
                                  <w:sz w:val="18"/>
                                </w:rPr>
                                <w:t>(40.0%)</w:t>
                              </w:r>
                            </w:p>
                          </w:txbxContent>
                        </wps:txbx>
                        <wps:bodyPr wrap="square" lIns="0" tIns="0" rIns="0" bIns="0" rtlCol="0">
                          <a:noAutofit/>
                        </wps:bodyPr>
                      </wps:wsp>
                      <wps:wsp>
                        <wps:cNvPr id="442" name="Textbox 442"/>
                        <wps:cNvSpPr txBox="1"/>
                        <wps:spPr>
                          <a:xfrm>
                            <a:off x="3109467" y="1155319"/>
                            <a:ext cx="314325" cy="114300"/>
                          </a:xfrm>
                          <a:prstGeom prst="rect">
                            <a:avLst/>
                          </a:prstGeom>
                        </wps:spPr>
                        <wps:txbx>
                          <w:txbxContent>
                            <w:p>
                              <w:pPr>
                                <w:spacing w:line="180" w:lineRule="exact" w:before="0"/>
                                <w:ind w:left="0" w:right="0" w:firstLine="0"/>
                                <w:jc w:val="left"/>
                                <w:rPr>
                                  <w:rFonts w:ascii="Calibri"/>
                                  <w:sz w:val="18"/>
                                </w:rPr>
                              </w:pPr>
                              <w:r>
                                <w:rPr>
                                  <w:rFonts w:ascii="Calibri"/>
                                  <w:spacing w:val="-2"/>
                                  <w:sz w:val="18"/>
                                </w:rPr>
                                <w:t>Medio</w:t>
                              </w:r>
                            </w:p>
                          </w:txbxContent>
                        </wps:txbx>
                        <wps:bodyPr wrap="square" lIns="0" tIns="0" rIns="0" bIns="0" rtlCol="0">
                          <a:noAutofit/>
                        </wps:bodyPr>
                      </wps:wsp>
                      <wps:wsp>
                        <wps:cNvPr id="443" name="Textbox 443"/>
                        <wps:cNvSpPr txBox="1"/>
                        <wps:spPr>
                          <a:xfrm>
                            <a:off x="3109467" y="1574800"/>
                            <a:ext cx="217804" cy="114300"/>
                          </a:xfrm>
                          <a:prstGeom prst="rect">
                            <a:avLst/>
                          </a:prstGeom>
                        </wps:spPr>
                        <wps:txbx>
                          <w:txbxContent>
                            <w:p>
                              <w:pPr>
                                <w:spacing w:line="180" w:lineRule="exact" w:before="0"/>
                                <w:ind w:left="0" w:right="0" w:firstLine="0"/>
                                <w:jc w:val="left"/>
                                <w:rPr>
                                  <w:rFonts w:ascii="Calibri"/>
                                  <w:sz w:val="18"/>
                                </w:rPr>
                              </w:pPr>
                              <w:r>
                                <w:rPr>
                                  <w:rFonts w:ascii="Calibri"/>
                                  <w:spacing w:val="-4"/>
                                  <w:sz w:val="18"/>
                                </w:rPr>
                                <w:t>Bajo</w:t>
                              </w:r>
                            </w:p>
                          </w:txbxContent>
                        </wps:txbx>
                        <wps:bodyPr wrap="square" lIns="0" tIns="0" rIns="0" bIns="0" rtlCol="0">
                          <a:noAutofit/>
                        </wps:bodyPr>
                      </wps:wsp>
                      <wps:wsp>
                        <wps:cNvPr id="444" name="Textbox 444"/>
                        <wps:cNvSpPr txBox="1"/>
                        <wps:spPr>
                          <a:xfrm>
                            <a:off x="1551939" y="1814067"/>
                            <a:ext cx="371475" cy="254635"/>
                          </a:xfrm>
                          <a:prstGeom prst="rect">
                            <a:avLst/>
                          </a:prstGeom>
                        </wps:spPr>
                        <wps:txbx>
                          <w:txbxContent>
                            <w:p>
                              <w:pPr>
                                <w:spacing w:line="183" w:lineRule="exact" w:before="0"/>
                                <w:ind w:left="0" w:right="21" w:firstLine="0"/>
                                <w:jc w:val="center"/>
                                <w:rPr>
                                  <w:rFonts w:ascii="Calibri"/>
                                  <w:b/>
                                  <w:sz w:val="18"/>
                                </w:rPr>
                              </w:pPr>
                              <w:r>
                                <w:rPr>
                                  <w:rFonts w:ascii="Calibri"/>
                                  <w:b/>
                                  <w:spacing w:val="-5"/>
                                  <w:sz w:val="18"/>
                                </w:rPr>
                                <w:t>14</w:t>
                              </w:r>
                            </w:p>
                            <w:p>
                              <w:pPr>
                                <w:spacing w:line="216" w:lineRule="exact" w:before="1"/>
                                <w:ind w:left="-1" w:right="18" w:firstLine="0"/>
                                <w:jc w:val="center"/>
                                <w:rPr>
                                  <w:rFonts w:ascii="Calibri"/>
                                  <w:b/>
                                  <w:sz w:val="18"/>
                                </w:rPr>
                              </w:pPr>
                              <w:r>
                                <w:rPr>
                                  <w:rFonts w:ascii="Calibri"/>
                                  <w:b/>
                                  <w:spacing w:val="-2"/>
                                  <w:sz w:val="18"/>
                                </w:rPr>
                                <w:t>(22.9%)</w:t>
                              </w:r>
                            </w:p>
                          </w:txbxContent>
                        </wps:txbx>
                        <wps:bodyPr wrap="square" lIns="0" tIns="0" rIns="0" bIns="0" rtlCol="0">
                          <a:noAutofit/>
                        </wps:bodyPr>
                      </wps:wsp>
                      <wps:wsp>
                        <wps:cNvPr id="445" name="Textbox 445"/>
                        <wps:cNvSpPr txBox="1"/>
                        <wps:spPr>
                          <a:xfrm>
                            <a:off x="3109467" y="1994535"/>
                            <a:ext cx="885190" cy="254000"/>
                          </a:xfrm>
                          <a:prstGeom prst="rect">
                            <a:avLst/>
                          </a:prstGeom>
                        </wps:spPr>
                        <wps:txbx>
                          <w:txbxContent>
                            <w:p>
                              <w:pPr>
                                <w:spacing w:line="183" w:lineRule="exact" w:before="0"/>
                                <w:ind w:left="0" w:right="0" w:firstLine="0"/>
                                <w:jc w:val="left"/>
                                <w:rPr>
                                  <w:rFonts w:ascii="Calibri"/>
                                  <w:sz w:val="18"/>
                                </w:rPr>
                              </w:pPr>
                              <w:r>
                                <w:rPr>
                                  <w:rFonts w:ascii="Calibri"/>
                                  <w:sz w:val="18"/>
                                </w:rPr>
                                <w:t>Bajo</w:t>
                              </w:r>
                              <w:r>
                                <w:rPr>
                                  <w:rFonts w:ascii="Calibri"/>
                                  <w:spacing w:val="-6"/>
                                  <w:sz w:val="18"/>
                                </w:rPr>
                                <w:t> </w:t>
                              </w:r>
                              <w:r>
                                <w:rPr>
                                  <w:rFonts w:ascii="Calibri"/>
                                  <w:sz w:val="18"/>
                                </w:rPr>
                                <w:t>con </w:t>
                              </w:r>
                              <w:r>
                                <w:rPr>
                                  <w:rFonts w:ascii="Calibri"/>
                                  <w:spacing w:val="-2"/>
                                  <w:sz w:val="18"/>
                                </w:rPr>
                                <w:t>posible</w:t>
                              </w:r>
                            </w:p>
                            <w:p>
                              <w:pPr>
                                <w:spacing w:line="216" w:lineRule="exact" w:before="0"/>
                                <w:ind w:left="0" w:right="0" w:firstLine="0"/>
                                <w:jc w:val="left"/>
                                <w:rPr>
                                  <w:rFonts w:ascii="Calibri" w:hAnsi="Calibri"/>
                                  <w:sz w:val="18"/>
                                </w:rPr>
                              </w:pPr>
                              <w:r>
                                <w:rPr>
                                  <w:rFonts w:ascii="Calibri" w:hAnsi="Calibri"/>
                                  <w:sz w:val="18"/>
                                </w:rPr>
                                <w:t>falla</w:t>
                              </w:r>
                              <w:r>
                                <w:rPr>
                                  <w:rFonts w:ascii="Calibri" w:hAnsi="Calibri"/>
                                  <w:spacing w:val="-1"/>
                                  <w:sz w:val="18"/>
                                </w:rPr>
                                <w:t> </w:t>
                              </w:r>
                              <w:r>
                                <w:rPr>
                                  <w:rFonts w:ascii="Calibri" w:hAnsi="Calibri"/>
                                  <w:sz w:val="18"/>
                                </w:rPr>
                                <w:t>de</w:t>
                              </w:r>
                              <w:r>
                                <w:rPr>
                                  <w:rFonts w:ascii="Calibri" w:hAnsi="Calibri"/>
                                  <w:spacing w:val="-1"/>
                                  <w:sz w:val="18"/>
                                </w:rPr>
                                <w:t> </w:t>
                              </w:r>
                              <w:r>
                                <w:rPr>
                                  <w:rFonts w:ascii="Calibri" w:hAnsi="Calibri"/>
                                  <w:spacing w:val="-2"/>
                                  <w:sz w:val="18"/>
                                </w:rPr>
                                <w:t>planeación</w:t>
                              </w:r>
                            </w:p>
                          </w:txbxContent>
                        </wps:txbx>
                        <wps:bodyPr wrap="square" lIns="0" tIns="0" rIns="0" bIns="0" rtlCol="0">
                          <a:noAutofit/>
                        </wps:bodyPr>
                      </wps:wsp>
                    </wpg:wgp>
                  </a:graphicData>
                </a:graphic>
              </wp:anchor>
            </w:drawing>
          </mc:Choice>
          <mc:Fallback>
            <w:pict>
              <v:group style="position:absolute;margin-left:131.649994pt;margin-top:10.601426pt;width:331.2pt;height:200.75pt;mso-position-horizontal-relative:page;mso-position-vertical-relative:paragraph;z-index:-15722496;mso-wrap-distance-left:0;mso-wrap-distance-right:0" id="docshapegroup418" coordorigin="2633,212" coordsize="6624,4015">
                <v:shape style="position:absolute;left:5105;top:425;width:1844;height:1844" id="docshape419" coordorigin="5105,426" coordsize="1844,1844" path="m5105,426l5105,2269,6949,2269,6947,2193,6942,2118,6935,2043,6924,1970,6911,1897,6895,1826,6876,1755,6855,1686,6830,1618,6804,1551,6775,1486,6743,1422,6709,1359,6672,1298,6634,1238,6593,1180,6550,1124,6505,1069,6458,1016,6409,965,6358,916,6305,869,6250,824,6194,781,6136,740,6076,702,6015,665,5952,631,5888,600,5823,570,5756,544,5688,520,5619,498,5548,479,5477,463,5404,450,5331,439,5257,432,5181,427,5105,426xe" filled="true" fillcolor="#00af50" stroked="false">
                  <v:path arrowok="t"/>
                  <v:fill type="solid"/>
                </v:shape>
                <v:shape style="position:absolute;left:3402;top:2268;width:3546;height:1843" id="docshape420" coordorigin="3403,2269" coordsize="3546,1843" path="m6949,2269l5105,2269,3403,2974,3434,3044,3467,3113,3503,3180,3542,3245,3583,3308,3627,3369,3673,3428,3721,3485,3771,3540,3823,3592,3877,3643,3933,3691,3991,3737,4051,3780,4112,3821,4175,3860,4240,3896,4306,3929,4373,3960,4442,3988,4512,4014,4583,4036,4655,4056,4728,4073,4802,4087,4877,4098,4952,4105,5029,4110,5105,4112,5181,4110,5257,4106,5331,4098,5404,4088,5477,4074,5548,4058,5619,4039,5688,4018,5756,3994,5823,3967,5888,3938,5952,3906,6015,3872,6076,3836,6136,3797,6194,3756,6250,3713,6305,3668,6358,3621,6409,3572,6458,3521,6505,3468,6550,3414,6593,3357,6634,3299,6672,3240,6709,3178,6743,3116,6775,3052,6804,2986,6830,2919,6855,2851,6876,2782,6895,2712,6911,2640,6924,2568,6935,2494,6942,2420,6947,2345,6949,2269xe" filled="true" fillcolor="#e1eed9" stroked="false">
                  <v:path arrowok="t"/>
                  <v:fill type="solid"/>
                </v:shape>
                <v:shape style="position:absolute;left:3402;top:2268;width:3546;height:1843" id="docshape421" coordorigin="3403,2269" coordsize="3546,1843" path="m6949,2269l6947,2345,6942,2420,6935,2494,6924,2568,6911,2640,6895,2712,6876,2782,6855,2851,6830,2919,6804,2986,6775,3052,6743,3116,6709,3178,6672,3240,6634,3299,6593,3357,6550,3414,6505,3468,6458,3521,6409,3572,6358,3621,6305,3668,6250,3713,6194,3756,6136,3797,6076,3836,6015,3872,5952,3906,5888,3938,5823,3967,5756,3994,5688,4018,5619,4039,5548,4058,5477,4074,5404,4088,5331,4098,5257,4106,5181,4110,5105,4112,5029,4110,4952,4105,4877,4098,4802,4087,4728,4073,4655,4056,4583,4036,4512,4014,4442,3988,4373,3960,4306,3929,4240,3896,4175,3860,4112,3821,4051,3780,3991,3737,3933,3691,3877,3643,3823,3592,3771,3540,3721,3485,3673,3428,3627,3369,3583,3308,3542,3245,3503,3180,3467,3113,3434,3044,3403,2974,5105,2269,6949,2269xe" filled="false" stroked="true" strokeweight="1.5pt" strokecolor="#ffffff">
                  <v:path arrowok="t"/>
                  <v:stroke dashstyle="solid"/>
                </v:shape>
                <v:shape style="position:absolute;left:3262;top:1563;width:1843;height:1411" id="docshape422" coordorigin="3263,1563" coordsize="1843,1411" path="m3403,1563l3375,1635,3350,1708,3328,1781,3309,1855,3294,1930,3281,2004,3272,2080,3266,2155,3263,2231,3263,2307,3266,2382,3272,2458,3281,2533,3294,2608,3309,2682,3328,2756,3350,2830,3375,2902,3403,2974,5105,2269,3403,1563xe" filled="true" fillcolor="#ffd966" stroked="false">
                  <v:path arrowok="t"/>
                  <v:fill type="solid"/>
                </v:shape>
                <v:shape style="position:absolute;left:3262;top:1563;width:1843;height:1411" id="docshape423" coordorigin="3263,1563" coordsize="1843,1411" path="m3403,2974l3375,2902,3350,2830,3328,2756,3309,2682,3294,2608,3281,2533,3272,2458,3266,2382,3263,2307,3263,2231,3266,2155,3272,2080,3281,2004,3294,1930,3309,1855,3328,1781,3350,1708,3375,1635,3403,1563,5105,2269,3403,2974xe" filled="false" stroked="true" strokeweight="1.5pt" strokecolor="#ffffff">
                  <v:path arrowok="t"/>
                  <v:stroke dashstyle="solid"/>
                </v:shape>
                <v:shape style="position:absolute;left:3402;top:461;width:1703;height:1808" id="docshape424" coordorigin="3403,461" coordsize="1703,1808" path="m4746,461l4671,478,4597,497,4525,520,4453,545,4383,573,4314,604,4247,638,4182,674,4118,713,4055,754,3995,798,3936,844,3879,893,3825,943,3772,996,3721,1052,3673,1109,3627,1168,3583,1229,3542,1293,3503,1358,3467,1425,3434,1493,3403,1563,5105,2269,4746,461xe" filled="true" fillcolor="#ffb7b7" stroked="false">
                  <v:path arrowok="t"/>
                  <v:fill type="solid"/>
                </v:shape>
                <v:shape style="position:absolute;left:3402;top:461;width:1703;height:1808" id="docshape425" coordorigin="3403,461" coordsize="1703,1808" path="m3403,1563l3434,1493,3467,1425,3503,1358,3542,1293,3583,1229,3627,1168,3673,1109,3721,1052,3772,996,3825,943,3879,893,3936,844,3995,798,4055,754,4118,713,4182,674,4247,638,4314,604,4383,573,4453,545,4525,520,4597,497,4671,478,4746,461,5105,2269,3403,1563xe" filled="false" stroked="true" strokeweight="1.5pt" strokecolor="#ffffff">
                  <v:path arrowok="t"/>
                  <v:stroke dashstyle="solid"/>
                </v:shape>
                <v:shape style="position:absolute;left:4746;top:425;width:360;height:1844" id="docshape426" coordorigin="4746,426" coordsize="360,1844" path="m5105,426l5033,427,4961,431,4889,439,4817,448,4746,461,5105,2269,5105,426xe" filled="true" fillcolor="#ff0000" stroked="false">
                  <v:path arrowok="t"/>
                  <v:fill type="solid"/>
                </v:shape>
                <v:shape style="position:absolute;left:4746;top:425;width:360;height:1844" id="docshape427" coordorigin="4746,426" coordsize="360,1844" path="m4746,461l4817,448,4889,439,4961,431,5033,427,5105,426,5105,2269,4746,461xe" filled="false" stroked="true" strokeweight="1.5pt" strokecolor="#ffffff">
                  <v:path arrowok="t"/>
                  <v:stroke dashstyle="solid"/>
                </v:shape>
                <v:rect style="position:absolute;left:7387;top:743;width:99;height:99" id="docshape428" filled="true" fillcolor="#00af50" stroked="false">
                  <v:fill type="solid"/>
                </v:rect>
                <v:rect style="position:absolute;left:7387;top:1404;width:99;height:99" id="docshape429" filled="true" fillcolor="#e1eed9" stroked="false">
                  <v:fill type="solid"/>
                </v:rect>
                <v:rect style="position:absolute;left:7387;top:2064;width:99;height:99" id="docshape430" filled="true" fillcolor="#ffd966" stroked="false">
                  <v:fill type="solid"/>
                </v:rect>
                <v:rect style="position:absolute;left:7387;top:2725;width:99;height:99" id="docshape431" filled="true" fillcolor="#ffb7b7" stroked="false">
                  <v:fill type="solid"/>
                </v:rect>
                <v:rect style="position:absolute;left:7387;top:3386;width:99;height:99" id="docshape432" filled="true" fillcolor="#ff0000" stroked="false">
                  <v:fill type="solid"/>
                </v:rect>
                <v:rect style="position:absolute;left:2638;top:217;width:6614;height:4005" id="docshape433" filled="false" stroked="true" strokeweight=".5pt" strokecolor="#585858">
                  <v:stroke dashstyle="solid"/>
                </v:rect>
                <v:shape style="position:absolute;left:3855;top:725;width:1423;height:565" type="#_x0000_t202" id="docshape434" filled="false" stroked="false">
                  <v:textbox inset="0,0,0,0">
                    <w:txbxContent>
                      <w:p>
                        <w:pPr>
                          <w:spacing w:line="154" w:lineRule="exact" w:before="0"/>
                          <w:ind w:left="0" w:right="256" w:firstLine="0"/>
                          <w:jc w:val="right"/>
                          <w:rPr>
                            <w:rFonts w:ascii="Calibri"/>
                            <w:b/>
                            <w:sz w:val="18"/>
                          </w:rPr>
                        </w:pPr>
                        <w:r>
                          <w:rPr>
                            <w:rFonts w:ascii="Calibri"/>
                            <w:b/>
                            <w:spacing w:val="-10"/>
                            <w:sz w:val="18"/>
                          </w:rPr>
                          <w:t>1</w:t>
                        </w:r>
                      </w:p>
                      <w:p>
                        <w:pPr>
                          <w:tabs>
                            <w:tab w:pos="837" w:val="left" w:leader="none"/>
                          </w:tabs>
                          <w:spacing w:line="223" w:lineRule="exact" w:before="0"/>
                          <w:ind w:left="235" w:right="0" w:firstLine="0"/>
                          <w:jc w:val="left"/>
                          <w:rPr>
                            <w:rFonts w:ascii="Calibri"/>
                            <w:b/>
                            <w:sz w:val="18"/>
                          </w:rPr>
                        </w:pPr>
                        <w:r>
                          <w:rPr>
                            <w:rFonts w:ascii="Calibri"/>
                            <w:b/>
                            <w:spacing w:val="-10"/>
                            <w:position w:val="6"/>
                            <w:sz w:val="18"/>
                          </w:rPr>
                          <w:t>5</w:t>
                        </w:r>
                        <w:r>
                          <w:rPr>
                            <w:rFonts w:ascii="Calibri"/>
                            <w:b/>
                            <w:position w:val="6"/>
                            <w:sz w:val="18"/>
                          </w:rPr>
                          <w:tab/>
                        </w:r>
                        <w:r>
                          <w:rPr>
                            <w:rFonts w:ascii="Calibri"/>
                            <w:b/>
                            <w:spacing w:val="-2"/>
                            <w:sz w:val="18"/>
                          </w:rPr>
                          <w:t>(14.3%)</w:t>
                        </w:r>
                      </w:p>
                      <w:p>
                        <w:pPr>
                          <w:spacing w:line="189" w:lineRule="exact" w:before="0"/>
                          <w:ind w:left="0" w:right="0" w:firstLine="0"/>
                          <w:jc w:val="left"/>
                          <w:rPr>
                            <w:rFonts w:ascii="Calibri"/>
                            <w:b/>
                            <w:sz w:val="18"/>
                          </w:rPr>
                        </w:pPr>
                        <w:r>
                          <w:rPr>
                            <w:rFonts w:ascii="Calibri"/>
                            <w:b/>
                            <w:spacing w:val="-2"/>
                            <w:sz w:val="18"/>
                          </w:rPr>
                          <w:t>(11.4%)</w:t>
                        </w:r>
                      </w:p>
                    </w:txbxContent>
                  </v:textbox>
                  <w10:wrap type="none"/>
                </v:shape>
                <v:shape style="position:absolute;left:6018;top:709;width:2906;height:932" type="#_x0000_t202" id="docshape435" filled="false" stroked="false">
                  <v:textbox inset="0,0,0,0">
                    <w:txbxContent>
                      <w:p>
                        <w:pPr>
                          <w:spacing w:line="183" w:lineRule="exact" w:before="0"/>
                          <w:ind w:left="1511" w:right="0" w:firstLine="0"/>
                          <w:jc w:val="left"/>
                          <w:rPr>
                            <w:rFonts w:ascii="Calibri"/>
                            <w:sz w:val="18"/>
                          </w:rPr>
                        </w:pPr>
                        <w:r>
                          <w:rPr>
                            <w:rFonts w:ascii="Calibri"/>
                            <w:sz w:val="18"/>
                          </w:rPr>
                          <w:t>Alto</w:t>
                        </w:r>
                        <w:r>
                          <w:rPr>
                            <w:rFonts w:ascii="Calibri"/>
                            <w:spacing w:val="-5"/>
                            <w:sz w:val="18"/>
                          </w:rPr>
                          <w:t> </w:t>
                        </w:r>
                        <w:r>
                          <w:rPr>
                            <w:rFonts w:ascii="Calibri"/>
                            <w:sz w:val="18"/>
                          </w:rPr>
                          <w:t>con</w:t>
                        </w:r>
                        <w:r>
                          <w:rPr>
                            <w:rFonts w:ascii="Calibri"/>
                            <w:spacing w:val="-2"/>
                            <w:sz w:val="18"/>
                          </w:rPr>
                          <w:t> posible</w:t>
                        </w:r>
                      </w:p>
                      <w:p>
                        <w:pPr>
                          <w:spacing w:before="0"/>
                          <w:ind w:left="1511" w:right="0" w:firstLine="0"/>
                          <w:jc w:val="left"/>
                          <w:rPr>
                            <w:rFonts w:ascii="Calibri" w:hAnsi="Calibri"/>
                            <w:sz w:val="18"/>
                          </w:rPr>
                        </w:pPr>
                        <w:r>
                          <w:rPr>
                            <w:rFonts w:ascii="Calibri" w:hAnsi="Calibri"/>
                            <w:sz w:val="18"/>
                          </w:rPr>
                          <w:t>falla</w:t>
                        </w:r>
                        <w:r>
                          <w:rPr>
                            <w:rFonts w:ascii="Calibri" w:hAnsi="Calibri"/>
                            <w:spacing w:val="-1"/>
                            <w:sz w:val="18"/>
                          </w:rPr>
                          <w:t> </w:t>
                        </w:r>
                        <w:r>
                          <w:rPr>
                            <w:rFonts w:ascii="Calibri" w:hAnsi="Calibri"/>
                            <w:sz w:val="18"/>
                          </w:rPr>
                          <w:t>de</w:t>
                        </w:r>
                        <w:r>
                          <w:rPr>
                            <w:rFonts w:ascii="Calibri" w:hAnsi="Calibri"/>
                            <w:spacing w:val="-1"/>
                            <w:sz w:val="18"/>
                          </w:rPr>
                          <w:t> </w:t>
                        </w:r>
                        <w:r>
                          <w:rPr>
                            <w:rFonts w:ascii="Calibri" w:hAnsi="Calibri"/>
                            <w:spacing w:val="-2"/>
                            <w:sz w:val="18"/>
                          </w:rPr>
                          <w:t>planeación</w:t>
                        </w:r>
                      </w:p>
                      <w:p>
                        <w:pPr>
                          <w:spacing w:line="175" w:lineRule="exact" w:before="91"/>
                          <w:ind w:left="189" w:right="0" w:firstLine="0"/>
                          <w:jc w:val="left"/>
                          <w:rPr>
                            <w:rFonts w:ascii="Calibri"/>
                            <w:b/>
                            <w:sz w:val="18"/>
                          </w:rPr>
                        </w:pPr>
                        <w:r>
                          <w:rPr>
                            <w:rFonts w:ascii="Calibri"/>
                            <w:b/>
                            <w:spacing w:val="-10"/>
                            <w:sz w:val="18"/>
                          </w:rPr>
                          <w:t>8</w:t>
                        </w:r>
                      </w:p>
                      <w:p>
                        <w:pPr>
                          <w:tabs>
                            <w:tab w:pos="1511" w:val="left" w:leader="none"/>
                          </w:tabs>
                          <w:spacing w:line="262" w:lineRule="exact" w:before="0"/>
                          <w:ind w:left="0" w:right="0" w:firstLine="0"/>
                          <w:jc w:val="left"/>
                          <w:rPr>
                            <w:rFonts w:ascii="Calibri"/>
                            <w:position w:val="9"/>
                            <w:sz w:val="18"/>
                          </w:rPr>
                        </w:pPr>
                        <w:r>
                          <w:rPr>
                            <w:rFonts w:ascii="Calibri"/>
                            <w:b/>
                            <w:spacing w:val="-2"/>
                            <w:sz w:val="18"/>
                          </w:rPr>
                          <w:t>(8.6%)</w:t>
                        </w:r>
                        <w:r>
                          <w:rPr>
                            <w:rFonts w:ascii="Calibri"/>
                            <w:b/>
                            <w:sz w:val="18"/>
                          </w:rPr>
                          <w:tab/>
                        </w:r>
                        <w:r>
                          <w:rPr>
                            <w:rFonts w:ascii="Calibri"/>
                            <w:spacing w:val="-4"/>
                            <w:position w:val="9"/>
                            <w:sz w:val="18"/>
                          </w:rPr>
                          <w:t>Alto</w:t>
                        </w:r>
                      </w:p>
                    </w:txbxContent>
                  </v:textbox>
                  <w10:wrap type="none"/>
                </v:shape>
                <v:shape style="position:absolute;left:3704;top:2051;width:585;height:401" type="#_x0000_t202" id="docshape436" filled="false" stroked="false">
                  <v:textbox inset="0,0,0,0">
                    <w:txbxContent>
                      <w:p>
                        <w:pPr>
                          <w:spacing w:line="183" w:lineRule="exact" w:before="0"/>
                          <w:ind w:left="0" w:right="21" w:firstLine="0"/>
                          <w:jc w:val="center"/>
                          <w:rPr>
                            <w:rFonts w:ascii="Calibri"/>
                            <w:b/>
                            <w:sz w:val="18"/>
                          </w:rPr>
                        </w:pPr>
                        <w:r>
                          <w:rPr>
                            <w:rFonts w:ascii="Calibri"/>
                            <w:b/>
                            <w:spacing w:val="-10"/>
                            <w:sz w:val="18"/>
                          </w:rPr>
                          <w:t>4</w:t>
                        </w:r>
                      </w:p>
                      <w:p>
                        <w:pPr>
                          <w:spacing w:line="216" w:lineRule="exact" w:before="1"/>
                          <w:ind w:left="-1" w:right="18" w:firstLine="0"/>
                          <w:jc w:val="center"/>
                          <w:rPr>
                            <w:rFonts w:ascii="Calibri"/>
                            <w:b/>
                            <w:sz w:val="18"/>
                          </w:rPr>
                        </w:pPr>
                        <w:r>
                          <w:rPr>
                            <w:rFonts w:ascii="Calibri"/>
                            <w:b/>
                            <w:spacing w:val="-2"/>
                            <w:sz w:val="18"/>
                          </w:rPr>
                          <w:t>(40.0%)</w:t>
                        </w:r>
                      </w:p>
                    </w:txbxContent>
                  </v:textbox>
                  <w10:wrap type="none"/>
                </v:shape>
                <v:shape style="position:absolute;left:7529;top:2031;width:495;height:180" type="#_x0000_t202" id="docshape437" filled="false" stroked="false">
                  <v:textbox inset="0,0,0,0">
                    <w:txbxContent>
                      <w:p>
                        <w:pPr>
                          <w:spacing w:line="180" w:lineRule="exact" w:before="0"/>
                          <w:ind w:left="0" w:right="0" w:firstLine="0"/>
                          <w:jc w:val="left"/>
                          <w:rPr>
                            <w:rFonts w:ascii="Calibri"/>
                            <w:sz w:val="18"/>
                          </w:rPr>
                        </w:pPr>
                        <w:r>
                          <w:rPr>
                            <w:rFonts w:ascii="Calibri"/>
                            <w:spacing w:val="-2"/>
                            <w:sz w:val="18"/>
                          </w:rPr>
                          <w:t>Medio</w:t>
                        </w:r>
                      </w:p>
                    </w:txbxContent>
                  </v:textbox>
                  <w10:wrap type="none"/>
                </v:shape>
                <v:shape style="position:absolute;left:7529;top:2692;width:343;height:180" type="#_x0000_t202" id="docshape438" filled="false" stroked="false">
                  <v:textbox inset="0,0,0,0">
                    <w:txbxContent>
                      <w:p>
                        <w:pPr>
                          <w:spacing w:line="180" w:lineRule="exact" w:before="0"/>
                          <w:ind w:left="0" w:right="0" w:firstLine="0"/>
                          <w:jc w:val="left"/>
                          <w:rPr>
                            <w:rFonts w:ascii="Calibri"/>
                            <w:sz w:val="18"/>
                          </w:rPr>
                        </w:pPr>
                        <w:r>
                          <w:rPr>
                            <w:rFonts w:ascii="Calibri"/>
                            <w:spacing w:val="-4"/>
                            <w:sz w:val="18"/>
                          </w:rPr>
                          <w:t>Bajo</w:t>
                        </w:r>
                      </w:p>
                    </w:txbxContent>
                  </v:textbox>
                  <w10:wrap type="none"/>
                </v:shape>
                <v:shape style="position:absolute;left:5077;top:3068;width:585;height:401" type="#_x0000_t202" id="docshape439" filled="false" stroked="false">
                  <v:textbox inset="0,0,0,0">
                    <w:txbxContent>
                      <w:p>
                        <w:pPr>
                          <w:spacing w:line="183" w:lineRule="exact" w:before="0"/>
                          <w:ind w:left="0" w:right="21" w:firstLine="0"/>
                          <w:jc w:val="center"/>
                          <w:rPr>
                            <w:rFonts w:ascii="Calibri"/>
                            <w:b/>
                            <w:sz w:val="18"/>
                          </w:rPr>
                        </w:pPr>
                        <w:r>
                          <w:rPr>
                            <w:rFonts w:ascii="Calibri"/>
                            <w:b/>
                            <w:spacing w:val="-5"/>
                            <w:sz w:val="18"/>
                          </w:rPr>
                          <w:t>14</w:t>
                        </w:r>
                      </w:p>
                      <w:p>
                        <w:pPr>
                          <w:spacing w:line="216" w:lineRule="exact" w:before="1"/>
                          <w:ind w:left="-1" w:right="18" w:firstLine="0"/>
                          <w:jc w:val="center"/>
                          <w:rPr>
                            <w:rFonts w:ascii="Calibri"/>
                            <w:b/>
                            <w:sz w:val="18"/>
                          </w:rPr>
                        </w:pPr>
                        <w:r>
                          <w:rPr>
                            <w:rFonts w:ascii="Calibri"/>
                            <w:b/>
                            <w:spacing w:val="-2"/>
                            <w:sz w:val="18"/>
                          </w:rPr>
                          <w:t>(22.9%)</w:t>
                        </w:r>
                      </w:p>
                    </w:txbxContent>
                  </v:textbox>
                  <w10:wrap type="none"/>
                </v:shape>
                <v:shape style="position:absolute;left:7529;top:3353;width:1394;height:400" type="#_x0000_t202" id="docshape440" filled="false" stroked="false">
                  <v:textbox inset="0,0,0,0">
                    <w:txbxContent>
                      <w:p>
                        <w:pPr>
                          <w:spacing w:line="183" w:lineRule="exact" w:before="0"/>
                          <w:ind w:left="0" w:right="0" w:firstLine="0"/>
                          <w:jc w:val="left"/>
                          <w:rPr>
                            <w:rFonts w:ascii="Calibri"/>
                            <w:sz w:val="18"/>
                          </w:rPr>
                        </w:pPr>
                        <w:r>
                          <w:rPr>
                            <w:rFonts w:ascii="Calibri"/>
                            <w:sz w:val="18"/>
                          </w:rPr>
                          <w:t>Bajo</w:t>
                        </w:r>
                        <w:r>
                          <w:rPr>
                            <w:rFonts w:ascii="Calibri"/>
                            <w:spacing w:val="-6"/>
                            <w:sz w:val="18"/>
                          </w:rPr>
                          <w:t> </w:t>
                        </w:r>
                        <w:r>
                          <w:rPr>
                            <w:rFonts w:ascii="Calibri"/>
                            <w:sz w:val="18"/>
                          </w:rPr>
                          <w:t>con </w:t>
                        </w:r>
                        <w:r>
                          <w:rPr>
                            <w:rFonts w:ascii="Calibri"/>
                            <w:spacing w:val="-2"/>
                            <w:sz w:val="18"/>
                          </w:rPr>
                          <w:t>posible</w:t>
                        </w:r>
                      </w:p>
                      <w:p>
                        <w:pPr>
                          <w:spacing w:line="216" w:lineRule="exact" w:before="0"/>
                          <w:ind w:left="0" w:right="0" w:firstLine="0"/>
                          <w:jc w:val="left"/>
                          <w:rPr>
                            <w:rFonts w:ascii="Calibri" w:hAnsi="Calibri"/>
                            <w:sz w:val="18"/>
                          </w:rPr>
                        </w:pPr>
                        <w:r>
                          <w:rPr>
                            <w:rFonts w:ascii="Calibri" w:hAnsi="Calibri"/>
                            <w:sz w:val="18"/>
                          </w:rPr>
                          <w:t>falla</w:t>
                        </w:r>
                        <w:r>
                          <w:rPr>
                            <w:rFonts w:ascii="Calibri" w:hAnsi="Calibri"/>
                            <w:spacing w:val="-1"/>
                            <w:sz w:val="18"/>
                          </w:rPr>
                          <w:t> </w:t>
                        </w:r>
                        <w:r>
                          <w:rPr>
                            <w:rFonts w:ascii="Calibri" w:hAnsi="Calibri"/>
                            <w:sz w:val="18"/>
                          </w:rPr>
                          <w:t>de</w:t>
                        </w:r>
                        <w:r>
                          <w:rPr>
                            <w:rFonts w:ascii="Calibri" w:hAnsi="Calibri"/>
                            <w:spacing w:val="-1"/>
                            <w:sz w:val="18"/>
                          </w:rPr>
                          <w:t> </w:t>
                        </w:r>
                        <w:r>
                          <w:rPr>
                            <w:rFonts w:ascii="Calibri" w:hAnsi="Calibri"/>
                            <w:spacing w:val="-2"/>
                            <w:sz w:val="18"/>
                          </w:rPr>
                          <w:t>planeación</w:t>
                        </w:r>
                      </w:p>
                    </w:txbxContent>
                  </v:textbox>
                  <w10:wrap type="none"/>
                </v:shape>
                <w10:wrap type="topAndBottom"/>
              </v:group>
            </w:pict>
          </mc:Fallback>
        </mc:AlternateContent>
      </w:r>
    </w:p>
    <w:p>
      <w:pPr>
        <w:spacing w:line="494" w:lineRule="auto" w:before="214"/>
        <w:ind w:left="1419" w:right="3995"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rPr>
          <w:sz w:val="18"/>
        </w:rPr>
      </w:pPr>
    </w:p>
    <w:p>
      <w:pPr>
        <w:pStyle w:val="BodyText"/>
        <w:spacing w:before="106"/>
        <w:rPr>
          <w:sz w:val="18"/>
        </w:rPr>
      </w:pPr>
    </w:p>
    <w:p>
      <w:pPr>
        <w:pStyle w:val="BodyText"/>
        <w:spacing w:line="307" w:lineRule="auto"/>
        <w:ind w:left="143" w:right="703"/>
        <w:jc w:val="both"/>
      </w:pPr>
      <w:r>
        <w:rPr/>
        <w:t>En base a la metodología señalada en la sección 3.1, para la evaluación de resultados, se</w:t>
      </w:r>
      <w:r>
        <w:rPr>
          <w:spacing w:val="-1"/>
        </w:rPr>
        <w:t> </w:t>
      </w:r>
      <w:r>
        <w:rPr/>
        <w:t>priorizaron 17 indicadores que corresponden a 12</w:t>
      </w:r>
      <w:r>
        <w:rPr>
          <w:spacing w:val="-1"/>
        </w:rPr>
        <w:t> </w:t>
      </w:r>
      <w:r>
        <w:rPr/>
        <w:t>servicios de la PNIG,</w:t>
      </w:r>
      <w:r>
        <w:rPr>
          <w:spacing w:val="-7"/>
        </w:rPr>
        <w:t> </w:t>
      </w:r>
      <w:r>
        <w:rPr/>
        <w:t>siendo</w:t>
      </w:r>
      <w:r>
        <w:rPr>
          <w:spacing w:val="-8"/>
        </w:rPr>
        <w:t> </w:t>
      </w:r>
      <w:r>
        <w:rPr/>
        <w:t>necesario</w:t>
      </w:r>
      <w:r>
        <w:rPr>
          <w:spacing w:val="-8"/>
        </w:rPr>
        <w:t> </w:t>
      </w:r>
      <w:r>
        <w:rPr/>
        <w:t>evaluar</w:t>
      </w:r>
      <w:r>
        <w:rPr>
          <w:spacing w:val="-12"/>
        </w:rPr>
        <w:t> </w:t>
      </w:r>
      <w:r>
        <w:rPr/>
        <w:t>su</w:t>
      </w:r>
      <w:r>
        <w:rPr>
          <w:spacing w:val="-8"/>
        </w:rPr>
        <w:t> </w:t>
      </w:r>
      <w:r>
        <w:rPr/>
        <w:t>implementación</w:t>
      </w:r>
      <w:r>
        <w:rPr>
          <w:spacing w:val="-8"/>
        </w:rPr>
        <w:t> </w:t>
      </w:r>
      <w:r>
        <w:rPr/>
        <w:t>y</w:t>
      </w:r>
      <w:r>
        <w:rPr>
          <w:spacing w:val="-8"/>
        </w:rPr>
        <w:t> </w:t>
      </w:r>
      <w:r>
        <w:rPr/>
        <w:t>plantear</w:t>
      </w:r>
      <w:r>
        <w:rPr>
          <w:spacing w:val="-8"/>
        </w:rPr>
        <w:t> </w:t>
      </w:r>
      <w:r>
        <w:rPr/>
        <w:t>recomendaciones</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0"/>
      </w:pPr>
      <w:r>
        <w:rPr/>
        <w:t>a</w:t>
      </w:r>
      <w:r>
        <w:rPr>
          <w:spacing w:val="40"/>
        </w:rPr>
        <w:t> </w:t>
      </w:r>
      <w:r>
        <w:rPr/>
        <w:t>partir</w:t>
      </w:r>
      <w:r>
        <w:rPr>
          <w:spacing w:val="40"/>
        </w:rPr>
        <w:t> </w:t>
      </w:r>
      <w:r>
        <w:rPr/>
        <w:t>de</w:t>
      </w:r>
      <w:r>
        <w:rPr>
          <w:spacing w:val="40"/>
        </w:rPr>
        <w:t> </w:t>
      </w:r>
      <w:r>
        <w:rPr/>
        <w:t>la</w:t>
      </w:r>
      <w:r>
        <w:rPr>
          <w:spacing w:val="40"/>
        </w:rPr>
        <w:t> </w:t>
      </w:r>
      <w:r>
        <w:rPr/>
        <w:t>evaluación</w:t>
      </w:r>
      <w:r>
        <w:rPr>
          <w:spacing w:val="40"/>
        </w:rPr>
        <w:t> </w:t>
      </w:r>
      <w:r>
        <w:rPr/>
        <w:t>de</w:t>
      </w:r>
      <w:r>
        <w:rPr>
          <w:spacing w:val="40"/>
        </w:rPr>
        <w:t> </w:t>
      </w:r>
      <w:r>
        <w:rPr/>
        <w:t>resultados</w:t>
      </w:r>
      <w:r>
        <w:rPr>
          <w:spacing w:val="69"/>
        </w:rPr>
        <w:t> </w:t>
      </w:r>
      <w:r>
        <w:rPr/>
        <w:t>en</w:t>
      </w:r>
      <w:r>
        <w:rPr>
          <w:spacing w:val="40"/>
        </w:rPr>
        <w:t> </w:t>
      </w:r>
      <w:r>
        <w:rPr/>
        <w:t>tanto</w:t>
      </w:r>
      <w:r>
        <w:rPr>
          <w:spacing w:val="40"/>
        </w:rPr>
        <w:t> </w:t>
      </w:r>
      <w:r>
        <w:rPr/>
        <w:t>presentaron</w:t>
      </w:r>
      <w:r>
        <w:rPr>
          <w:spacing w:val="40"/>
        </w:rPr>
        <w:t> </w:t>
      </w:r>
      <w:r>
        <w:rPr/>
        <w:t>alertas</w:t>
      </w:r>
      <w:r>
        <w:rPr>
          <w:spacing w:val="40"/>
        </w:rPr>
        <w:t> </w:t>
      </w:r>
      <w:r>
        <w:rPr/>
        <w:t>en</w:t>
      </w:r>
      <w:r>
        <w:rPr>
          <w:spacing w:val="40"/>
        </w:rPr>
        <w:t> </w:t>
      </w:r>
      <w:r>
        <w:rPr/>
        <w:t>el</w:t>
      </w:r>
      <w:r>
        <w:rPr>
          <w:spacing w:val="40"/>
        </w:rPr>
        <w:t> </w:t>
      </w:r>
      <w:r>
        <w:rPr/>
        <w:t>proceso de seguimiento:</w:t>
      </w:r>
    </w:p>
    <w:p>
      <w:pPr>
        <w:pStyle w:val="ListParagraph"/>
        <w:numPr>
          <w:ilvl w:val="0"/>
          <w:numId w:val="11"/>
        </w:numPr>
        <w:tabs>
          <w:tab w:pos="862" w:val="left" w:leader="none"/>
        </w:tabs>
        <w:spacing w:line="304" w:lineRule="auto" w:before="158" w:after="0"/>
        <w:ind w:left="862" w:right="708" w:hanging="360"/>
        <w:jc w:val="left"/>
        <w:rPr>
          <w:sz w:val="24"/>
        </w:rPr>
      </w:pPr>
      <w:r>
        <w:rPr>
          <w:sz w:val="24"/>
        </w:rPr>
        <w:t>9</w:t>
      </w:r>
      <w:r>
        <w:rPr>
          <w:spacing w:val="28"/>
          <w:sz w:val="24"/>
        </w:rPr>
        <w:t> </w:t>
      </w:r>
      <w:r>
        <w:rPr>
          <w:sz w:val="24"/>
        </w:rPr>
        <w:t>con</w:t>
      </w:r>
      <w:r>
        <w:rPr>
          <w:spacing w:val="25"/>
          <w:sz w:val="24"/>
        </w:rPr>
        <w:t> </w:t>
      </w:r>
      <w:r>
        <w:rPr>
          <w:sz w:val="24"/>
        </w:rPr>
        <w:t>posible</w:t>
      </w:r>
      <w:r>
        <w:rPr>
          <w:spacing w:val="28"/>
          <w:sz w:val="24"/>
        </w:rPr>
        <w:t> </w:t>
      </w:r>
      <w:r>
        <w:rPr>
          <w:sz w:val="24"/>
        </w:rPr>
        <w:t>falla</w:t>
      </w:r>
      <w:r>
        <w:rPr>
          <w:spacing w:val="25"/>
          <w:sz w:val="24"/>
        </w:rPr>
        <w:t> </w:t>
      </w:r>
      <w:r>
        <w:rPr>
          <w:sz w:val="24"/>
        </w:rPr>
        <w:t>de</w:t>
      </w:r>
      <w:r>
        <w:rPr>
          <w:spacing w:val="26"/>
          <w:sz w:val="24"/>
        </w:rPr>
        <w:t> </w:t>
      </w:r>
      <w:r>
        <w:rPr>
          <w:sz w:val="24"/>
        </w:rPr>
        <w:t>planeación</w:t>
      </w:r>
      <w:r>
        <w:rPr>
          <w:spacing w:val="33"/>
          <w:sz w:val="24"/>
        </w:rPr>
        <w:t> </w:t>
      </w:r>
      <w:r>
        <w:rPr>
          <w:sz w:val="24"/>
        </w:rPr>
        <w:t>(8</w:t>
      </w:r>
      <w:r>
        <w:rPr>
          <w:spacing w:val="27"/>
          <w:sz w:val="24"/>
        </w:rPr>
        <w:t> </w:t>
      </w:r>
      <w:r>
        <w:rPr>
          <w:sz w:val="24"/>
        </w:rPr>
        <w:t>alto</w:t>
      </w:r>
      <w:r>
        <w:rPr>
          <w:spacing w:val="26"/>
          <w:sz w:val="24"/>
        </w:rPr>
        <w:t> </w:t>
      </w:r>
      <w:r>
        <w:rPr>
          <w:sz w:val="24"/>
        </w:rPr>
        <w:t>con</w:t>
      </w:r>
      <w:r>
        <w:rPr>
          <w:spacing w:val="28"/>
          <w:sz w:val="24"/>
        </w:rPr>
        <w:t> </w:t>
      </w:r>
      <w:r>
        <w:rPr>
          <w:sz w:val="24"/>
        </w:rPr>
        <w:t>posible</w:t>
      </w:r>
      <w:r>
        <w:rPr>
          <w:spacing w:val="28"/>
          <w:sz w:val="24"/>
        </w:rPr>
        <w:t> </w:t>
      </w:r>
      <w:r>
        <w:rPr>
          <w:sz w:val="24"/>
        </w:rPr>
        <w:t>falla</w:t>
      </w:r>
      <w:r>
        <w:rPr>
          <w:spacing w:val="25"/>
          <w:sz w:val="24"/>
        </w:rPr>
        <w:t> </w:t>
      </w:r>
      <w:r>
        <w:rPr>
          <w:sz w:val="24"/>
        </w:rPr>
        <w:t>y</w:t>
      </w:r>
      <w:r>
        <w:rPr>
          <w:spacing w:val="28"/>
          <w:sz w:val="24"/>
        </w:rPr>
        <w:t> </w:t>
      </w:r>
      <w:r>
        <w:rPr>
          <w:sz w:val="24"/>
        </w:rPr>
        <w:t>1</w:t>
      </w:r>
      <w:r>
        <w:rPr>
          <w:spacing w:val="25"/>
          <w:sz w:val="24"/>
        </w:rPr>
        <w:t> </w:t>
      </w:r>
      <w:r>
        <w:rPr>
          <w:sz w:val="24"/>
        </w:rPr>
        <w:t>bajo</w:t>
      </w:r>
      <w:r>
        <w:rPr>
          <w:spacing w:val="29"/>
          <w:sz w:val="24"/>
        </w:rPr>
        <w:t> </w:t>
      </w:r>
      <w:r>
        <w:rPr>
          <w:sz w:val="24"/>
        </w:rPr>
        <w:t>con posible falla),</w:t>
      </w:r>
    </w:p>
    <w:p>
      <w:pPr>
        <w:pStyle w:val="ListParagraph"/>
        <w:numPr>
          <w:ilvl w:val="0"/>
          <w:numId w:val="11"/>
        </w:numPr>
        <w:tabs>
          <w:tab w:pos="862" w:val="left" w:leader="none"/>
        </w:tabs>
        <w:spacing w:line="240" w:lineRule="auto" w:before="3" w:after="0"/>
        <w:ind w:left="862" w:right="0" w:hanging="360"/>
        <w:jc w:val="left"/>
        <w:rPr>
          <w:sz w:val="24"/>
        </w:rPr>
      </w:pPr>
      <w:r>
        <w:rPr>
          <w:sz w:val="24"/>
        </w:rPr>
        <w:t>5</w:t>
      </w:r>
      <w:r>
        <w:rPr>
          <w:spacing w:val="5"/>
          <w:sz w:val="24"/>
        </w:rPr>
        <w:t> </w:t>
      </w:r>
      <w:r>
        <w:rPr>
          <w:sz w:val="24"/>
        </w:rPr>
        <w:t>con</w:t>
      </w:r>
      <w:r>
        <w:rPr>
          <w:spacing w:val="6"/>
          <w:sz w:val="24"/>
        </w:rPr>
        <w:t> </w:t>
      </w:r>
      <w:r>
        <w:rPr>
          <w:sz w:val="24"/>
        </w:rPr>
        <w:t>bajo</w:t>
      </w:r>
      <w:r>
        <w:rPr>
          <w:spacing w:val="4"/>
          <w:sz w:val="24"/>
        </w:rPr>
        <w:t> </w:t>
      </w:r>
      <w:r>
        <w:rPr>
          <w:sz w:val="24"/>
        </w:rPr>
        <w:t>desempeño</w:t>
      </w:r>
      <w:r>
        <w:rPr>
          <w:spacing w:val="7"/>
          <w:sz w:val="24"/>
        </w:rPr>
        <w:t> </w:t>
      </w:r>
      <w:r>
        <w:rPr>
          <w:spacing w:val="-10"/>
          <w:sz w:val="24"/>
        </w:rPr>
        <w:t>y</w:t>
      </w:r>
    </w:p>
    <w:p>
      <w:pPr>
        <w:pStyle w:val="ListParagraph"/>
        <w:numPr>
          <w:ilvl w:val="0"/>
          <w:numId w:val="11"/>
        </w:numPr>
        <w:tabs>
          <w:tab w:pos="862" w:val="left" w:leader="none"/>
        </w:tabs>
        <w:spacing w:line="240" w:lineRule="auto" w:before="78" w:after="0"/>
        <w:ind w:left="862" w:right="0" w:hanging="360"/>
        <w:jc w:val="left"/>
        <w:rPr>
          <w:sz w:val="24"/>
        </w:rPr>
      </w:pPr>
      <w:r>
        <w:rPr>
          <w:sz w:val="24"/>
        </w:rPr>
        <w:t>3</w:t>
      </w:r>
      <w:r>
        <w:rPr>
          <w:spacing w:val="-1"/>
          <w:sz w:val="24"/>
        </w:rPr>
        <w:t> </w:t>
      </w:r>
      <w:r>
        <w:rPr>
          <w:sz w:val="24"/>
        </w:rPr>
        <w:t>con</w:t>
      </w:r>
      <w:r>
        <w:rPr>
          <w:spacing w:val="-1"/>
          <w:sz w:val="24"/>
        </w:rPr>
        <w:t> </w:t>
      </w:r>
      <w:r>
        <w:rPr>
          <w:sz w:val="24"/>
        </w:rPr>
        <w:t>limitaciones</w:t>
      </w:r>
      <w:r>
        <w:rPr>
          <w:spacing w:val="1"/>
          <w:sz w:val="24"/>
        </w:rPr>
        <w:t> </w:t>
      </w:r>
      <w:r>
        <w:rPr>
          <w:sz w:val="24"/>
        </w:rPr>
        <w:t>en</w:t>
      </w:r>
      <w:r>
        <w:rPr>
          <w:spacing w:val="-3"/>
          <w:sz w:val="24"/>
        </w:rPr>
        <w:t> </w:t>
      </w:r>
      <w:r>
        <w:rPr>
          <w:sz w:val="24"/>
        </w:rPr>
        <w:t>su</w:t>
      </w:r>
      <w:r>
        <w:rPr>
          <w:spacing w:val="-1"/>
          <w:sz w:val="24"/>
        </w:rPr>
        <w:t> </w:t>
      </w:r>
      <w:r>
        <w:rPr>
          <w:spacing w:val="-2"/>
          <w:sz w:val="24"/>
        </w:rPr>
        <w:t>medición.</w:t>
      </w:r>
    </w:p>
    <w:p>
      <w:pPr>
        <w:pStyle w:val="Heading2"/>
        <w:numPr>
          <w:ilvl w:val="1"/>
          <w:numId w:val="3"/>
        </w:numPr>
        <w:tabs>
          <w:tab w:pos="568" w:val="left" w:leader="none"/>
        </w:tabs>
        <w:spacing w:line="240" w:lineRule="auto" w:before="237" w:after="0"/>
        <w:ind w:left="568" w:right="0" w:hanging="425"/>
        <w:jc w:val="left"/>
      </w:pPr>
      <w:bookmarkStart w:name="_bookmark13" w:id="14"/>
      <w:bookmarkEnd w:id="14"/>
      <w:r>
        <w:rPr/>
      </w:r>
      <w:r>
        <w:rPr>
          <w:color w:val="2E5395"/>
        </w:rPr>
        <w:t>Análisis</w:t>
      </w:r>
      <w:r>
        <w:rPr>
          <w:color w:val="2E5395"/>
          <w:spacing w:val="-6"/>
        </w:rPr>
        <w:t> </w:t>
      </w:r>
      <w:r>
        <w:rPr>
          <w:color w:val="2E5395"/>
        </w:rPr>
        <w:t>de</w:t>
      </w:r>
      <w:r>
        <w:rPr>
          <w:color w:val="2E5395"/>
          <w:spacing w:val="-7"/>
        </w:rPr>
        <w:t> </w:t>
      </w:r>
      <w:r>
        <w:rPr>
          <w:color w:val="2E5395"/>
        </w:rPr>
        <w:t>implementación</w:t>
      </w:r>
      <w:r>
        <w:rPr>
          <w:color w:val="2E5395"/>
          <w:spacing w:val="-4"/>
        </w:rPr>
        <w:t> </w:t>
      </w:r>
      <w:r>
        <w:rPr>
          <w:color w:val="2E5395"/>
        </w:rPr>
        <w:t>de</w:t>
      </w:r>
      <w:r>
        <w:rPr>
          <w:color w:val="2E5395"/>
          <w:spacing w:val="-7"/>
        </w:rPr>
        <w:t> </w:t>
      </w:r>
      <w:r>
        <w:rPr>
          <w:color w:val="2E5395"/>
        </w:rPr>
        <w:t>los</w:t>
      </w:r>
      <w:r>
        <w:rPr>
          <w:color w:val="2E5395"/>
          <w:spacing w:val="-7"/>
        </w:rPr>
        <w:t> </w:t>
      </w:r>
      <w:r>
        <w:rPr>
          <w:color w:val="2E5395"/>
        </w:rPr>
        <w:t>servicios</w:t>
      </w:r>
      <w:r>
        <w:rPr>
          <w:color w:val="2E5395"/>
          <w:spacing w:val="-6"/>
        </w:rPr>
        <w:t> </w:t>
      </w:r>
      <w:r>
        <w:rPr>
          <w:color w:val="2E5395"/>
        </w:rPr>
        <w:t>con</w:t>
      </w:r>
      <w:r>
        <w:rPr>
          <w:color w:val="2E5395"/>
          <w:spacing w:val="1"/>
        </w:rPr>
        <w:t> </w:t>
      </w:r>
      <w:r>
        <w:rPr>
          <w:color w:val="2E5395"/>
          <w:spacing w:val="-2"/>
        </w:rPr>
        <w:t>alerta</w:t>
      </w:r>
    </w:p>
    <w:p>
      <w:pPr>
        <w:pStyle w:val="BodyText"/>
        <w:spacing w:before="21"/>
        <w:rPr>
          <w:sz w:val="26"/>
        </w:rPr>
      </w:pPr>
    </w:p>
    <w:p>
      <w:pPr>
        <w:pStyle w:val="BodyText"/>
        <w:ind w:left="143"/>
      </w:pPr>
      <w:bookmarkStart w:name="_bookmark14" w:id="15"/>
      <w:bookmarkEnd w:id="15"/>
      <w:r>
        <w:rPr/>
      </w:r>
      <w:r>
        <w:rPr>
          <w:color w:val="1F3762"/>
        </w:rPr>
        <w:t>Análisis</w:t>
      </w:r>
      <w:r>
        <w:rPr>
          <w:color w:val="1F3762"/>
          <w:spacing w:val="-1"/>
        </w:rPr>
        <w:t> </w:t>
      </w:r>
      <w:r>
        <w:rPr>
          <w:color w:val="1F3762"/>
        </w:rPr>
        <w:t>de</w:t>
      </w:r>
      <w:r>
        <w:rPr>
          <w:color w:val="1F3762"/>
          <w:spacing w:val="-2"/>
        </w:rPr>
        <w:t> </w:t>
      </w:r>
      <w:r>
        <w:rPr>
          <w:color w:val="1F3762"/>
        </w:rPr>
        <w:t>servicios</w:t>
      </w:r>
      <w:r>
        <w:rPr>
          <w:color w:val="1F3762"/>
          <w:spacing w:val="-3"/>
        </w:rPr>
        <w:t> </w:t>
      </w:r>
      <w:r>
        <w:rPr>
          <w:color w:val="1F3762"/>
        </w:rPr>
        <w:t>que</w:t>
      </w:r>
      <w:r>
        <w:rPr>
          <w:color w:val="1F3762"/>
          <w:spacing w:val="-1"/>
        </w:rPr>
        <w:t> </w:t>
      </w:r>
      <w:r>
        <w:rPr>
          <w:color w:val="1F3762"/>
        </w:rPr>
        <w:t>presentaron</w:t>
      </w:r>
      <w:r>
        <w:rPr>
          <w:color w:val="1F3762"/>
          <w:spacing w:val="-2"/>
        </w:rPr>
        <w:t> </w:t>
      </w:r>
      <w:r>
        <w:rPr>
          <w:color w:val="1F3762"/>
        </w:rPr>
        <w:t>posible</w:t>
      </w:r>
      <w:r>
        <w:rPr>
          <w:color w:val="1F3762"/>
          <w:spacing w:val="-2"/>
        </w:rPr>
        <w:t> </w:t>
      </w:r>
      <w:r>
        <w:rPr>
          <w:color w:val="1F3762"/>
        </w:rPr>
        <w:t>falla</w:t>
      </w:r>
      <w:r>
        <w:rPr>
          <w:color w:val="1F3762"/>
          <w:spacing w:val="-1"/>
        </w:rPr>
        <w:t> </w:t>
      </w:r>
      <w:r>
        <w:rPr>
          <w:color w:val="1F3762"/>
        </w:rPr>
        <w:t>de</w:t>
      </w:r>
      <w:r>
        <w:rPr>
          <w:color w:val="1F3762"/>
          <w:spacing w:val="-2"/>
        </w:rPr>
        <w:t> planeación</w:t>
      </w:r>
    </w:p>
    <w:p>
      <w:pPr>
        <w:pStyle w:val="BodyText"/>
        <w:spacing w:before="41"/>
      </w:pPr>
    </w:p>
    <w:p>
      <w:pPr>
        <w:pStyle w:val="BodyText"/>
        <w:spacing w:line="307" w:lineRule="auto"/>
        <w:ind w:left="143" w:right="705"/>
        <w:jc w:val="both"/>
      </w:pPr>
      <w:r>
        <w:rPr/>
        <w:t>La posible falla de planeación es un indicativo de que la meta programada del indicador no habría sido bien definida, o que, las condiciones en las que se presta el servicio cambiaron durante su implementación, alterando su comportamiento. En ese sentido, es necesario responder a la siguiente pregunta:</w:t>
      </w:r>
      <w:r>
        <w:rPr>
          <w:spacing w:val="-3"/>
        </w:rPr>
        <w:t> </w:t>
      </w:r>
      <w:r>
        <w:rPr/>
        <w:t>¿qué</w:t>
      </w:r>
      <w:r>
        <w:rPr>
          <w:spacing w:val="-3"/>
        </w:rPr>
        <w:t> </w:t>
      </w:r>
      <w:r>
        <w:rPr/>
        <w:t>estaría</w:t>
      </w:r>
      <w:r>
        <w:rPr>
          <w:spacing w:val="-6"/>
        </w:rPr>
        <w:t> </w:t>
      </w:r>
      <w:r>
        <w:rPr/>
        <w:t>causando</w:t>
      </w:r>
      <w:r>
        <w:rPr>
          <w:spacing w:val="-3"/>
        </w:rPr>
        <w:t> </w:t>
      </w:r>
      <w:r>
        <w:rPr/>
        <w:t>la</w:t>
      </w:r>
      <w:r>
        <w:rPr>
          <w:spacing w:val="-6"/>
        </w:rPr>
        <w:t> </w:t>
      </w:r>
      <w:r>
        <w:rPr/>
        <w:t>posible</w:t>
      </w:r>
      <w:r>
        <w:rPr>
          <w:spacing w:val="-3"/>
        </w:rPr>
        <w:t> </w:t>
      </w:r>
      <w:r>
        <w:rPr/>
        <w:t>falla</w:t>
      </w:r>
      <w:r>
        <w:rPr>
          <w:spacing w:val="-3"/>
        </w:rPr>
        <w:t> </w:t>
      </w:r>
      <w:r>
        <w:rPr/>
        <w:t>de</w:t>
      </w:r>
      <w:r>
        <w:rPr>
          <w:spacing w:val="-5"/>
        </w:rPr>
        <w:t> </w:t>
      </w:r>
      <w:r>
        <w:rPr/>
        <w:t>planeación?;</w:t>
      </w:r>
      <w:r>
        <w:rPr>
          <w:spacing w:val="-3"/>
        </w:rPr>
        <w:t> </w:t>
      </w:r>
      <w:r>
        <w:rPr/>
        <w:t>para</w:t>
      </w:r>
      <w:r>
        <w:rPr>
          <w:spacing w:val="-3"/>
        </w:rPr>
        <w:t> </w:t>
      </w:r>
      <w:r>
        <w:rPr/>
        <w:t>lo</w:t>
      </w:r>
      <w:r>
        <w:rPr>
          <w:spacing w:val="-3"/>
        </w:rPr>
        <w:t> </w:t>
      </w:r>
      <w:r>
        <w:rPr/>
        <w:t>cual</w:t>
      </w:r>
      <w:r>
        <w:rPr>
          <w:spacing w:val="-3"/>
        </w:rPr>
        <w:t> </w:t>
      </w:r>
      <w:r>
        <w:rPr/>
        <w:t>se analizará</w:t>
      </w:r>
      <w:r>
        <w:rPr>
          <w:spacing w:val="-13"/>
        </w:rPr>
        <w:t> </w:t>
      </w:r>
      <w:r>
        <w:rPr/>
        <w:t>el</w:t>
      </w:r>
      <w:r>
        <w:rPr>
          <w:spacing w:val="-12"/>
        </w:rPr>
        <w:t> </w:t>
      </w:r>
      <w:r>
        <w:rPr/>
        <w:t>cálculo</w:t>
      </w:r>
      <w:r>
        <w:rPr>
          <w:spacing w:val="-12"/>
        </w:rPr>
        <w:t> </w:t>
      </w:r>
      <w:r>
        <w:rPr/>
        <w:t>y</w:t>
      </w:r>
      <w:r>
        <w:rPr>
          <w:spacing w:val="-13"/>
        </w:rPr>
        <w:t> </w:t>
      </w:r>
      <w:r>
        <w:rPr/>
        <w:t>ficha</w:t>
      </w:r>
      <w:r>
        <w:rPr>
          <w:spacing w:val="-13"/>
        </w:rPr>
        <w:t> </w:t>
      </w:r>
      <w:r>
        <w:rPr/>
        <w:t>del</w:t>
      </w:r>
      <w:r>
        <w:rPr>
          <w:spacing w:val="-12"/>
        </w:rPr>
        <w:t> </w:t>
      </w:r>
      <w:r>
        <w:rPr/>
        <w:t>indicador,</w:t>
      </w:r>
      <w:r>
        <w:rPr>
          <w:spacing w:val="-12"/>
        </w:rPr>
        <w:t> </w:t>
      </w:r>
      <w:r>
        <w:rPr/>
        <w:t>las</w:t>
      </w:r>
      <w:r>
        <w:rPr>
          <w:spacing w:val="-12"/>
        </w:rPr>
        <w:t> </w:t>
      </w:r>
      <w:r>
        <w:rPr/>
        <w:t>metas</w:t>
      </w:r>
      <w:r>
        <w:rPr>
          <w:spacing w:val="-12"/>
        </w:rPr>
        <w:t> </w:t>
      </w:r>
      <w:r>
        <w:rPr/>
        <w:t>programadas</w:t>
      </w:r>
      <w:r>
        <w:rPr>
          <w:spacing w:val="-11"/>
        </w:rPr>
        <w:t> </w:t>
      </w:r>
      <w:r>
        <w:rPr/>
        <w:t>y</w:t>
      </w:r>
      <w:r>
        <w:rPr>
          <w:spacing w:val="-13"/>
        </w:rPr>
        <w:t> </w:t>
      </w:r>
      <w:r>
        <w:rPr/>
        <w:t>la</w:t>
      </w:r>
      <w:r>
        <w:rPr>
          <w:spacing w:val="-13"/>
        </w:rPr>
        <w:t> </w:t>
      </w:r>
      <w:r>
        <w:rPr/>
        <w:t>información cualitativa reportada por el servicio.</w:t>
      </w:r>
    </w:p>
    <w:p>
      <w:pPr>
        <w:pStyle w:val="ListParagraph"/>
        <w:numPr>
          <w:ilvl w:val="2"/>
          <w:numId w:val="3"/>
        </w:numPr>
        <w:tabs>
          <w:tab w:pos="1222" w:val="left" w:leader="none"/>
        </w:tabs>
        <w:spacing w:line="307" w:lineRule="auto" w:before="156" w:after="0"/>
        <w:ind w:left="1222" w:right="711" w:hanging="720"/>
        <w:jc w:val="both"/>
        <w:rPr>
          <w:sz w:val="24"/>
        </w:rPr>
      </w:pPr>
      <w:r>
        <w:rPr>
          <w:color w:val="2E5395"/>
          <w:sz w:val="24"/>
        </w:rPr>
        <w:t>01.01.08 Atención, orientación, asistencia legal y psicológica, intercultural, accesible, oportuna, efectiva, disponible y de calidad, a víctimas de acoso sexual laboral.</w:t>
      </w:r>
    </w:p>
    <w:p>
      <w:pPr>
        <w:pStyle w:val="BodyText"/>
        <w:spacing w:before="78"/>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Descripción</w:t>
      </w:r>
      <w:r>
        <w:rPr>
          <w:rFonts w:ascii="Arial" w:hAnsi="Arial"/>
          <w:i/>
          <w:spacing w:val="15"/>
          <w:sz w:val="24"/>
        </w:rPr>
        <w:t> </w:t>
      </w:r>
      <w:r>
        <w:rPr>
          <w:rFonts w:ascii="Arial" w:hAnsi="Arial"/>
          <w:i/>
          <w:w w:val="90"/>
          <w:sz w:val="24"/>
        </w:rPr>
        <w:t>del</w:t>
      </w:r>
      <w:r>
        <w:rPr>
          <w:rFonts w:ascii="Arial" w:hAnsi="Arial"/>
          <w:i/>
          <w:spacing w:val="18"/>
          <w:sz w:val="24"/>
        </w:rPr>
        <w:t> </w:t>
      </w:r>
      <w:r>
        <w:rPr>
          <w:rFonts w:ascii="Arial" w:hAnsi="Arial"/>
          <w:i/>
          <w:spacing w:val="-2"/>
          <w:w w:val="90"/>
          <w:sz w:val="24"/>
        </w:rPr>
        <w:t>servicio</w:t>
      </w:r>
    </w:p>
    <w:p>
      <w:pPr>
        <w:pStyle w:val="BodyText"/>
        <w:spacing w:line="307" w:lineRule="auto" w:before="234"/>
        <w:ind w:left="143" w:right="704"/>
        <w:jc w:val="both"/>
      </w:pPr>
      <w:r>
        <w:rPr/>
        <w:t>El servicio está dedicado a ofrecer orientación para la presentación de denuncias por hostigamiento sexual laboral en el sector público, así como a proporcionar asistencia en el proceso de investigación y en la obtención de información relacionada. Este servicio se brinda de manera presencial y virtual (telefonía, plataformas digitales o correo electrónico) siendo SERVIR el responsable y proveedor del mismo.</w:t>
      </w:r>
    </w:p>
    <w:p>
      <w:pPr>
        <w:pStyle w:val="BodyText"/>
        <w:spacing w:line="307" w:lineRule="auto" w:before="156"/>
        <w:ind w:left="143" w:right="704"/>
        <w:jc w:val="both"/>
      </w:pPr>
      <w:r>
        <w:rPr/>
        <w:t>En</w:t>
      </w:r>
      <w:r>
        <w:rPr>
          <w:spacing w:val="-14"/>
        </w:rPr>
        <w:t> </w:t>
      </w:r>
      <w:r>
        <w:rPr/>
        <w:t>el</w:t>
      </w:r>
      <w:r>
        <w:rPr>
          <w:spacing w:val="-13"/>
        </w:rPr>
        <w:t> </w:t>
      </w:r>
      <w:r>
        <w:rPr/>
        <w:t>marco</w:t>
      </w:r>
      <w:r>
        <w:rPr>
          <w:spacing w:val="-13"/>
        </w:rPr>
        <w:t> </w:t>
      </w:r>
      <w:r>
        <w:rPr/>
        <w:t>de</w:t>
      </w:r>
      <w:r>
        <w:rPr>
          <w:spacing w:val="-14"/>
        </w:rPr>
        <w:t> </w:t>
      </w:r>
      <w:r>
        <w:rPr/>
        <w:t>la</w:t>
      </w:r>
      <w:r>
        <w:rPr>
          <w:spacing w:val="-14"/>
        </w:rPr>
        <w:t> </w:t>
      </w:r>
      <w:r>
        <w:rPr/>
        <w:t>política,</w:t>
      </w:r>
      <w:r>
        <w:rPr>
          <w:spacing w:val="-13"/>
        </w:rPr>
        <w:t> </w:t>
      </w:r>
      <w:r>
        <w:rPr/>
        <w:t>la</w:t>
      </w:r>
      <w:r>
        <w:rPr>
          <w:spacing w:val="-14"/>
        </w:rPr>
        <w:t> </w:t>
      </w:r>
      <w:r>
        <w:rPr/>
        <w:t>eficacia</w:t>
      </w:r>
      <w:r>
        <w:rPr>
          <w:spacing w:val="-14"/>
        </w:rPr>
        <w:t> </w:t>
      </w:r>
      <w:r>
        <w:rPr/>
        <w:t>del</w:t>
      </w:r>
      <w:r>
        <w:rPr>
          <w:spacing w:val="-13"/>
        </w:rPr>
        <w:t> </w:t>
      </w:r>
      <w:r>
        <w:rPr/>
        <w:t>servicio</w:t>
      </w:r>
      <w:r>
        <w:rPr>
          <w:spacing w:val="-13"/>
        </w:rPr>
        <w:t> </w:t>
      </w:r>
      <w:r>
        <w:rPr/>
        <w:t>se</w:t>
      </w:r>
      <w:r>
        <w:rPr>
          <w:spacing w:val="-14"/>
        </w:rPr>
        <w:t> </w:t>
      </w:r>
      <w:r>
        <w:rPr/>
        <w:t>mide</w:t>
      </w:r>
      <w:r>
        <w:rPr>
          <w:spacing w:val="-14"/>
        </w:rPr>
        <w:t> </w:t>
      </w:r>
      <w:r>
        <w:rPr/>
        <w:t>a</w:t>
      </w:r>
      <w:r>
        <w:rPr>
          <w:spacing w:val="-14"/>
        </w:rPr>
        <w:t> </w:t>
      </w:r>
      <w:r>
        <w:rPr/>
        <w:t>través</w:t>
      </w:r>
      <w:r>
        <w:rPr>
          <w:spacing w:val="-13"/>
        </w:rPr>
        <w:t> </w:t>
      </w:r>
      <w:r>
        <w:rPr/>
        <w:t>del</w:t>
      </w:r>
      <w:r>
        <w:rPr>
          <w:spacing w:val="-13"/>
        </w:rPr>
        <w:t> </w:t>
      </w:r>
      <w:r>
        <w:rPr/>
        <w:t>“Porcentaje de</w:t>
      </w:r>
      <w:r>
        <w:rPr>
          <w:spacing w:val="-8"/>
        </w:rPr>
        <w:t> </w:t>
      </w:r>
      <w:r>
        <w:rPr/>
        <w:t>víctimas</w:t>
      </w:r>
      <w:r>
        <w:rPr>
          <w:spacing w:val="-11"/>
        </w:rPr>
        <w:t> </w:t>
      </w:r>
      <w:r>
        <w:rPr/>
        <w:t>de</w:t>
      </w:r>
      <w:r>
        <w:rPr>
          <w:spacing w:val="-8"/>
        </w:rPr>
        <w:t> </w:t>
      </w:r>
      <w:r>
        <w:rPr/>
        <w:t>hostigamiento</w:t>
      </w:r>
      <w:r>
        <w:rPr>
          <w:spacing w:val="-8"/>
        </w:rPr>
        <w:t> </w:t>
      </w:r>
      <w:r>
        <w:rPr/>
        <w:t>sexual</w:t>
      </w:r>
      <w:r>
        <w:rPr>
          <w:spacing w:val="-8"/>
        </w:rPr>
        <w:t> </w:t>
      </w:r>
      <w:r>
        <w:rPr/>
        <w:t>laboral</w:t>
      </w:r>
      <w:r>
        <w:rPr>
          <w:spacing w:val="-8"/>
        </w:rPr>
        <w:t> </w:t>
      </w:r>
      <w:r>
        <w:rPr/>
        <w:t>atendidos/as”</w:t>
      </w:r>
      <w:r>
        <w:rPr>
          <w:spacing w:val="-5"/>
        </w:rPr>
        <w:t> </w:t>
      </w:r>
      <w:r>
        <w:rPr/>
        <w:t>y</w:t>
      </w:r>
      <w:r>
        <w:rPr>
          <w:spacing w:val="-10"/>
        </w:rPr>
        <w:t> </w:t>
      </w:r>
      <w:r>
        <w:rPr/>
        <w:t>su</w:t>
      </w:r>
      <w:r>
        <w:rPr>
          <w:spacing w:val="-10"/>
        </w:rPr>
        <w:t> </w:t>
      </w:r>
      <w:r>
        <w:rPr/>
        <w:t>calidad</w:t>
      </w:r>
      <w:r>
        <w:rPr>
          <w:spacing w:val="-8"/>
        </w:rPr>
        <w:t> </w:t>
      </w:r>
      <w:r>
        <w:rPr/>
        <w:t>mediante el indicador “Porcentaje de víctimas de hostigamiento sexual laboral atendidas de manera oportuna”</w:t>
      </w:r>
    </w:p>
    <w:p>
      <w:pPr>
        <w:pStyle w:val="ListParagraph"/>
        <w:numPr>
          <w:ilvl w:val="3"/>
          <w:numId w:val="3"/>
        </w:numPr>
        <w:tabs>
          <w:tab w:pos="862" w:val="left" w:leader="none"/>
        </w:tabs>
        <w:spacing w:line="240" w:lineRule="auto" w:before="162"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7" w:lineRule="auto" w:before="232"/>
        <w:ind w:left="862" w:right="702"/>
        <w:jc w:val="both"/>
      </w:pPr>
      <w:r>
        <w:rPr>
          <w:w w:val="105"/>
          <w:u w:val="single"/>
        </w:rPr>
        <w:t>Análisis</w:t>
      </w:r>
      <w:r>
        <w:rPr>
          <w:spacing w:val="-6"/>
          <w:w w:val="105"/>
          <w:u w:val="single"/>
        </w:rPr>
        <w:t> </w:t>
      </w:r>
      <w:r>
        <w:rPr>
          <w:w w:val="105"/>
          <w:u w:val="single"/>
        </w:rPr>
        <w:t>de</w:t>
      </w:r>
      <w:r>
        <w:rPr>
          <w:spacing w:val="-6"/>
          <w:w w:val="105"/>
          <w:u w:val="single"/>
        </w:rPr>
        <w:t> </w:t>
      </w:r>
      <w:r>
        <w:rPr>
          <w:w w:val="105"/>
          <w:u w:val="single"/>
        </w:rPr>
        <w:t>eficacia:</w:t>
      </w:r>
      <w:r>
        <w:rPr>
          <w:spacing w:val="-8"/>
          <w:w w:val="105"/>
          <w:u w:val="single"/>
        </w:rPr>
        <w:t> </w:t>
      </w:r>
      <w:r>
        <w:rPr>
          <w:w w:val="105"/>
        </w:rPr>
        <w:t>Para</w:t>
      </w:r>
      <w:r>
        <w:rPr>
          <w:spacing w:val="-4"/>
          <w:w w:val="105"/>
        </w:rPr>
        <w:t> </w:t>
      </w:r>
      <w:r>
        <w:rPr>
          <w:w w:val="105"/>
        </w:rPr>
        <w:t>el</w:t>
      </w:r>
      <w:r>
        <w:rPr>
          <w:spacing w:val="-5"/>
          <w:w w:val="105"/>
        </w:rPr>
        <w:t> </w:t>
      </w:r>
      <w:r>
        <w:rPr>
          <w:w w:val="105"/>
        </w:rPr>
        <w:t>año</w:t>
      </w:r>
      <w:r>
        <w:rPr>
          <w:spacing w:val="-3"/>
          <w:w w:val="105"/>
        </w:rPr>
        <w:t> </w:t>
      </w:r>
      <w:r>
        <w:rPr>
          <w:w w:val="105"/>
        </w:rPr>
        <w:t>2023,</w:t>
      </w:r>
      <w:r>
        <w:rPr>
          <w:spacing w:val="-3"/>
          <w:w w:val="105"/>
        </w:rPr>
        <w:t> </w:t>
      </w:r>
      <w:r>
        <w:rPr>
          <w:w w:val="105"/>
        </w:rPr>
        <w:t>el</w:t>
      </w:r>
      <w:r>
        <w:rPr>
          <w:spacing w:val="-5"/>
          <w:w w:val="105"/>
        </w:rPr>
        <w:t> </w:t>
      </w:r>
      <w:r>
        <w:rPr>
          <w:w w:val="105"/>
        </w:rPr>
        <w:t>servicio</w:t>
      </w:r>
      <w:r>
        <w:rPr>
          <w:spacing w:val="-3"/>
          <w:w w:val="105"/>
        </w:rPr>
        <w:t> </w:t>
      </w:r>
      <w:r>
        <w:rPr>
          <w:w w:val="105"/>
        </w:rPr>
        <w:t>brindo</w:t>
      </w:r>
      <w:r>
        <w:rPr>
          <w:spacing w:val="-5"/>
          <w:w w:val="105"/>
        </w:rPr>
        <w:t> </w:t>
      </w:r>
      <w:r>
        <w:rPr>
          <w:w w:val="105"/>
        </w:rPr>
        <w:t>orientación</w:t>
      </w:r>
      <w:r>
        <w:rPr>
          <w:spacing w:val="-6"/>
          <w:w w:val="105"/>
        </w:rPr>
        <w:t> </w:t>
      </w:r>
      <w:r>
        <w:rPr>
          <w:w w:val="105"/>
        </w:rPr>
        <w:t>al </w:t>
      </w:r>
      <w:r>
        <w:rPr/>
        <w:t>100% de víctimas de hostigamiento sexual laboral, con lo cual se obtuvo un</w:t>
      </w:r>
      <w:r>
        <w:rPr>
          <w:spacing w:val="-12"/>
        </w:rPr>
        <w:t> </w:t>
      </w:r>
      <w:r>
        <w:rPr/>
        <w:t>nivel</w:t>
      </w:r>
      <w:r>
        <w:rPr>
          <w:spacing w:val="-14"/>
        </w:rPr>
        <w:t> </w:t>
      </w:r>
      <w:r>
        <w:rPr/>
        <w:t>de</w:t>
      </w:r>
      <w:r>
        <w:rPr>
          <w:spacing w:val="-10"/>
        </w:rPr>
        <w:t> </w:t>
      </w:r>
      <w:r>
        <w:rPr/>
        <w:t>avance</w:t>
      </w:r>
      <w:r>
        <w:rPr>
          <w:spacing w:val="-15"/>
        </w:rPr>
        <w:t> </w:t>
      </w:r>
      <w:r>
        <w:rPr/>
        <w:t>del</w:t>
      </w:r>
      <w:r>
        <w:rPr>
          <w:spacing w:val="-15"/>
        </w:rPr>
        <w:t> </w:t>
      </w:r>
      <w:r>
        <w:rPr/>
        <w:t>250.0</w:t>
      </w:r>
      <w:r>
        <w:rPr>
          <w:spacing w:val="-10"/>
        </w:rPr>
        <w:t> </w:t>
      </w:r>
      <w:r>
        <w:rPr/>
        <w:t>%,</w:t>
      </w:r>
      <w:r>
        <w:rPr>
          <w:spacing w:val="-13"/>
        </w:rPr>
        <w:t> </w:t>
      </w:r>
      <w:r>
        <w:rPr/>
        <w:t>superando</w:t>
      </w:r>
      <w:r>
        <w:rPr>
          <w:spacing w:val="-13"/>
        </w:rPr>
        <w:t> </w:t>
      </w:r>
      <w:r>
        <w:rPr/>
        <w:t>lo</w:t>
      </w:r>
      <w:r>
        <w:rPr>
          <w:spacing w:val="-14"/>
        </w:rPr>
        <w:t> </w:t>
      </w:r>
      <w:r>
        <w:rPr/>
        <w:t>programado</w:t>
      </w:r>
      <w:r>
        <w:rPr>
          <w:spacing w:val="-12"/>
        </w:rPr>
        <w:t> </w:t>
      </w:r>
      <w:r>
        <w:rPr/>
        <w:t>para</w:t>
      </w:r>
      <w:r>
        <w:rPr>
          <w:spacing w:val="-14"/>
        </w:rPr>
        <w:t> </w:t>
      </w:r>
      <w:r>
        <w:rPr/>
        <w:t>dicho</w:t>
      </w:r>
      <w:r>
        <w:rPr>
          <w:spacing w:val="-11"/>
        </w:rPr>
        <w:t> </w:t>
      </w:r>
      <w:r>
        <w:rPr>
          <w:spacing w:val="-5"/>
        </w:rPr>
        <w:t>año</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862" w:right="712"/>
        <w:jc w:val="both"/>
      </w:pPr>
      <w:r>
        <w:rPr>
          <w:spacing w:val="-2"/>
        </w:rPr>
        <w:t>(40.0</w:t>
      </w:r>
      <w:r>
        <w:rPr>
          <w:spacing w:val="-12"/>
        </w:rPr>
        <w:t> </w:t>
      </w:r>
      <w:r>
        <w:rPr>
          <w:spacing w:val="-2"/>
        </w:rPr>
        <w:t>%).</w:t>
      </w:r>
      <w:r>
        <w:rPr>
          <w:spacing w:val="-12"/>
        </w:rPr>
        <w:t> </w:t>
      </w:r>
      <w:r>
        <w:rPr>
          <w:spacing w:val="-2"/>
        </w:rPr>
        <w:t>El</w:t>
      </w:r>
      <w:r>
        <w:rPr>
          <w:spacing w:val="-11"/>
        </w:rPr>
        <w:t> </w:t>
      </w:r>
      <w:r>
        <w:rPr>
          <w:spacing w:val="-2"/>
        </w:rPr>
        <w:t>resultado,</w:t>
      </w:r>
      <w:r>
        <w:rPr>
          <w:spacing w:val="-13"/>
        </w:rPr>
        <w:t> </w:t>
      </w:r>
      <w:r>
        <w:rPr>
          <w:spacing w:val="-2"/>
        </w:rPr>
        <w:t>como</w:t>
      </w:r>
      <w:r>
        <w:rPr>
          <w:spacing w:val="-11"/>
        </w:rPr>
        <w:t> </w:t>
      </w:r>
      <w:r>
        <w:rPr>
          <w:spacing w:val="-2"/>
        </w:rPr>
        <w:t>se</w:t>
      </w:r>
      <w:r>
        <w:rPr>
          <w:spacing w:val="-11"/>
        </w:rPr>
        <w:t> </w:t>
      </w:r>
      <w:r>
        <w:rPr>
          <w:spacing w:val="-2"/>
        </w:rPr>
        <w:t>estableció</w:t>
      </w:r>
      <w:r>
        <w:rPr>
          <w:spacing w:val="-11"/>
        </w:rPr>
        <w:t> </w:t>
      </w:r>
      <w:r>
        <w:rPr>
          <w:spacing w:val="-2"/>
        </w:rPr>
        <w:t>en</w:t>
      </w:r>
      <w:r>
        <w:rPr>
          <w:spacing w:val="-11"/>
        </w:rPr>
        <w:t> </w:t>
      </w:r>
      <w:r>
        <w:rPr>
          <w:spacing w:val="-2"/>
        </w:rPr>
        <w:t>la</w:t>
      </w:r>
      <w:r>
        <w:rPr>
          <w:spacing w:val="-12"/>
        </w:rPr>
        <w:t> </w:t>
      </w:r>
      <w:r>
        <w:rPr>
          <w:spacing w:val="-2"/>
        </w:rPr>
        <w:t>sección</w:t>
      </w:r>
      <w:r>
        <w:rPr>
          <w:spacing w:val="-12"/>
        </w:rPr>
        <w:t> </w:t>
      </w:r>
      <w:r>
        <w:rPr>
          <w:spacing w:val="-2"/>
        </w:rPr>
        <w:t>de</w:t>
      </w:r>
      <w:r>
        <w:rPr>
          <w:spacing w:val="-11"/>
        </w:rPr>
        <w:t> </w:t>
      </w:r>
      <w:r>
        <w:rPr>
          <w:spacing w:val="-2"/>
        </w:rPr>
        <w:t>la</w:t>
      </w:r>
      <w:r>
        <w:rPr>
          <w:spacing w:val="-12"/>
        </w:rPr>
        <w:t> </w:t>
      </w:r>
      <w:r>
        <w:rPr>
          <w:spacing w:val="-2"/>
        </w:rPr>
        <w:t>metodología, </w:t>
      </w:r>
      <w:r>
        <w:rPr/>
        <w:t>es un indicativo de una posible falla de planeación del indicador, la cual será verificada a través de un análisis mixto.</w:t>
      </w:r>
    </w:p>
    <w:p>
      <w:pPr>
        <w:spacing w:before="154"/>
        <w:ind w:left="1371" w:right="0" w:firstLine="0"/>
        <w:jc w:val="both"/>
        <w:rPr>
          <w:sz w:val="22"/>
        </w:rPr>
      </w:pPr>
      <w:r>
        <w:rPr>
          <w:color w:val="44536A"/>
          <w:sz w:val="22"/>
        </w:rPr>
        <w:t>Tabla</w:t>
      </w:r>
      <w:r>
        <w:rPr>
          <w:color w:val="44536A"/>
          <w:spacing w:val="-9"/>
          <w:sz w:val="22"/>
        </w:rPr>
        <w:t> </w:t>
      </w:r>
      <w:r>
        <w:rPr>
          <w:color w:val="44536A"/>
          <w:sz w:val="22"/>
        </w:rPr>
        <w:t>2</w:t>
      </w:r>
      <w:r>
        <w:rPr>
          <w:color w:val="44536A"/>
          <w:sz w:val="18"/>
        </w:rPr>
        <w:t>.</w:t>
      </w:r>
      <w:r>
        <w:rPr>
          <w:color w:val="44536A"/>
          <w:spacing w:val="-7"/>
          <w:sz w:val="18"/>
        </w:rPr>
        <w:t> </w:t>
      </w:r>
      <w:r>
        <w:rPr>
          <w:color w:val="44536A"/>
          <w:sz w:val="22"/>
        </w:rPr>
        <w:t>Análisis</w:t>
      </w:r>
      <w:r>
        <w:rPr>
          <w:color w:val="44536A"/>
          <w:spacing w:val="-9"/>
          <w:sz w:val="22"/>
        </w:rPr>
        <w:t> </w:t>
      </w:r>
      <w:r>
        <w:rPr>
          <w:color w:val="44536A"/>
          <w:sz w:val="22"/>
        </w:rPr>
        <w:t>del</w:t>
      </w:r>
      <w:r>
        <w:rPr>
          <w:color w:val="44536A"/>
          <w:spacing w:val="-12"/>
          <w:sz w:val="22"/>
        </w:rPr>
        <w:t> </w:t>
      </w:r>
      <w:r>
        <w:rPr>
          <w:color w:val="44536A"/>
          <w:sz w:val="22"/>
        </w:rPr>
        <w:t>indicador</w:t>
      </w:r>
      <w:r>
        <w:rPr>
          <w:color w:val="44536A"/>
          <w:spacing w:val="-11"/>
          <w:sz w:val="22"/>
        </w:rPr>
        <w:t> </w:t>
      </w:r>
      <w:r>
        <w:rPr>
          <w:color w:val="44536A"/>
          <w:sz w:val="22"/>
        </w:rPr>
        <w:t>de</w:t>
      </w:r>
      <w:r>
        <w:rPr>
          <w:color w:val="44536A"/>
          <w:spacing w:val="-11"/>
          <w:sz w:val="22"/>
        </w:rPr>
        <w:t> </w:t>
      </w:r>
      <w:r>
        <w:rPr>
          <w:color w:val="44536A"/>
          <w:sz w:val="22"/>
        </w:rPr>
        <w:t>eficacia</w:t>
      </w:r>
      <w:r>
        <w:rPr>
          <w:color w:val="44536A"/>
          <w:spacing w:val="-10"/>
          <w:sz w:val="22"/>
        </w:rPr>
        <w:t> </w:t>
      </w:r>
      <w:r>
        <w:rPr>
          <w:color w:val="44536A"/>
          <w:sz w:val="22"/>
        </w:rPr>
        <w:t>del</w:t>
      </w:r>
      <w:r>
        <w:rPr>
          <w:color w:val="44536A"/>
          <w:spacing w:val="-12"/>
          <w:sz w:val="22"/>
        </w:rPr>
        <w:t> </w:t>
      </w:r>
      <w:r>
        <w:rPr>
          <w:color w:val="44536A"/>
          <w:sz w:val="22"/>
        </w:rPr>
        <w:t>servicio</w:t>
      </w:r>
      <w:r>
        <w:rPr>
          <w:color w:val="44536A"/>
          <w:spacing w:val="-11"/>
          <w:sz w:val="22"/>
        </w:rPr>
        <w:t> </w:t>
      </w:r>
      <w:r>
        <w:rPr>
          <w:color w:val="44536A"/>
          <w:spacing w:val="-2"/>
          <w:sz w:val="22"/>
        </w:rPr>
        <w:t>01.01.08</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56"/>
        <w:gridCol w:w="958"/>
        <w:gridCol w:w="908"/>
        <w:gridCol w:w="797"/>
        <w:gridCol w:w="797"/>
        <w:gridCol w:w="797"/>
        <w:gridCol w:w="797"/>
        <w:gridCol w:w="797"/>
        <w:gridCol w:w="798"/>
        <w:gridCol w:w="797"/>
      </w:tblGrid>
      <w:tr>
        <w:trPr>
          <w:trHeight w:val="510" w:hRule="atLeast"/>
        </w:trPr>
        <w:tc>
          <w:tcPr>
            <w:tcW w:w="1056" w:type="dxa"/>
            <w:shd w:val="clear" w:color="auto" w:fill="44536A"/>
          </w:tcPr>
          <w:p>
            <w:pPr>
              <w:pStyle w:val="TableParagraph"/>
              <w:spacing w:before="166"/>
              <w:ind w:left="7" w:right="3"/>
              <w:jc w:val="center"/>
              <w:rPr>
                <w:sz w:val="16"/>
              </w:rPr>
            </w:pPr>
            <w:r>
              <w:rPr>
                <w:color w:val="FFFFFF"/>
                <w:spacing w:val="-5"/>
                <w:sz w:val="16"/>
              </w:rPr>
              <w:t>OP</w:t>
            </w:r>
          </w:p>
        </w:tc>
        <w:tc>
          <w:tcPr>
            <w:tcW w:w="7446" w:type="dxa"/>
            <w:gridSpan w:val="9"/>
          </w:tcPr>
          <w:p>
            <w:pPr>
              <w:pStyle w:val="TableParagraph"/>
              <w:spacing w:before="157"/>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489" w:hRule="atLeast"/>
        </w:trPr>
        <w:tc>
          <w:tcPr>
            <w:tcW w:w="1056" w:type="dxa"/>
            <w:shd w:val="clear" w:color="auto" w:fill="44536A"/>
          </w:tcPr>
          <w:p>
            <w:pPr>
              <w:pStyle w:val="TableParagraph"/>
              <w:spacing w:before="145"/>
              <w:ind w:left="215"/>
              <w:rPr>
                <w:sz w:val="18"/>
              </w:rPr>
            </w:pPr>
            <w:r>
              <w:rPr>
                <w:color w:val="FFFFFF"/>
                <w:spacing w:val="-2"/>
                <w:sz w:val="18"/>
              </w:rPr>
              <w:t>Servicio</w:t>
            </w:r>
          </w:p>
        </w:tc>
        <w:tc>
          <w:tcPr>
            <w:tcW w:w="7446" w:type="dxa"/>
            <w:gridSpan w:val="9"/>
          </w:tcPr>
          <w:p>
            <w:pPr>
              <w:pStyle w:val="TableParagraph"/>
              <w:spacing w:before="23"/>
              <w:ind w:left="69"/>
              <w:rPr>
                <w:sz w:val="18"/>
              </w:rPr>
            </w:pPr>
            <w:r>
              <w:rPr>
                <w:sz w:val="18"/>
              </w:rPr>
              <w:t>Atención,</w:t>
            </w:r>
            <w:r>
              <w:rPr>
                <w:spacing w:val="-13"/>
                <w:sz w:val="18"/>
              </w:rPr>
              <w:t> </w:t>
            </w:r>
            <w:r>
              <w:rPr>
                <w:sz w:val="18"/>
              </w:rPr>
              <w:t>orientación,</w:t>
            </w:r>
            <w:r>
              <w:rPr>
                <w:spacing w:val="-11"/>
                <w:sz w:val="18"/>
              </w:rPr>
              <w:t> </w:t>
            </w:r>
            <w:r>
              <w:rPr>
                <w:sz w:val="18"/>
              </w:rPr>
              <w:t>asistencia</w:t>
            </w:r>
            <w:r>
              <w:rPr>
                <w:spacing w:val="-10"/>
                <w:sz w:val="18"/>
              </w:rPr>
              <w:t> </w:t>
            </w:r>
            <w:r>
              <w:rPr>
                <w:sz w:val="18"/>
              </w:rPr>
              <w:t>legal</w:t>
            </w:r>
            <w:r>
              <w:rPr>
                <w:spacing w:val="-11"/>
                <w:sz w:val="18"/>
              </w:rPr>
              <w:t> </w:t>
            </w:r>
            <w:r>
              <w:rPr>
                <w:sz w:val="18"/>
              </w:rPr>
              <w:t>y</w:t>
            </w:r>
            <w:r>
              <w:rPr>
                <w:spacing w:val="-13"/>
                <w:sz w:val="18"/>
              </w:rPr>
              <w:t> </w:t>
            </w:r>
            <w:r>
              <w:rPr>
                <w:sz w:val="18"/>
              </w:rPr>
              <w:t>psicológica,</w:t>
            </w:r>
            <w:r>
              <w:rPr>
                <w:spacing w:val="-11"/>
                <w:sz w:val="18"/>
              </w:rPr>
              <w:t> </w:t>
            </w:r>
            <w:r>
              <w:rPr>
                <w:sz w:val="18"/>
              </w:rPr>
              <w:t>intercultural,</w:t>
            </w:r>
            <w:r>
              <w:rPr>
                <w:spacing w:val="-11"/>
                <w:sz w:val="18"/>
              </w:rPr>
              <w:t> </w:t>
            </w:r>
            <w:r>
              <w:rPr>
                <w:sz w:val="18"/>
              </w:rPr>
              <w:t>accesible,</w:t>
            </w:r>
            <w:r>
              <w:rPr>
                <w:spacing w:val="-11"/>
                <w:sz w:val="18"/>
              </w:rPr>
              <w:t> </w:t>
            </w:r>
            <w:r>
              <w:rPr>
                <w:spacing w:val="-2"/>
                <w:sz w:val="18"/>
              </w:rPr>
              <w:t>oportuna,</w:t>
            </w:r>
          </w:p>
          <w:p>
            <w:pPr>
              <w:pStyle w:val="TableParagraph"/>
              <w:spacing w:line="201" w:lineRule="exact" w:before="37"/>
              <w:ind w:left="69"/>
              <w:rPr>
                <w:sz w:val="18"/>
              </w:rPr>
            </w:pPr>
            <w:r>
              <w:rPr>
                <w:sz w:val="18"/>
              </w:rPr>
              <w:t>efectiva,</w:t>
            </w:r>
            <w:r>
              <w:rPr>
                <w:spacing w:val="-10"/>
                <w:sz w:val="18"/>
              </w:rPr>
              <w:t> </w:t>
            </w:r>
            <w:r>
              <w:rPr>
                <w:sz w:val="18"/>
              </w:rPr>
              <w:t>disponible</w:t>
            </w:r>
            <w:r>
              <w:rPr>
                <w:spacing w:val="-9"/>
                <w:sz w:val="18"/>
              </w:rPr>
              <w:t> </w:t>
            </w:r>
            <w:r>
              <w:rPr>
                <w:sz w:val="18"/>
              </w:rPr>
              <w:t>y</w:t>
            </w:r>
            <w:r>
              <w:rPr>
                <w:spacing w:val="-11"/>
                <w:sz w:val="18"/>
              </w:rPr>
              <w:t> </w:t>
            </w:r>
            <w:r>
              <w:rPr>
                <w:sz w:val="18"/>
              </w:rPr>
              <w:t>de</w:t>
            </w:r>
            <w:r>
              <w:rPr>
                <w:spacing w:val="-10"/>
                <w:sz w:val="18"/>
              </w:rPr>
              <w:t> </w:t>
            </w:r>
            <w:r>
              <w:rPr>
                <w:sz w:val="18"/>
              </w:rPr>
              <w:t>calidad,</w:t>
            </w:r>
            <w:r>
              <w:rPr>
                <w:spacing w:val="-9"/>
                <w:sz w:val="18"/>
              </w:rPr>
              <w:t> </w:t>
            </w:r>
            <w:r>
              <w:rPr>
                <w:sz w:val="18"/>
              </w:rPr>
              <w:t>a</w:t>
            </w:r>
            <w:r>
              <w:rPr>
                <w:spacing w:val="-10"/>
                <w:sz w:val="18"/>
              </w:rPr>
              <w:t> </w:t>
            </w:r>
            <w:r>
              <w:rPr>
                <w:sz w:val="18"/>
              </w:rPr>
              <w:t>víctimas</w:t>
            </w:r>
            <w:r>
              <w:rPr>
                <w:spacing w:val="-9"/>
                <w:sz w:val="18"/>
              </w:rPr>
              <w:t> </w:t>
            </w:r>
            <w:r>
              <w:rPr>
                <w:sz w:val="18"/>
              </w:rPr>
              <w:t>de</w:t>
            </w:r>
            <w:r>
              <w:rPr>
                <w:spacing w:val="-11"/>
                <w:sz w:val="18"/>
              </w:rPr>
              <w:t> </w:t>
            </w:r>
            <w:r>
              <w:rPr>
                <w:sz w:val="18"/>
              </w:rPr>
              <w:t>acoso</w:t>
            </w:r>
            <w:r>
              <w:rPr>
                <w:spacing w:val="-3"/>
                <w:sz w:val="18"/>
              </w:rPr>
              <w:t> </w:t>
            </w:r>
            <w:r>
              <w:rPr>
                <w:sz w:val="18"/>
              </w:rPr>
              <w:t>sexual</w:t>
            </w:r>
            <w:r>
              <w:rPr>
                <w:spacing w:val="-10"/>
                <w:sz w:val="18"/>
              </w:rPr>
              <w:t> </w:t>
            </w:r>
            <w:r>
              <w:rPr>
                <w:spacing w:val="-2"/>
                <w:sz w:val="18"/>
              </w:rPr>
              <w:t>laboral.</w:t>
            </w:r>
          </w:p>
        </w:tc>
      </w:tr>
      <w:tr>
        <w:trPr>
          <w:trHeight w:val="482" w:hRule="atLeast"/>
        </w:trPr>
        <w:tc>
          <w:tcPr>
            <w:tcW w:w="1056" w:type="dxa"/>
            <w:shd w:val="clear" w:color="auto" w:fill="44536A"/>
          </w:tcPr>
          <w:p>
            <w:pPr>
              <w:pStyle w:val="TableParagraph"/>
              <w:spacing w:before="140"/>
              <w:ind w:left="143"/>
              <w:rPr>
                <w:sz w:val="18"/>
              </w:rPr>
            </w:pPr>
            <w:r>
              <w:rPr>
                <w:color w:val="FFFFFF"/>
                <w:spacing w:val="-2"/>
                <w:w w:val="105"/>
                <w:sz w:val="18"/>
              </w:rPr>
              <w:t>Indicador</w:t>
            </w:r>
          </w:p>
        </w:tc>
        <w:tc>
          <w:tcPr>
            <w:tcW w:w="7446" w:type="dxa"/>
            <w:gridSpan w:val="9"/>
          </w:tcPr>
          <w:p>
            <w:pPr>
              <w:pStyle w:val="TableParagraph"/>
              <w:spacing w:before="140"/>
              <w:ind w:left="69"/>
              <w:rPr>
                <w:sz w:val="18"/>
              </w:rPr>
            </w:pPr>
            <w:r>
              <w:rPr>
                <w:sz w:val="18"/>
              </w:rPr>
              <w:t>Porcentaje</w:t>
            </w:r>
            <w:r>
              <w:rPr>
                <w:spacing w:val="-2"/>
                <w:sz w:val="18"/>
              </w:rPr>
              <w:t> </w:t>
            </w:r>
            <w:r>
              <w:rPr>
                <w:sz w:val="18"/>
              </w:rPr>
              <w:t>de</w:t>
            </w:r>
            <w:r>
              <w:rPr>
                <w:spacing w:val="-2"/>
                <w:sz w:val="18"/>
              </w:rPr>
              <w:t> </w:t>
            </w:r>
            <w:r>
              <w:rPr>
                <w:sz w:val="18"/>
              </w:rPr>
              <w:t>víctimas</w:t>
            </w:r>
            <w:r>
              <w:rPr>
                <w:spacing w:val="-4"/>
                <w:sz w:val="18"/>
              </w:rPr>
              <w:t> </w:t>
            </w:r>
            <w:r>
              <w:rPr>
                <w:sz w:val="18"/>
              </w:rPr>
              <w:t>de</w:t>
            </w:r>
            <w:r>
              <w:rPr>
                <w:spacing w:val="-2"/>
                <w:sz w:val="18"/>
              </w:rPr>
              <w:t> </w:t>
            </w:r>
            <w:r>
              <w:rPr>
                <w:sz w:val="18"/>
              </w:rPr>
              <w:t>hostigamiento</w:t>
            </w:r>
            <w:r>
              <w:rPr>
                <w:spacing w:val="-2"/>
                <w:sz w:val="18"/>
              </w:rPr>
              <w:t> </w:t>
            </w:r>
            <w:r>
              <w:rPr>
                <w:sz w:val="18"/>
              </w:rPr>
              <w:t>sexual</w:t>
            </w:r>
            <w:r>
              <w:rPr>
                <w:spacing w:val="-1"/>
                <w:sz w:val="18"/>
              </w:rPr>
              <w:t> </w:t>
            </w:r>
            <w:r>
              <w:rPr>
                <w:sz w:val="18"/>
              </w:rPr>
              <w:t>laboral</w:t>
            </w:r>
            <w:r>
              <w:rPr>
                <w:spacing w:val="-3"/>
                <w:sz w:val="18"/>
              </w:rPr>
              <w:t> </w:t>
            </w:r>
            <w:r>
              <w:rPr>
                <w:spacing w:val="-2"/>
                <w:sz w:val="18"/>
              </w:rPr>
              <w:t>atendidos/as.</w:t>
            </w:r>
          </w:p>
        </w:tc>
      </w:tr>
      <w:tr>
        <w:trPr>
          <w:trHeight w:val="299" w:hRule="atLeast"/>
        </w:trPr>
        <w:tc>
          <w:tcPr>
            <w:tcW w:w="1056" w:type="dxa"/>
            <w:shd w:val="clear" w:color="auto" w:fill="808080"/>
          </w:tcPr>
          <w:p>
            <w:pPr>
              <w:pStyle w:val="TableParagraph"/>
              <w:spacing w:before="49"/>
              <w:ind w:left="7"/>
              <w:jc w:val="center"/>
              <w:rPr>
                <w:sz w:val="18"/>
              </w:rPr>
            </w:pPr>
            <w:r>
              <w:rPr>
                <w:color w:val="FFFFFF"/>
                <w:spacing w:val="-5"/>
                <w:sz w:val="18"/>
              </w:rPr>
              <w:t>Año</w:t>
            </w:r>
          </w:p>
        </w:tc>
        <w:tc>
          <w:tcPr>
            <w:tcW w:w="958" w:type="dxa"/>
            <w:shd w:val="clear" w:color="auto" w:fill="808080"/>
          </w:tcPr>
          <w:p>
            <w:pPr>
              <w:pStyle w:val="TableParagraph"/>
              <w:spacing w:before="49"/>
              <w:ind w:left="143"/>
              <w:rPr>
                <w:sz w:val="18"/>
              </w:rPr>
            </w:pPr>
            <w:r>
              <w:rPr>
                <w:color w:val="FFFFFF"/>
                <w:sz w:val="18"/>
              </w:rPr>
              <w:t>Valor</w:t>
            </w:r>
            <w:r>
              <w:rPr>
                <w:color w:val="FFFFFF"/>
                <w:spacing w:val="-12"/>
                <w:sz w:val="18"/>
              </w:rPr>
              <w:t> </w:t>
            </w:r>
            <w:r>
              <w:rPr>
                <w:color w:val="FFFFFF"/>
                <w:spacing w:val="-5"/>
                <w:sz w:val="18"/>
              </w:rPr>
              <w:t>LB</w:t>
            </w:r>
          </w:p>
        </w:tc>
        <w:tc>
          <w:tcPr>
            <w:tcW w:w="908" w:type="dxa"/>
            <w:shd w:val="clear" w:color="auto" w:fill="808080"/>
          </w:tcPr>
          <w:p>
            <w:pPr>
              <w:pStyle w:val="TableParagraph"/>
              <w:spacing w:before="49"/>
              <w:ind w:left="9"/>
              <w:jc w:val="center"/>
              <w:rPr>
                <w:sz w:val="18"/>
              </w:rPr>
            </w:pPr>
            <w:r>
              <w:rPr>
                <w:color w:val="FFFFFF"/>
                <w:spacing w:val="-4"/>
                <w:sz w:val="18"/>
              </w:rPr>
              <w:t>2023</w:t>
            </w:r>
          </w:p>
        </w:tc>
        <w:tc>
          <w:tcPr>
            <w:tcW w:w="797" w:type="dxa"/>
            <w:shd w:val="clear" w:color="auto" w:fill="808080"/>
          </w:tcPr>
          <w:p>
            <w:pPr>
              <w:pStyle w:val="TableParagraph"/>
              <w:spacing w:before="49"/>
              <w:ind w:left="8"/>
              <w:jc w:val="center"/>
              <w:rPr>
                <w:sz w:val="18"/>
              </w:rPr>
            </w:pPr>
            <w:r>
              <w:rPr>
                <w:color w:val="FFFFFF"/>
                <w:spacing w:val="-4"/>
                <w:sz w:val="18"/>
              </w:rPr>
              <w:t>2024</w:t>
            </w:r>
          </w:p>
        </w:tc>
        <w:tc>
          <w:tcPr>
            <w:tcW w:w="797" w:type="dxa"/>
            <w:shd w:val="clear" w:color="auto" w:fill="808080"/>
          </w:tcPr>
          <w:p>
            <w:pPr>
              <w:pStyle w:val="TableParagraph"/>
              <w:spacing w:before="49"/>
              <w:ind w:left="8" w:right="1"/>
              <w:jc w:val="center"/>
              <w:rPr>
                <w:sz w:val="18"/>
              </w:rPr>
            </w:pPr>
            <w:r>
              <w:rPr>
                <w:color w:val="FFFFFF"/>
                <w:spacing w:val="-4"/>
                <w:sz w:val="18"/>
              </w:rPr>
              <w:t>2025</w:t>
            </w:r>
          </w:p>
        </w:tc>
        <w:tc>
          <w:tcPr>
            <w:tcW w:w="797" w:type="dxa"/>
            <w:shd w:val="clear" w:color="auto" w:fill="808080"/>
          </w:tcPr>
          <w:p>
            <w:pPr>
              <w:pStyle w:val="TableParagraph"/>
              <w:spacing w:before="49"/>
              <w:ind w:left="8" w:right="1"/>
              <w:jc w:val="center"/>
              <w:rPr>
                <w:sz w:val="18"/>
              </w:rPr>
            </w:pPr>
            <w:r>
              <w:rPr>
                <w:color w:val="FFFFFF"/>
                <w:spacing w:val="-4"/>
                <w:sz w:val="18"/>
              </w:rPr>
              <w:t>2026</w:t>
            </w:r>
          </w:p>
        </w:tc>
        <w:tc>
          <w:tcPr>
            <w:tcW w:w="797" w:type="dxa"/>
            <w:shd w:val="clear" w:color="auto" w:fill="808080"/>
          </w:tcPr>
          <w:p>
            <w:pPr>
              <w:pStyle w:val="TableParagraph"/>
              <w:spacing w:before="49"/>
              <w:ind w:right="181"/>
              <w:jc w:val="right"/>
              <w:rPr>
                <w:sz w:val="18"/>
              </w:rPr>
            </w:pPr>
            <w:r>
              <w:rPr>
                <w:color w:val="FFFFFF"/>
                <w:spacing w:val="-4"/>
                <w:sz w:val="18"/>
              </w:rPr>
              <w:t>2027</w:t>
            </w:r>
          </w:p>
        </w:tc>
        <w:tc>
          <w:tcPr>
            <w:tcW w:w="797" w:type="dxa"/>
            <w:shd w:val="clear" w:color="auto" w:fill="808080"/>
          </w:tcPr>
          <w:p>
            <w:pPr>
              <w:pStyle w:val="TableParagraph"/>
              <w:spacing w:before="49"/>
              <w:ind w:right="181"/>
              <w:jc w:val="right"/>
              <w:rPr>
                <w:sz w:val="18"/>
              </w:rPr>
            </w:pPr>
            <w:r>
              <w:rPr>
                <w:color w:val="FFFFFF"/>
                <w:spacing w:val="-4"/>
                <w:sz w:val="18"/>
              </w:rPr>
              <w:t>2028</w:t>
            </w:r>
          </w:p>
        </w:tc>
        <w:tc>
          <w:tcPr>
            <w:tcW w:w="798" w:type="dxa"/>
            <w:shd w:val="clear" w:color="auto" w:fill="808080"/>
          </w:tcPr>
          <w:p>
            <w:pPr>
              <w:pStyle w:val="TableParagraph"/>
              <w:spacing w:before="49"/>
              <w:ind w:left="190"/>
              <w:rPr>
                <w:sz w:val="18"/>
              </w:rPr>
            </w:pPr>
            <w:r>
              <w:rPr>
                <w:color w:val="FFFFFF"/>
                <w:spacing w:val="-4"/>
                <w:sz w:val="18"/>
              </w:rPr>
              <w:t>2029</w:t>
            </w:r>
          </w:p>
        </w:tc>
        <w:tc>
          <w:tcPr>
            <w:tcW w:w="797" w:type="dxa"/>
            <w:shd w:val="clear" w:color="auto" w:fill="808080"/>
          </w:tcPr>
          <w:p>
            <w:pPr>
              <w:pStyle w:val="TableParagraph"/>
              <w:spacing w:before="49"/>
              <w:ind w:left="189"/>
              <w:rPr>
                <w:sz w:val="18"/>
              </w:rPr>
            </w:pPr>
            <w:r>
              <w:rPr>
                <w:color w:val="FFFFFF"/>
                <w:spacing w:val="-4"/>
                <w:sz w:val="18"/>
              </w:rPr>
              <w:t>2030</w:t>
            </w:r>
          </w:p>
        </w:tc>
      </w:tr>
      <w:tr>
        <w:trPr>
          <w:trHeight w:val="434" w:hRule="atLeast"/>
        </w:trPr>
        <w:tc>
          <w:tcPr>
            <w:tcW w:w="1056" w:type="dxa"/>
            <w:shd w:val="clear" w:color="auto" w:fill="44536A"/>
          </w:tcPr>
          <w:p>
            <w:pPr>
              <w:pStyle w:val="TableParagraph"/>
              <w:spacing w:before="119"/>
              <w:ind w:left="69"/>
              <w:rPr>
                <w:sz w:val="18"/>
              </w:rPr>
            </w:pPr>
            <w:r>
              <w:rPr>
                <w:color w:val="FFFFFF"/>
                <w:spacing w:val="-2"/>
                <w:sz w:val="18"/>
              </w:rPr>
              <w:t>Metas</w:t>
            </w:r>
          </w:p>
        </w:tc>
        <w:tc>
          <w:tcPr>
            <w:tcW w:w="958" w:type="dxa"/>
          </w:tcPr>
          <w:p>
            <w:pPr>
              <w:pStyle w:val="TableParagraph"/>
              <w:spacing w:before="20"/>
              <w:ind w:left="8"/>
              <w:jc w:val="center"/>
              <w:rPr>
                <w:sz w:val="16"/>
              </w:rPr>
            </w:pPr>
            <w:r>
              <w:rPr>
                <w:spacing w:val="-5"/>
                <w:sz w:val="16"/>
              </w:rPr>
              <w:t>No</w:t>
            </w:r>
          </w:p>
          <w:p>
            <w:pPr>
              <w:pStyle w:val="TableParagraph"/>
              <w:spacing w:line="178" w:lineRule="exact" w:before="32"/>
              <w:ind w:left="8"/>
              <w:jc w:val="center"/>
              <w:rPr>
                <w:sz w:val="16"/>
              </w:rPr>
            </w:pPr>
            <w:r>
              <w:rPr>
                <w:spacing w:val="-2"/>
                <w:w w:val="105"/>
                <w:sz w:val="16"/>
              </w:rPr>
              <w:t>definido</w:t>
            </w:r>
          </w:p>
        </w:tc>
        <w:tc>
          <w:tcPr>
            <w:tcW w:w="908" w:type="dxa"/>
          </w:tcPr>
          <w:p>
            <w:pPr>
              <w:pStyle w:val="TableParagraph"/>
              <w:spacing w:before="128"/>
              <w:ind w:left="9" w:right="6"/>
              <w:jc w:val="center"/>
              <w:rPr>
                <w:sz w:val="16"/>
              </w:rPr>
            </w:pPr>
            <w:r>
              <w:rPr>
                <w:spacing w:val="-2"/>
                <w:sz w:val="16"/>
              </w:rPr>
              <w:t>40.00%</w:t>
            </w:r>
          </w:p>
        </w:tc>
        <w:tc>
          <w:tcPr>
            <w:tcW w:w="797" w:type="dxa"/>
          </w:tcPr>
          <w:p>
            <w:pPr>
              <w:pStyle w:val="TableParagraph"/>
              <w:spacing w:before="128"/>
              <w:ind w:left="8"/>
              <w:jc w:val="center"/>
              <w:rPr>
                <w:sz w:val="16"/>
              </w:rPr>
            </w:pPr>
            <w:r>
              <w:rPr>
                <w:spacing w:val="-2"/>
                <w:sz w:val="16"/>
              </w:rPr>
              <w:t>45.00%</w:t>
            </w:r>
          </w:p>
        </w:tc>
        <w:tc>
          <w:tcPr>
            <w:tcW w:w="797" w:type="dxa"/>
          </w:tcPr>
          <w:p>
            <w:pPr>
              <w:pStyle w:val="TableParagraph"/>
              <w:spacing w:before="128"/>
              <w:ind w:left="8" w:right="1"/>
              <w:jc w:val="center"/>
              <w:rPr>
                <w:sz w:val="16"/>
              </w:rPr>
            </w:pPr>
            <w:r>
              <w:rPr>
                <w:spacing w:val="-2"/>
                <w:sz w:val="16"/>
              </w:rPr>
              <w:t>50.00%</w:t>
            </w:r>
          </w:p>
        </w:tc>
        <w:tc>
          <w:tcPr>
            <w:tcW w:w="797" w:type="dxa"/>
          </w:tcPr>
          <w:p>
            <w:pPr>
              <w:pStyle w:val="TableParagraph"/>
              <w:spacing w:before="128"/>
              <w:ind w:left="8" w:right="1"/>
              <w:jc w:val="center"/>
              <w:rPr>
                <w:sz w:val="16"/>
              </w:rPr>
            </w:pPr>
            <w:r>
              <w:rPr>
                <w:spacing w:val="-2"/>
                <w:sz w:val="16"/>
              </w:rPr>
              <w:t>55.00%</w:t>
            </w:r>
          </w:p>
        </w:tc>
        <w:tc>
          <w:tcPr>
            <w:tcW w:w="797" w:type="dxa"/>
          </w:tcPr>
          <w:p>
            <w:pPr>
              <w:pStyle w:val="TableParagraph"/>
              <w:spacing w:before="128"/>
              <w:ind w:right="121"/>
              <w:jc w:val="right"/>
              <w:rPr>
                <w:sz w:val="16"/>
              </w:rPr>
            </w:pPr>
            <w:r>
              <w:rPr>
                <w:spacing w:val="-2"/>
                <w:sz w:val="16"/>
              </w:rPr>
              <w:t>60.00%</w:t>
            </w:r>
          </w:p>
        </w:tc>
        <w:tc>
          <w:tcPr>
            <w:tcW w:w="797" w:type="dxa"/>
          </w:tcPr>
          <w:p>
            <w:pPr>
              <w:pStyle w:val="TableParagraph"/>
              <w:spacing w:before="128"/>
              <w:ind w:right="121"/>
              <w:jc w:val="right"/>
              <w:rPr>
                <w:sz w:val="16"/>
              </w:rPr>
            </w:pPr>
            <w:r>
              <w:rPr>
                <w:spacing w:val="-2"/>
                <w:sz w:val="16"/>
              </w:rPr>
              <w:t>65.00%</w:t>
            </w:r>
          </w:p>
        </w:tc>
        <w:tc>
          <w:tcPr>
            <w:tcW w:w="798" w:type="dxa"/>
          </w:tcPr>
          <w:p>
            <w:pPr>
              <w:pStyle w:val="TableParagraph"/>
              <w:spacing w:before="128"/>
              <w:ind w:left="130"/>
              <w:rPr>
                <w:sz w:val="16"/>
              </w:rPr>
            </w:pPr>
            <w:r>
              <w:rPr>
                <w:spacing w:val="-2"/>
                <w:sz w:val="16"/>
              </w:rPr>
              <w:t>80.00%</w:t>
            </w:r>
          </w:p>
        </w:tc>
        <w:tc>
          <w:tcPr>
            <w:tcW w:w="797" w:type="dxa"/>
          </w:tcPr>
          <w:p>
            <w:pPr>
              <w:pStyle w:val="TableParagraph"/>
              <w:spacing w:before="128"/>
              <w:ind w:left="129"/>
              <w:rPr>
                <w:sz w:val="16"/>
              </w:rPr>
            </w:pPr>
            <w:r>
              <w:rPr>
                <w:spacing w:val="-2"/>
                <w:sz w:val="16"/>
              </w:rPr>
              <w:t>85.00%</w:t>
            </w:r>
          </w:p>
        </w:tc>
      </w:tr>
      <w:tr>
        <w:trPr>
          <w:trHeight w:val="492" w:hRule="atLeast"/>
        </w:trPr>
        <w:tc>
          <w:tcPr>
            <w:tcW w:w="1056" w:type="dxa"/>
            <w:shd w:val="clear" w:color="auto" w:fill="44536A"/>
          </w:tcPr>
          <w:p>
            <w:pPr>
              <w:pStyle w:val="TableParagraph"/>
              <w:spacing w:before="26"/>
              <w:ind w:left="69"/>
              <w:rPr>
                <w:sz w:val="18"/>
              </w:rPr>
            </w:pPr>
            <w:r>
              <w:rPr>
                <w:color w:val="FFFFFF"/>
                <w:spacing w:val="-2"/>
                <w:sz w:val="18"/>
              </w:rPr>
              <w:t>Valor</w:t>
            </w:r>
          </w:p>
          <w:p>
            <w:pPr>
              <w:pStyle w:val="TableParagraph"/>
              <w:spacing w:line="201" w:lineRule="exact" w:before="37"/>
              <w:ind w:left="69"/>
              <w:rPr>
                <w:sz w:val="18"/>
              </w:rPr>
            </w:pPr>
            <w:r>
              <w:rPr>
                <w:color w:val="FFFFFF"/>
                <w:spacing w:val="-2"/>
                <w:w w:val="105"/>
                <w:sz w:val="18"/>
              </w:rPr>
              <w:t>reportado</w:t>
            </w:r>
          </w:p>
        </w:tc>
        <w:tc>
          <w:tcPr>
            <w:tcW w:w="958" w:type="dxa"/>
            <w:shd w:val="clear" w:color="auto" w:fill="C8C8C8"/>
          </w:tcPr>
          <w:p>
            <w:pPr>
              <w:pStyle w:val="TableParagraph"/>
              <w:rPr>
                <w:rFonts w:ascii="Times New Roman"/>
                <w:sz w:val="20"/>
              </w:rPr>
            </w:pPr>
          </w:p>
        </w:tc>
        <w:tc>
          <w:tcPr>
            <w:tcW w:w="908" w:type="dxa"/>
          </w:tcPr>
          <w:p>
            <w:pPr>
              <w:pStyle w:val="TableParagraph"/>
              <w:spacing w:before="157"/>
              <w:ind w:left="9" w:right="6"/>
              <w:jc w:val="center"/>
              <w:rPr>
                <w:sz w:val="16"/>
              </w:rPr>
            </w:pPr>
            <w:r>
              <w:rPr>
                <w:spacing w:val="-2"/>
                <w:sz w:val="16"/>
              </w:rPr>
              <w:t>100.00%</w:t>
            </w: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8"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r>
      <w:tr>
        <w:trPr>
          <w:trHeight w:val="489" w:hRule="atLeast"/>
        </w:trPr>
        <w:tc>
          <w:tcPr>
            <w:tcW w:w="1056" w:type="dxa"/>
            <w:shd w:val="clear" w:color="auto" w:fill="44536A"/>
          </w:tcPr>
          <w:p>
            <w:pPr>
              <w:pStyle w:val="TableParagraph"/>
              <w:spacing w:before="23"/>
              <w:ind w:left="69"/>
              <w:rPr>
                <w:sz w:val="18"/>
              </w:rPr>
            </w:pPr>
            <w:r>
              <w:rPr>
                <w:color w:val="FFFFFF"/>
                <w:spacing w:val="-2"/>
                <w:sz w:val="18"/>
              </w:rPr>
              <w:t>Nivel</w:t>
            </w:r>
            <w:r>
              <w:rPr>
                <w:color w:val="FFFFFF"/>
                <w:spacing w:val="-5"/>
                <w:sz w:val="18"/>
              </w:rPr>
              <w:t> de</w:t>
            </w:r>
          </w:p>
          <w:p>
            <w:pPr>
              <w:pStyle w:val="TableParagraph"/>
              <w:spacing w:line="201" w:lineRule="exact" w:before="37"/>
              <w:ind w:left="69"/>
              <w:rPr>
                <w:sz w:val="18"/>
              </w:rPr>
            </w:pPr>
            <w:r>
              <w:rPr>
                <w:color w:val="FFFFFF"/>
                <w:spacing w:val="-2"/>
                <w:sz w:val="18"/>
              </w:rPr>
              <w:t>avance</w:t>
            </w:r>
          </w:p>
        </w:tc>
        <w:tc>
          <w:tcPr>
            <w:tcW w:w="958" w:type="dxa"/>
            <w:shd w:val="clear" w:color="auto" w:fill="C8C8C8"/>
          </w:tcPr>
          <w:p>
            <w:pPr>
              <w:pStyle w:val="TableParagraph"/>
              <w:rPr>
                <w:rFonts w:ascii="Times New Roman"/>
                <w:sz w:val="20"/>
              </w:rPr>
            </w:pPr>
          </w:p>
        </w:tc>
        <w:tc>
          <w:tcPr>
            <w:tcW w:w="908" w:type="dxa"/>
          </w:tcPr>
          <w:p>
            <w:pPr>
              <w:pStyle w:val="TableParagraph"/>
              <w:spacing w:before="157"/>
              <w:ind w:left="9" w:right="6"/>
              <w:jc w:val="center"/>
              <w:rPr>
                <w:sz w:val="16"/>
              </w:rPr>
            </w:pPr>
            <w:r>
              <w:rPr>
                <w:spacing w:val="-2"/>
                <w:sz w:val="16"/>
              </w:rPr>
              <w:t>250.0%</w:t>
            </w: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c>
          <w:tcPr>
            <w:tcW w:w="798" w:type="dxa"/>
            <w:shd w:val="clear" w:color="auto" w:fill="C8C8C8"/>
          </w:tcPr>
          <w:p>
            <w:pPr>
              <w:pStyle w:val="TableParagraph"/>
              <w:rPr>
                <w:rFonts w:ascii="Times New Roman"/>
                <w:sz w:val="20"/>
              </w:rPr>
            </w:pPr>
          </w:p>
        </w:tc>
        <w:tc>
          <w:tcPr>
            <w:tcW w:w="797" w:type="dxa"/>
            <w:shd w:val="clear" w:color="auto" w:fill="C8C8C8"/>
          </w:tcPr>
          <w:p>
            <w:pPr>
              <w:pStyle w:val="TableParagraph"/>
              <w:rPr>
                <w:rFonts w:ascii="Times New Roman"/>
                <w:sz w:val="20"/>
              </w:rPr>
            </w:pPr>
          </w:p>
        </w:tc>
      </w:tr>
    </w:tbl>
    <w:p>
      <w:pPr>
        <w:spacing w:line="309" w:lineRule="auto" w:before="24"/>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151"/>
        <w:rPr>
          <w:sz w:val="18"/>
        </w:rPr>
      </w:pPr>
    </w:p>
    <w:p>
      <w:pPr>
        <w:pStyle w:val="BodyText"/>
        <w:spacing w:line="307" w:lineRule="auto"/>
        <w:ind w:left="143" w:right="708"/>
        <w:jc w:val="both"/>
      </w:pPr>
      <w:r>
        <w:rPr>
          <w:u w:val="single"/>
        </w:rPr>
        <w:t>Análisis de calidad: </w:t>
      </w:r>
      <w:r>
        <w:rPr/>
        <w:t>Para el año 2023, el servicio brindo orientación de manera </w:t>
      </w:r>
      <w:r>
        <w:rPr>
          <w:w w:val="105"/>
        </w:rPr>
        <w:t>oportuna</w:t>
      </w:r>
      <w:r>
        <w:rPr>
          <w:w w:val="105"/>
        </w:rPr>
        <w:t> al</w:t>
      </w:r>
      <w:r>
        <w:rPr>
          <w:w w:val="105"/>
        </w:rPr>
        <w:t> 38.9%</w:t>
      </w:r>
      <w:r>
        <w:rPr>
          <w:w w:val="105"/>
        </w:rPr>
        <w:t> de</w:t>
      </w:r>
      <w:r>
        <w:rPr>
          <w:w w:val="105"/>
        </w:rPr>
        <w:t> casos</w:t>
      </w:r>
      <w:r>
        <w:rPr>
          <w:w w:val="105"/>
        </w:rPr>
        <w:t> reportados</w:t>
      </w:r>
      <w:r>
        <w:rPr>
          <w:w w:val="105"/>
        </w:rPr>
        <w:t> de</w:t>
      </w:r>
      <w:r>
        <w:rPr>
          <w:w w:val="105"/>
        </w:rPr>
        <w:t> hostigamiento</w:t>
      </w:r>
      <w:r>
        <w:rPr>
          <w:w w:val="105"/>
        </w:rPr>
        <w:t> sexual</w:t>
      </w:r>
      <w:r>
        <w:rPr>
          <w:w w:val="105"/>
        </w:rPr>
        <w:t> laboral atendidas</w:t>
      </w:r>
      <w:r>
        <w:rPr>
          <w:spacing w:val="-18"/>
          <w:w w:val="105"/>
        </w:rPr>
        <w:t> </w:t>
      </w:r>
      <w:r>
        <w:rPr>
          <w:w w:val="105"/>
        </w:rPr>
        <w:t>por</w:t>
      </w:r>
      <w:r>
        <w:rPr>
          <w:spacing w:val="-17"/>
          <w:w w:val="105"/>
        </w:rPr>
        <w:t> </w:t>
      </w:r>
      <w:r>
        <w:rPr>
          <w:w w:val="105"/>
        </w:rPr>
        <w:t>el</w:t>
      </w:r>
      <w:r>
        <w:rPr>
          <w:spacing w:val="-18"/>
          <w:w w:val="105"/>
        </w:rPr>
        <w:t> </w:t>
      </w:r>
      <w:r>
        <w:rPr>
          <w:w w:val="105"/>
        </w:rPr>
        <w:t>servicio,</w:t>
      </w:r>
      <w:r>
        <w:rPr>
          <w:spacing w:val="-18"/>
          <w:w w:val="105"/>
        </w:rPr>
        <w:t> </w:t>
      </w:r>
      <w:r>
        <w:rPr>
          <w:w w:val="105"/>
        </w:rPr>
        <w:t>con</w:t>
      </w:r>
      <w:r>
        <w:rPr>
          <w:spacing w:val="-17"/>
          <w:w w:val="105"/>
        </w:rPr>
        <w:t> </w:t>
      </w:r>
      <w:r>
        <w:rPr>
          <w:w w:val="105"/>
        </w:rPr>
        <w:t>lo</w:t>
      </w:r>
      <w:r>
        <w:rPr>
          <w:spacing w:val="-18"/>
          <w:w w:val="105"/>
        </w:rPr>
        <w:t> </w:t>
      </w:r>
      <w:r>
        <w:rPr>
          <w:w w:val="105"/>
        </w:rPr>
        <w:t>cual</w:t>
      </w:r>
      <w:r>
        <w:rPr>
          <w:spacing w:val="-17"/>
          <w:w w:val="105"/>
        </w:rPr>
        <w:t> </w:t>
      </w:r>
      <w:r>
        <w:rPr>
          <w:w w:val="105"/>
        </w:rPr>
        <w:t>se</w:t>
      </w:r>
      <w:r>
        <w:rPr>
          <w:spacing w:val="-18"/>
          <w:w w:val="105"/>
        </w:rPr>
        <w:t> </w:t>
      </w:r>
      <w:r>
        <w:rPr>
          <w:w w:val="105"/>
        </w:rPr>
        <w:t>obtuvo</w:t>
      </w:r>
      <w:r>
        <w:rPr>
          <w:spacing w:val="-17"/>
          <w:w w:val="105"/>
        </w:rPr>
        <w:t> </w:t>
      </w:r>
      <w:r>
        <w:rPr>
          <w:w w:val="105"/>
        </w:rPr>
        <w:t>un</w:t>
      </w:r>
      <w:r>
        <w:rPr>
          <w:spacing w:val="-18"/>
          <w:w w:val="105"/>
        </w:rPr>
        <w:t> </w:t>
      </w:r>
      <w:r>
        <w:rPr>
          <w:w w:val="105"/>
        </w:rPr>
        <w:t>nivel</w:t>
      </w:r>
      <w:r>
        <w:rPr>
          <w:spacing w:val="-16"/>
          <w:w w:val="105"/>
        </w:rPr>
        <w:t> </w:t>
      </w:r>
      <w:r>
        <w:rPr>
          <w:w w:val="105"/>
        </w:rPr>
        <w:t>de</w:t>
      </w:r>
      <w:r>
        <w:rPr>
          <w:spacing w:val="-18"/>
          <w:w w:val="105"/>
        </w:rPr>
        <w:t> </w:t>
      </w:r>
      <w:r>
        <w:rPr>
          <w:w w:val="105"/>
        </w:rPr>
        <w:t>avance</w:t>
      </w:r>
      <w:r>
        <w:rPr>
          <w:spacing w:val="-16"/>
          <w:w w:val="105"/>
        </w:rPr>
        <w:t> </w:t>
      </w:r>
      <w:r>
        <w:rPr>
          <w:w w:val="105"/>
        </w:rPr>
        <w:t>del</w:t>
      </w:r>
      <w:r>
        <w:rPr>
          <w:spacing w:val="-17"/>
          <w:w w:val="105"/>
        </w:rPr>
        <w:t> </w:t>
      </w:r>
      <w:r>
        <w:rPr>
          <w:w w:val="105"/>
        </w:rPr>
        <w:t>77.8</w:t>
      </w:r>
      <w:r>
        <w:rPr>
          <w:spacing w:val="-18"/>
          <w:w w:val="105"/>
        </w:rPr>
        <w:t> </w:t>
      </w:r>
      <w:r>
        <w:rPr>
          <w:w w:val="105"/>
        </w:rPr>
        <w:t>%, registrando</w:t>
      </w:r>
      <w:r>
        <w:rPr>
          <w:spacing w:val="-14"/>
          <w:w w:val="105"/>
        </w:rPr>
        <w:t> </w:t>
      </w:r>
      <w:r>
        <w:rPr>
          <w:w w:val="105"/>
        </w:rPr>
        <w:t>un</w:t>
      </w:r>
      <w:r>
        <w:rPr>
          <w:spacing w:val="-15"/>
          <w:w w:val="105"/>
        </w:rPr>
        <w:t> </w:t>
      </w:r>
      <w:r>
        <w:rPr>
          <w:w w:val="105"/>
        </w:rPr>
        <w:t>valor</w:t>
      </w:r>
      <w:r>
        <w:rPr>
          <w:spacing w:val="-16"/>
          <w:w w:val="105"/>
        </w:rPr>
        <w:t> </w:t>
      </w:r>
      <w:r>
        <w:rPr>
          <w:w w:val="105"/>
        </w:rPr>
        <w:t>por</w:t>
      </w:r>
      <w:r>
        <w:rPr>
          <w:spacing w:val="-15"/>
          <w:w w:val="105"/>
        </w:rPr>
        <w:t> </w:t>
      </w:r>
      <w:r>
        <w:rPr>
          <w:w w:val="105"/>
        </w:rPr>
        <w:t>debajo</w:t>
      </w:r>
      <w:r>
        <w:rPr>
          <w:spacing w:val="-15"/>
          <w:w w:val="105"/>
        </w:rPr>
        <w:t> </w:t>
      </w:r>
      <w:r>
        <w:rPr>
          <w:w w:val="105"/>
        </w:rPr>
        <w:t>de</w:t>
      </w:r>
      <w:r>
        <w:rPr>
          <w:spacing w:val="-15"/>
          <w:w w:val="105"/>
        </w:rPr>
        <w:t> </w:t>
      </w:r>
      <w:r>
        <w:rPr>
          <w:w w:val="105"/>
        </w:rPr>
        <w:t>lo</w:t>
      </w:r>
      <w:r>
        <w:rPr>
          <w:spacing w:val="-14"/>
          <w:w w:val="105"/>
        </w:rPr>
        <w:t> </w:t>
      </w:r>
      <w:r>
        <w:rPr>
          <w:w w:val="105"/>
        </w:rPr>
        <w:t>programado</w:t>
      </w:r>
      <w:r>
        <w:rPr>
          <w:spacing w:val="-14"/>
          <w:w w:val="105"/>
        </w:rPr>
        <w:t> </w:t>
      </w:r>
      <w:r>
        <w:rPr>
          <w:w w:val="105"/>
        </w:rPr>
        <w:t>para</w:t>
      </w:r>
      <w:r>
        <w:rPr>
          <w:spacing w:val="-16"/>
          <w:w w:val="105"/>
        </w:rPr>
        <w:t> </w:t>
      </w:r>
      <w:r>
        <w:rPr>
          <w:w w:val="105"/>
        </w:rPr>
        <w:t>dicho</w:t>
      </w:r>
      <w:r>
        <w:rPr>
          <w:spacing w:val="-14"/>
          <w:w w:val="105"/>
        </w:rPr>
        <w:t> </w:t>
      </w:r>
      <w:r>
        <w:rPr>
          <w:w w:val="105"/>
        </w:rPr>
        <w:t>año</w:t>
      </w:r>
      <w:r>
        <w:rPr>
          <w:spacing w:val="-14"/>
          <w:w w:val="105"/>
        </w:rPr>
        <w:t> </w:t>
      </w:r>
      <w:r>
        <w:rPr>
          <w:w w:val="105"/>
        </w:rPr>
        <w:t>(50.0</w:t>
      </w:r>
      <w:r>
        <w:rPr>
          <w:spacing w:val="-15"/>
          <w:w w:val="105"/>
        </w:rPr>
        <w:t> </w:t>
      </w:r>
      <w:r>
        <w:rPr>
          <w:w w:val="105"/>
        </w:rPr>
        <w:t>%).</w:t>
      </w:r>
    </w:p>
    <w:p>
      <w:pPr>
        <w:pStyle w:val="BodyText"/>
        <w:spacing w:line="307" w:lineRule="auto"/>
        <w:ind w:left="143" w:right="702"/>
        <w:jc w:val="both"/>
      </w:pPr>
      <w:r>
        <w:rPr/>
        <w:t>Cabe</w:t>
      </w:r>
      <w:r>
        <w:rPr>
          <w:spacing w:val="-15"/>
        </w:rPr>
        <w:t> </w:t>
      </w:r>
      <w:r>
        <w:rPr/>
        <w:t>precisar</w:t>
      </w:r>
      <w:r>
        <w:rPr>
          <w:spacing w:val="-15"/>
        </w:rPr>
        <w:t> </w:t>
      </w:r>
      <w:r>
        <w:rPr/>
        <w:t>que</w:t>
      </w:r>
      <w:r>
        <w:rPr>
          <w:spacing w:val="-15"/>
        </w:rPr>
        <w:t> </w:t>
      </w:r>
      <w:r>
        <w:rPr/>
        <w:t>el</w:t>
      </w:r>
      <w:r>
        <w:rPr>
          <w:spacing w:val="-14"/>
        </w:rPr>
        <w:t> </w:t>
      </w:r>
      <w:r>
        <w:rPr/>
        <w:t>valor</w:t>
      </w:r>
      <w:r>
        <w:rPr>
          <w:spacing w:val="-15"/>
        </w:rPr>
        <w:t> </w:t>
      </w:r>
      <w:r>
        <w:rPr/>
        <w:t>reportado</w:t>
      </w:r>
      <w:r>
        <w:rPr>
          <w:spacing w:val="-14"/>
        </w:rPr>
        <w:t> </w:t>
      </w:r>
      <w:r>
        <w:rPr/>
        <w:t>por</w:t>
      </w:r>
      <w:r>
        <w:rPr>
          <w:spacing w:val="-15"/>
        </w:rPr>
        <w:t> </w:t>
      </w:r>
      <w:r>
        <w:rPr/>
        <w:t>SERVIR</w:t>
      </w:r>
      <w:r>
        <w:rPr>
          <w:spacing w:val="-16"/>
        </w:rPr>
        <w:t> </w:t>
      </w:r>
      <w:r>
        <w:rPr/>
        <w:t>fue</w:t>
      </w:r>
      <w:r>
        <w:rPr>
          <w:spacing w:val="-15"/>
        </w:rPr>
        <w:t> </w:t>
      </w:r>
      <w:r>
        <w:rPr/>
        <w:t>de</w:t>
      </w:r>
      <w:r>
        <w:rPr>
          <w:spacing w:val="-15"/>
        </w:rPr>
        <w:t> </w:t>
      </w:r>
      <w:r>
        <w:rPr/>
        <w:t>49.70%;</w:t>
      </w:r>
      <w:r>
        <w:rPr>
          <w:spacing w:val="-14"/>
        </w:rPr>
        <w:t> </w:t>
      </w:r>
      <w:r>
        <w:rPr/>
        <w:t>no</w:t>
      </w:r>
      <w:r>
        <w:rPr>
          <w:spacing w:val="-14"/>
        </w:rPr>
        <w:t> </w:t>
      </w:r>
      <w:r>
        <w:rPr/>
        <w:t>obstante,</w:t>
      </w:r>
      <w:r>
        <w:rPr>
          <w:spacing w:val="-14"/>
        </w:rPr>
        <w:t> </w:t>
      </w:r>
      <w:r>
        <w:rPr/>
        <w:t>se </w:t>
      </w:r>
      <w:r>
        <w:rPr>
          <w:w w:val="105"/>
        </w:rPr>
        <w:t>identificó</w:t>
      </w:r>
      <w:r>
        <w:rPr>
          <w:w w:val="105"/>
        </w:rPr>
        <w:t> que</w:t>
      </w:r>
      <w:r>
        <w:rPr>
          <w:w w:val="105"/>
        </w:rPr>
        <w:t> en</w:t>
      </w:r>
      <w:r>
        <w:rPr>
          <w:w w:val="105"/>
        </w:rPr>
        <w:t> el</w:t>
      </w:r>
      <w:r>
        <w:rPr>
          <w:w w:val="105"/>
        </w:rPr>
        <w:t> cálculo</w:t>
      </w:r>
      <w:r>
        <w:rPr>
          <w:w w:val="105"/>
        </w:rPr>
        <w:t> del</w:t>
      </w:r>
      <w:r>
        <w:rPr>
          <w:w w:val="105"/>
        </w:rPr>
        <w:t> denominador</w:t>
      </w:r>
      <w:r>
        <w:rPr>
          <w:w w:val="105"/>
        </w:rPr>
        <w:t> no</w:t>
      </w:r>
      <w:r>
        <w:rPr>
          <w:w w:val="105"/>
        </w:rPr>
        <w:t> se</w:t>
      </w:r>
      <w:r>
        <w:rPr>
          <w:w w:val="105"/>
        </w:rPr>
        <w:t> había</w:t>
      </w:r>
      <w:r>
        <w:rPr>
          <w:w w:val="105"/>
        </w:rPr>
        <w:t> considerado</w:t>
      </w:r>
      <w:r>
        <w:rPr>
          <w:w w:val="105"/>
        </w:rPr>
        <w:t> a</w:t>
      </w:r>
      <w:r>
        <w:rPr>
          <w:w w:val="105"/>
        </w:rPr>
        <w:t> 94 registros</w:t>
      </w:r>
      <w:r>
        <w:rPr>
          <w:w w:val="105"/>
        </w:rPr>
        <w:t> de</w:t>
      </w:r>
      <w:r>
        <w:rPr>
          <w:w w:val="105"/>
        </w:rPr>
        <w:t> atenciones</w:t>
      </w:r>
      <w:r>
        <w:rPr>
          <w:w w:val="105"/>
        </w:rPr>
        <w:t> descritos</w:t>
      </w:r>
      <w:r>
        <w:rPr>
          <w:w w:val="105"/>
        </w:rPr>
        <w:t> en</w:t>
      </w:r>
      <w:r>
        <w:rPr>
          <w:w w:val="105"/>
        </w:rPr>
        <w:t> la</w:t>
      </w:r>
      <w:r>
        <w:rPr>
          <w:w w:val="105"/>
        </w:rPr>
        <w:t> base</w:t>
      </w:r>
      <w:r>
        <w:rPr>
          <w:w w:val="105"/>
        </w:rPr>
        <w:t> de</w:t>
      </w:r>
      <w:r>
        <w:rPr>
          <w:w w:val="105"/>
        </w:rPr>
        <w:t> datos</w:t>
      </w:r>
      <w:r>
        <w:rPr>
          <w:w w:val="105"/>
        </w:rPr>
        <w:t> proporcionada</w:t>
      </w:r>
      <w:r>
        <w:rPr>
          <w:w w:val="105"/>
        </w:rPr>
        <w:t> por</w:t>
      </w:r>
      <w:r>
        <w:rPr>
          <w:w w:val="105"/>
        </w:rPr>
        <w:t> el servicio.</w:t>
      </w:r>
      <w:r>
        <w:rPr>
          <w:spacing w:val="-18"/>
          <w:w w:val="105"/>
        </w:rPr>
        <w:t> </w:t>
      </w:r>
      <w:r>
        <w:rPr>
          <w:w w:val="105"/>
        </w:rPr>
        <w:t>En</w:t>
      </w:r>
      <w:r>
        <w:rPr>
          <w:spacing w:val="-17"/>
          <w:w w:val="105"/>
        </w:rPr>
        <w:t> </w:t>
      </w:r>
      <w:r>
        <w:rPr>
          <w:w w:val="105"/>
        </w:rPr>
        <w:t>ese</w:t>
      </w:r>
      <w:r>
        <w:rPr>
          <w:spacing w:val="-18"/>
          <w:w w:val="105"/>
        </w:rPr>
        <w:t> </w:t>
      </w:r>
      <w:r>
        <w:rPr>
          <w:w w:val="105"/>
        </w:rPr>
        <w:t>sentido,</w:t>
      </w:r>
      <w:r>
        <w:rPr>
          <w:spacing w:val="-18"/>
          <w:w w:val="105"/>
        </w:rPr>
        <w:t> </w:t>
      </w:r>
      <w:r>
        <w:rPr>
          <w:w w:val="105"/>
        </w:rPr>
        <w:t>se</w:t>
      </w:r>
      <w:r>
        <w:rPr>
          <w:spacing w:val="-17"/>
          <w:w w:val="105"/>
        </w:rPr>
        <w:t> </w:t>
      </w:r>
      <w:r>
        <w:rPr>
          <w:w w:val="105"/>
        </w:rPr>
        <w:t>coordinó</w:t>
      </w:r>
      <w:r>
        <w:rPr>
          <w:spacing w:val="-18"/>
          <w:w w:val="105"/>
        </w:rPr>
        <w:t> </w:t>
      </w:r>
      <w:r>
        <w:rPr>
          <w:w w:val="105"/>
        </w:rPr>
        <w:t>con</w:t>
      </w:r>
      <w:r>
        <w:rPr>
          <w:spacing w:val="-17"/>
          <w:w w:val="105"/>
        </w:rPr>
        <w:t> </w:t>
      </w:r>
      <w:r>
        <w:rPr>
          <w:w w:val="105"/>
        </w:rPr>
        <w:t>el</w:t>
      </w:r>
      <w:r>
        <w:rPr>
          <w:spacing w:val="-18"/>
          <w:w w:val="105"/>
        </w:rPr>
        <w:t> </w:t>
      </w:r>
      <w:r>
        <w:rPr>
          <w:w w:val="105"/>
        </w:rPr>
        <w:t>servicio</w:t>
      </w:r>
      <w:r>
        <w:rPr>
          <w:spacing w:val="-17"/>
          <w:w w:val="105"/>
        </w:rPr>
        <w:t> </w:t>
      </w:r>
      <w:r>
        <w:rPr>
          <w:w w:val="105"/>
        </w:rPr>
        <w:t>y</w:t>
      </w:r>
      <w:r>
        <w:rPr>
          <w:spacing w:val="-18"/>
          <w:w w:val="105"/>
        </w:rPr>
        <w:t> </w:t>
      </w:r>
      <w:r>
        <w:rPr>
          <w:w w:val="105"/>
        </w:rPr>
        <w:t>se</w:t>
      </w:r>
      <w:r>
        <w:rPr>
          <w:spacing w:val="-17"/>
          <w:w w:val="105"/>
        </w:rPr>
        <w:t> </w:t>
      </w:r>
      <w:r>
        <w:rPr>
          <w:w w:val="105"/>
        </w:rPr>
        <w:t>realizó</w:t>
      </w:r>
      <w:r>
        <w:rPr>
          <w:spacing w:val="-18"/>
          <w:w w:val="105"/>
        </w:rPr>
        <w:t> </w:t>
      </w:r>
      <w:r>
        <w:rPr>
          <w:w w:val="105"/>
        </w:rPr>
        <w:t>el</w:t>
      </w:r>
      <w:r>
        <w:rPr>
          <w:spacing w:val="-17"/>
          <w:w w:val="105"/>
        </w:rPr>
        <w:t> </w:t>
      </w:r>
      <w:r>
        <w:rPr>
          <w:w w:val="105"/>
        </w:rPr>
        <w:t>ajuste</w:t>
      </w:r>
      <w:r>
        <w:rPr>
          <w:spacing w:val="-18"/>
          <w:w w:val="105"/>
        </w:rPr>
        <w:t> </w:t>
      </w:r>
      <w:r>
        <w:rPr>
          <w:w w:val="105"/>
        </w:rPr>
        <w:t>en</w:t>
      </w:r>
      <w:r>
        <w:rPr>
          <w:spacing w:val="-17"/>
          <w:w w:val="105"/>
        </w:rPr>
        <w:t> </w:t>
      </w:r>
      <w:r>
        <w:rPr>
          <w:w w:val="105"/>
        </w:rPr>
        <w:t>el indicador</w:t>
      </w:r>
      <w:r>
        <w:rPr>
          <w:w w:val="105"/>
        </w:rPr>
        <w:t> para</w:t>
      </w:r>
      <w:r>
        <w:rPr>
          <w:w w:val="105"/>
        </w:rPr>
        <w:t> el</w:t>
      </w:r>
      <w:r>
        <w:rPr>
          <w:w w:val="105"/>
        </w:rPr>
        <w:t> año</w:t>
      </w:r>
      <w:r>
        <w:rPr>
          <w:w w:val="105"/>
        </w:rPr>
        <w:t> 2023,</w:t>
      </w:r>
      <w:r>
        <w:rPr>
          <w:w w:val="105"/>
        </w:rPr>
        <w:t> pasando</w:t>
      </w:r>
      <w:r>
        <w:rPr>
          <w:w w:val="105"/>
        </w:rPr>
        <w:t> de</w:t>
      </w:r>
      <w:r>
        <w:rPr>
          <w:w w:val="105"/>
        </w:rPr>
        <w:t> un</w:t>
      </w:r>
      <w:r>
        <w:rPr>
          <w:w w:val="105"/>
        </w:rPr>
        <w:t> cumplimiento</w:t>
      </w:r>
      <w:r>
        <w:rPr>
          <w:w w:val="105"/>
        </w:rPr>
        <w:t> alto</w:t>
      </w:r>
      <w:r>
        <w:rPr>
          <w:w w:val="105"/>
        </w:rPr>
        <w:t> a</w:t>
      </w:r>
      <w:r>
        <w:rPr>
          <w:w w:val="105"/>
        </w:rPr>
        <w:t> un cumplimiento medio (Tabla 3).</w:t>
      </w:r>
    </w:p>
    <w:p>
      <w:pPr>
        <w:spacing w:before="257"/>
        <w:ind w:left="1376" w:right="0" w:firstLine="0"/>
        <w:jc w:val="both"/>
        <w:rPr>
          <w:sz w:val="22"/>
        </w:rPr>
      </w:pPr>
      <w:r>
        <w:rPr>
          <w:color w:val="44536A"/>
          <w:sz w:val="22"/>
        </w:rPr>
        <w:t>Tabla</w:t>
      </w:r>
      <w:r>
        <w:rPr>
          <w:color w:val="44536A"/>
          <w:spacing w:val="-8"/>
          <w:sz w:val="22"/>
        </w:rPr>
        <w:t> </w:t>
      </w:r>
      <w:r>
        <w:rPr>
          <w:color w:val="44536A"/>
          <w:sz w:val="22"/>
        </w:rPr>
        <w:t>3.</w:t>
      </w:r>
      <w:r>
        <w:rPr>
          <w:color w:val="44536A"/>
          <w:spacing w:val="-7"/>
          <w:sz w:val="22"/>
        </w:rPr>
        <w:t> </w:t>
      </w:r>
      <w:r>
        <w:rPr>
          <w:color w:val="44536A"/>
          <w:sz w:val="22"/>
        </w:rPr>
        <w:t>Análisis</w:t>
      </w:r>
      <w:r>
        <w:rPr>
          <w:color w:val="44536A"/>
          <w:spacing w:val="-8"/>
          <w:sz w:val="22"/>
        </w:rPr>
        <w:t> </w:t>
      </w:r>
      <w:r>
        <w:rPr>
          <w:color w:val="44536A"/>
          <w:sz w:val="22"/>
        </w:rPr>
        <w:t>del</w:t>
      </w:r>
      <w:r>
        <w:rPr>
          <w:color w:val="44536A"/>
          <w:spacing w:val="-10"/>
          <w:sz w:val="22"/>
        </w:rPr>
        <w:t> </w:t>
      </w:r>
      <w:r>
        <w:rPr>
          <w:color w:val="44536A"/>
          <w:sz w:val="22"/>
        </w:rPr>
        <w:t>indicador</w:t>
      </w:r>
      <w:r>
        <w:rPr>
          <w:color w:val="44536A"/>
          <w:spacing w:val="-10"/>
          <w:sz w:val="22"/>
        </w:rPr>
        <w:t> </w:t>
      </w:r>
      <w:r>
        <w:rPr>
          <w:color w:val="44536A"/>
          <w:sz w:val="22"/>
        </w:rPr>
        <w:t>de</w:t>
      </w:r>
      <w:r>
        <w:rPr>
          <w:color w:val="44536A"/>
          <w:spacing w:val="-7"/>
          <w:sz w:val="22"/>
        </w:rPr>
        <w:t> </w:t>
      </w:r>
      <w:r>
        <w:rPr>
          <w:color w:val="44536A"/>
          <w:sz w:val="22"/>
        </w:rPr>
        <w:t>calidad</w:t>
      </w:r>
      <w:r>
        <w:rPr>
          <w:color w:val="44536A"/>
          <w:spacing w:val="-5"/>
          <w:sz w:val="22"/>
        </w:rPr>
        <w:t> </w:t>
      </w:r>
      <w:r>
        <w:rPr>
          <w:color w:val="44536A"/>
          <w:sz w:val="22"/>
        </w:rPr>
        <w:t>del</w:t>
      </w:r>
      <w:r>
        <w:rPr>
          <w:color w:val="44536A"/>
          <w:spacing w:val="-10"/>
          <w:sz w:val="22"/>
        </w:rPr>
        <w:t> </w:t>
      </w:r>
      <w:r>
        <w:rPr>
          <w:color w:val="44536A"/>
          <w:sz w:val="22"/>
        </w:rPr>
        <w:t>servicio</w:t>
      </w:r>
      <w:r>
        <w:rPr>
          <w:color w:val="44536A"/>
          <w:spacing w:val="-10"/>
          <w:sz w:val="22"/>
        </w:rPr>
        <w:t> </w:t>
      </w:r>
      <w:r>
        <w:rPr>
          <w:color w:val="44536A"/>
          <w:spacing w:val="-2"/>
          <w:sz w:val="22"/>
        </w:rPr>
        <w:t>01.01.08</w:t>
      </w:r>
    </w:p>
    <w:p>
      <w:pPr>
        <w:pStyle w:val="BodyText"/>
        <w:spacing w:before="10" w:after="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58"/>
        <w:gridCol w:w="976"/>
        <w:gridCol w:w="809"/>
        <w:gridCol w:w="806"/>
        <w:gridCol w:w="808"/>
        <w:gridCol w:w="808"/>
        <w:gridCol w:w="805"/>
        <w:gridCol w:w="807"/>
        <w:gridCol w:w="808"/>
        <w:gridCol w:w="805"/>
      </w:tblGrid>
      <w:tr>
        <w:trPr>
          <w:trHeight w:val="585" w:hRule="atLeast"/>
        </w:trPr>
        <w:tc>
          <w:tcPr>
            <w:tcW w:w="1058" w:type="dxa"/>
            <w:shd w:val="clear" w:color="auto" w:fill="44536A"/>
          </w:tcPr>
          <w:p>
            <w:pPr>
              <w:pStyle w:val="TableParagraph"/>
              <w:spacing w:before="18"/>
              <w:rPr>
                <w:sz w:val="16"/>
              </w:rPr>
            </w:pPr>
          </w:p>
          <w:p>
            <w:pPr>
              <w:pStyle w:val="TableParagraph"/>
              <w:ind w:left="9" w:right="2"/>
              <w:jc w:val="center"/>
              <w:rPr>
                <w:sz w:val="16"/>
              </w:rPr>
            </w:pPr>
            <w:r>
              <w:rPr>
                <w:color w:val="FFFFFF"/>
                <w:spacing w:val="-5"/>
                <w:sz w:val="16"/>
              </w:rPr>
              <w:t>OP</w:t>
            </w:r>
          </w:p>
        </w:tc>
        <w:tc>
          <w:tcPr>
            <w:tcW w:w="7432" w:type="dxa"/>
            <w:gridSpan w:val="9"/>
          </w:tcPr>
          <w:p>
            <w:pPr>
              <w:pStyle w:val="TableParagraph"/>
              <w:spacing w:before="193"/>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489" w:hRule="atLeast"/>
        </w:trPr>
        <w:tc>
          <w:tcPr>
            <w:tcW w:w="1058" w:type="dxa"/>
            <w:shd w:val="clear" w:color="auto" w:fill="44536A"/>
          </w:tcPr>
          <w:p>
            <w:pPr>
              <w:pStyle w:val="TableParagraph"/>
              <w:spacing w:before="145"/>
              <w:ind w:left="218"/>
              <w:rPr>
                <w:sz w:val="18"/>
              </w:rPr>
            </w:pPr>
            <w:r>
              <w:rPr>
                <w:color w:val="FFFFFF"/>
                <w:spacing w:val="-2"/>
                <w:sz w:val="18"/>
              </w:rPr>
              <w:t>Servicio</w:t>
            </w:r>
          </w:p>
        </w:tc>
        <w:tc>
          <w:tcPr>
            <w:tcW w:w="7432" w:type="dxa"/>
            <w:gridSpan w:val="9"/>
          </w:tcPr>
          <w:p>
            <w:pPr>
              <w:pStyle w:val="TableParagraph"/>
              <w:spacing w:before="23"/>
              <w:ind w:left="69"/>
              <w:rPr>
                <w:sz w:val="18"/>
              </w:rPr>
            </w:pPr>
            <w:r>
              <w:rPr>
                <w:sz w:val="18"/>
              </w:rPr>
              <w:t>Atención,</w:t>
            </w:r>
            <w:r>
              <w:rPr>
                <w:spacing w:val="-13"/>
                <w:sz w:val="18"/>
              </w:rPr>
              <w:t> </w:t>
            </w:r>
            <w:r>
              <w:rPr>
                <w:sz w:val="18"/>
              </w:rPr>
              <w:t>orientación,</w:t>
            </w:r>
            <w:r>
              <w:rPr>
                <w:spacing w:val="-11"/>
                <w:sz w:val="18"/>
              </w:rPr>
              <w:t> </w:t>
            </w:r>
            <w:r>
              <w:rPr>
                <w:sz w:val="18"/>
              </w:rPr>
              <w:t>asistencia</w:t>
            </w:r>
            <w:r>
              <w:rPr>
                <w:spacing w:val="-10"/>
                <w:sz w:val="18"/>
              </w:rPr>
              <w:t> </w:t>
            </w:r>
            <w:r>
              <w:rPr>
                <w:sz w:val="18"/>
              </w:rPr>
              <w:t>legal</w:t>
            </w:r>
            <w:r>
              <w:rPr>
                <w:spacing w:val="-11"/>
                <w:sz w:val="18"/>
              </w:rPr>
              <w:t> </w:t>
            </w:r>
            <w:r>
              <w:rPr>
                <w:sz w:val="18"/>
              </w:rPr>
              <w:t>y</w:t>
            </w:r>
            <w:r>
              <w:rPr>
                <w:spacing w:val="-13"/>
                <w:sz w:val="18"/>
              </w:rPr>
              <w:t> </w:t>
            </w:r>
            <w:r>
              <w:rPr>
                <w:sz w:val="18"/>
              </w:rPr>
              <w:t>psicológica,</w:t>
            </w:r>
            <w:r>
              <w:rPr>
                <w:spacing w:val="-11"/>
                <w:sz w:val="18"/>
              </w:rPr>
              <w:t> </w:t>
            </w:r>
            <w:r>
              <w:rPr>
                <w:sz w:val="18"/>
              </w:rPr>
              <w:t>intercultural,</w:t>
            </w:r>
            <w:r>
              <w:rPr>
                <w:spacing w:val="-11"/>
                <w:sz w:val="18"/>
              </w:rPr>
              <w:t> </w:t>
            </w:r>
            <w:r>
              <w:rPr>
                <w:sz w:val="18"/>
              </w:rPr>
              <w:t>accesible,</w:t>
            </w:r>
            <w:r>
              <w:rPr>
                <w:spacing w:val="-11"/>
                <w:sz w:val="18"/>
              </w:rPr>
              <w:t> </w:t>
            </w:r>
            <w:r>
              <w:rPr>
                <w:spacing w:val="-2"/>
                <w:sz w:val="18"/>
              </w:rPr>
              <w:t>oportuna,</w:t>
            </w:r>
          </w:p>
          <w:p>
            <w:pPr>
              <w:pStyle w:val="TableParagraph"/>
              <w:spacing w:line="201" w:lineRule="exact" w:before="37"/>
              <w:ind w:left="69"/>
              <w:rPr>
                <w:sz w:val="18"/>
              </w:rPr>
            </w:pPr>
            <w:r>
              <w:rPr>
                <w:sz w:val="18"/>
              </w:rPr>
              <w:t>efectiva,</w:t>
            </w:r>
            <w:r>
              <w:rPr>
                <w:spacing w:val="-10"/>
                <w:sz w:val="18"/>
              </w:rPr>
              <w:t> </w:t>
            </w:r>
            <w:r>
              <w:rPr>
                <w:sz w:val="18"/>
              </w:rPr>
              <w:t>disponible</w:t>
            </w:r>
            <w:r>
              <w:rPr>
                <w:spacing w:val="-9"/>
                <w:sz w:val="18"/>
              </w:rPr>
              <w:t> </w:t>
            </w:r>
            <w:r>
              <w:rPr>
                <w:sz w:val="18"/>
              </w:rPr>
              <w:t>y</w:t>
            </w:r>
            <w:r>
              <w:rPr>
                <w:spacing w:val="-12"/>
                <w:sz w:val="18"/>
              </w:rPr>
              <w:t> </w:t>
            </w:r>
            <w:r>
              <w:rPr>
                <w:sz w:val="18"/>
              </w:rPr>
              <w:t>de</w:t>
            </w:r>
            <w:r>
              <w:rPr>
                <w:spacing w:val="-9"/>
                <w:sz w:val="18"/>
              </w:rPr>
              <w:t> </w:t>
            </w:r>
            <w:r>
              <w:rPr>
                <w:sz w:val="18"/>
              </w:rPr>
              <w:t>calidad,</w:t>
            </w:r>
            <w:r>
              <w:rPr>
                <w:spacing w:val="-9"/>
                <w:sz w:val="18"/>
              </w:rPr>
              <w:t> </w:t>
            </w:r>
            <w:r>
              <w:rPr>
                <w:sz w:val="18"/>
              </w:rPr>
              <w:t>a</w:t>
            </w:r>
            <w:r>
              <w:rPr>
                <w:spacing w:val="-10"/>
                <w:sz w:val="18"/>
              </w:rPr>
              <w:t> </w:t>
            </w:r>
            <w:r>
              <w:rPr>
                <w:sz w:val="18"/>
              </w:rPr>
              <w:t>víctimas</w:t>
            </w:r>
            <w:r>
              <w:rPr>
                <w:spacing w:val="-9"/>
                <w:sz w:val="18"/>
              </w:rPr>
              <w:t> </w:t>
            </w:r>
            <w:r>
              <w:rPr>
                <w:sz w:val="18"/>
              </w:rPr>
              <w:t>de</w:t>
            </w:r>
            <w:r>
              <w:rPr>
                <w:spacing w:val="-11"/>
                <w:sz w:val="18"/>
              </w:rPr>
              <w:t> </w:t>
            </w:r>
            <w:r>
              <w:rPr>
                <w:sz w:val="18"/>
              </w:rPr>
              <w:t>acoso</w:t>
            </w:r>
            <w:r>
              <w:rPr>
                <w:spacing w:val="-8"/>
                <w:sz w:val="18"/>
              </w:rPr>
              <w:t> </w:t>
            </w:r>
            <w:r>
              <w:rPr>
                <w:sz w:val="18"/>
              </w:rPr>
              <w:t>sexual</w:t>
            </w:r>
            <w:r>
              <w:rPr>
                <w:spacing w:val="-10"/>
                <w:sz w:val="18"/>
              </w:rPr>
              <w:t> </w:t>
            </w:r>
            <w:r>
              <w:rPr>
                <w:spacing w:val="-2"/>
                <w:sz w:val="18"/>
              </w:rPr>
              <w:t>laboral.</w:t>
            </w:r>
          </w:p>
        </w:tc>
      </w:tr>
      <w:tr>
        <w:trPr>
          <w:trHeight w:val="299" w:hRule="atLeast"/>
        </w:trPr>
        <w:tc>
          <w:tcPr>
            <w:tcW w:w="1058" w:type="dxa"/>
            <w:shd w:val="clear" w:color="auto" w:fill="44536A"/>
          </w:tcPr>
          <w:p>
            <w:pPr>
              <w:pStyle w:val="TableParagraph"/>
              <w:spacing w:before="51"/>
              <w:ind w:left="146"/>
              <w:rPr>
                <w:sz w:val="18"/>
              </w:rPr>
            </w:pPr>
            <w:r>
              <w:rPr>
                <w:color w:val="FFFFFF"/>
                <w:spacing w:val="-2"/>
                <w:w w:val="105"/>
                <w:sz w:val="18"/>
              </w:rPr>
              <w:t>Indicador</w:t>
            </w:r>
          </w:p>
        </w:tc>
        <w:tc>
          <w:tcPr>
            <w:tcW w:w="7432" w:type="dxa"/>
            <w:gridSpan w:val="9"/>
          </w:tcPr>
          <w:p>
            <w:pPr>
              <w:pStyle w:val="TableParagraph"/>
              <w:spacing w:before="51"/>
              <w:ind w:left="69"/>
              <w:rPr>
                <w:sz w:val="18"/>
              </w:rPr>
            </w:pPr>
            <w:r>
              <w:rPr>
                <w:sz w:val="18"/>
              </w:rPr>
              <w:t>Porcentaje</w:t>
            </w:r>
            <w:r>
              <w:rPr>
                <w:spacing w:val="-1"/>
                <w:sz w:val="18"/>
              </w:rPr>
              <w:t> </w:t>
            </w:r>
            <w:r>
              <w:rPr>
                <w:sz w:val="18"/>
              </w:rPr>
              <w:t>de víctimas</w:t>
            </w:r>
            <w:r>
              <w:rPr>
                <w:spacing w:val="-2"/>
                <w:sz w:val="18"/>
              </w:rPr>
              <w:t> </w:t>
            </w:r>
            <w:r>
              <w:rPr>
                <w:sz w:val="18"/>
              </w:rPr>
              <w:t>de hostigamiento sexual laboral</w:t>
            </w:r>
            <w:r>
              <w:rPr>
                <w:spacing w:val="-1"/>
                <w:sz w:val="18"/>
              </w:rPr>
              <w:t> </w:t>
            </w:r>
            <w:r>
              <w:rPr>
                <w:sz w:val="18"/>
              </w:rPr>
              <w:t>atendidas</w:t>
            </w:r>
            <w:r>
              <w:rPr>
                <w:spacing w:val="-2"/>
                <w:sz w:val="18"/>
              </w:rPr>
              <w:t> </w:t>
            </w:r>
            <w:r>
              <w:rPr>
                <w:sz w:val="18"/>
              </w:rPr>
              <w:t>de manera</w:t>
            </w:r>
            <w:r>
              <w:rPr>
                <w:spacing w:val="-1"/>
                <w:sz w:val="18"/>
              </w:rPr>
              <w:t> </w:t>
            </w:r>
            <w:r>
              <w:rPr>
                <w:spacing w:val="-2"/>
                <w:sz w:val="18"/>
              </w:rPr>
              <w:t>oportuna.</w:t>
            </w:r>
          </w:p>
        </w:tc>
      </w:tr>
      <w:tr>
        <w:trPr>
          <w:trHeight w:val="302" w:hRule="atLeast"/>
        </w:trPr>
        <w:tc>
          <w:tcPr>
            <w:tcW w:w="1058" w:type="dxa"/>
            <w:shd w:val="clear" w:color="auto" w:fill="808080"/>
          </w:tcPr>
          <w:p>
            <w:pPr>
              <w:pStyle w:val="TableParagraph"/>
              <w:spacing w:before="52"/>
              <w:ind w:left="9"/>
              <w:jc w:val="center"/>
              <w:rPr>
                <w:sz w:val="18"/>
              </w:rPr>
            </w:pPr>
            <w:r>
              <w:rPr>
                <w:color w:val="FFFFFF"/>
                <w:spacing w:val="-5"/>
                <w:sz w:val="18"/>
              </w:rPr>
              <w:t>Año</w:t>
            </w:r>
          </w:p>
        </w:tc>
        <w:tc>
          <w:tcPr>
            <w:tcW w:w="976" w:type="dxa"/>
            <w:shd w:val="clear" w:color="auto" w:fill="808080"/>
          </w:tcPr>
          <w:p>
            <w:pPr>
              <w:pStyle w:val="TableParagraph"/>
              <w:spacing w:before="52"/>
              <w:ind w:left="153"/>
              <w:rPr>
                <w:sz w:val="18"/>
              </w:rPr>
            </w:pPr>
            <w:r>
              <w:rPr>
                <w:color w:val="FFFFFF"/>
                <w:sz w:val="18"/>
              </w:rPr>
              <w:t>Valor</w:t>
            </w:r>
            <w:r>
              <w:rPr>
                <w:color w:val="FFFFFF"/>
                <w:spacing w:val="-12"/>
                <w:sz w:val="18"/>
              </w:rPr>
              <w:t> </w:t>
            </w:r>
            <w:r>
              <w:rPr>
                <w:color w:val="FFFFFF"/>
                <w:spacing w:val="-5"/>
                <w:sz w:val="18"/>
              </w:rPr>
              <w:t>LB</w:t>
            </w:r>
          </w:p>
        </w:tc>
        <w:tc>
          <w:tcPr>
            <w:tcW w:w="809" w:type="dxa"/>
            <w:shd w:val="clear" w:color="auto" w:fill="808080"/>
          </w:tcPr>
          <w:p>
            <w:pPr>
              <w:pStyle w:val="TableParagraph"/>
              <w:spacing w:before="52"/>
              <w:ind w:left="10"/>
              <w:jc w:val="center"/>
              <w:rPr>
                <w:sz w:val="18"/>
              </w:rPr>
            </w:pPr>
            <w:r>
              <w:rPr>
                <w:color w:val="FFFFFF"/>
                <w:spacing w:val="-4"/>
                <w:sz w:val="18"/>
              </w:rPr>
              <w:t>2023</w:t>
            </w:r>
          </w:p>
        </w:tc>
        <w:tc>
          <w:tcPr>
            <w:tcW w:w="806" w:type="dxa"/>
            <w:shd w:val="clear" w:color="auto" w:fill="808080"/>
          </w:tcPr>
          <w:p>
            <w:pPr>
              <w:pStyle w:val="TableParagraph"/>
              <w:spacing w:before="52"/>
              <w:ind w:left="8"/>
              <w:jc w:val="center"/>
              <w:rPr>
                <w:sz w:val="18"/>
              </w:rPr>
            </w:pPr>
            <w:r>
              <w:rPr>
                <w:color w:val="FFFFFF"/>
                <w:spacing w:val="-4"/>
                <w:sz w:val="18"/>
              </w:rPr>
              <w:t>2024</w:t>
            </w:r>
          </w:p>
        </w:tc>
        <w:tc>
          <w:tcPr>
            <w:tcW w:w="808" w:type="dxa"/>
            <w:shd w:val="clear" w:color="auto" w:fill="808080"/>
          </w:tcPr>
          <w:p>
            <w:pPr>
              <w:pStyle w:val="TableParagraph"/>
              <w:spacing w:before="52"/>
              <w:ind w:left="22" w:right="11"/>
              <w:jc w:val="center"/>
              <w:rPr>
                <w:sz w:val="18"/>
              </w:rPr>
            </w:pPr>
            <w:r>
              <w:rPr>
                <w:color w:val="FFFFFF"/>
                <w:spacing w:val="-4"/>
                <w:sz w:val="18"/>
              </w:rPr>
              <w:t>2025</w:t>
            </w:r>
          </w:p>
        </w:tc>
        <w:tc>
          <w:tcPr>
            <w:tcW w:w="808" w:type="dxa"/>
            <w:shd w:val="clear" w:color="auto" w:fill="808080"/>
          </w:tcPr>
          <w:p>
            <w:pPr>
              <w:pStyle w:val="TableParagraph"/>
              <w:spacing w:before="52"/>
              <w:ind w:left="22" w:right="9"/>
              <w:jc w:val="center"/>
              <w:rPr>
                <w:sz w:val="18"/>
              </w:rPr>
            </w:pPr>
            <w:r>
              <w:rPr>
                <w:color w:val="FFFFFF"/>
                <w:spacing w:val="-4"/>
                <w:sz w:val="18"/>
              </w:rPr>
              <w:t>2026</w:t>
            </w:r>
          </w:p>
        </w:tc>
        <w:tc>
          <w:tcPr>
            <w:tcW w:w="805" w:type="dxa"/>
            <w:shd w:val="clear" w:color="auto" w:fill="808080"/>
          </w:tcPr>
          <w:p>
            <w:pPr>
              <w:pStyle w:val="TableParagraph"/>
              <w:spacing w:before="52"/>
              <w:ind w:left="28" w:right="10"/>
              <w:jc w:val="center"/>
              <w:rPr>
                <w:sz w:val="18"/>
              </w:rPr>
            </w:pPr>
            <w:r>
              <w:rPr>
                <w:color w:val="FFFFFF"/>
                <w:spacing w:val="-4"/>
                <w:sz w:val="18"/>
              </w:rPr>
              <w:t>2027</w:t>
            </w:r>
          </w:p>
        </w:tc>
        <w:tc>
          <w:tcPr>
            <w:tcW w:w="807" w:type="dxa"/>
            <w:shd w:val="clear" w:color="auto" w:fill="808080"/>
          </w:tcPr>
          <w:p>
            <w:pPr>
              <w:pStyle w:val="TableParagraph"/>
              <w:spacing w:before="52"/>
              <w:ind w:left="19"/>
              <w:jc w:val="center"/>
              <w:rPr>
                <w:sz w:val="18"/>
              </w:rPr>
            </w:pPr>
            <w:r>
              <w:rPr>
                <w:color w:val="FFFFFF"/>
                <w:spacing w:val="-4"/>
                <w:sz w:val="18"/>
              </w:rPr>
              <w:t>2028</w:t>
            </w:r>
          </w:p>
        </w:tc>
        <w:tc>
          <w:tcPr>
            <w:tcW w:w="808" w:type="dxa"/>
            <w:shd w:val="clear" w:color="auto" w:fill="808080"/>
          </w:tcPr>
          <w:p>
            <w:pPr>
              <w:pStyle w:val="TableParagraph"/>
              <w:spacing w:before="52"/>
              <w:ind w:left="22"/>
              <w:jc w:val="center"/>
              <w:rPr>
                <w:sz w:val="18"/>
              </w:rPr>
            </w:pPr>
            <w:r>
              <w:rPr>
                <w:color w:val="FFFFFF"/>
                <w:spacing w:val="-4"/>
                <w:sz w:val="18"/>
              </w:rPr>
              <w:t>2029</w:t>
            </w:r>
          </w:p>
        </w:tc>
        <w:tc>
          <w:tcPr>
            <w:tcW w:w="805" w:type="dxa"/>
            <w:shd w:val="clear" w:color="auto" w:fill="808080"/>
          </w:tcPr>
          <w:p>
            <w:pPr>
              <w:pStyle w:val="TableParagraph"/>
              <w:spacing w:before="52"/>
              <w:ind w:left="28"/>
              <w:jc w:val="center"/>
              <w:rPr>
                <w:sz w:val="18"/>
              </w:rPr>
            </w:pPr>
            <w:r>
              <w:rPr>
                <w:color w:val="FFFFFF"/>
                <w:spacing w:val="-4"/>
                <w:sz w:val="18"/>
              </w:rPr>
              <w:t>2030</w:t>
            </w:r>
          </w:p>
        </w:tc>
      </w:tr>
      <w:tr>
        <w:trPr>
          <w:trHeight w:val="434" w:hRule="atLeast"/>
        </w:trPr>
        <w:tc>
          <w:tcPr>
            <w:tcW w:w="1058" w:type="dxa"/>
            <w:shd w:val="clear" w:color="auto" w:fill="44536A"/>
          </w:tcPr>
          <w:p>
            <w:pPr>
              <w:pStyle w:val="TableParagraph"/>
              <w:spacing w:before="116"/>
              <w:ind w:left="69"/>
              <w:rPr>
                <w:sz w:val="18"/>
              </w:rPr>
            </w:pPr>
            <w:r>
              <w:rPr>
                <w:color w:val="FFFFFF"/>
                <w:spacing w:val="-2"/>
                <w:sz w:val="18"/>
              </w:rPr>
              <w:t>Metas</w:t>
            </w:r>
          </w:p>
        </w:tc>
        <w:tc>
          <w:tcPr>
            <w:tcW w:w="976" w:type="dxa"/>
          </w:tcPr>
          <w:p>
            <w:pPr>
              <w:pStyle w:val="TableParagraph"/>
              <w:spacing w:before="20"/>
              <w:ind w:left="10" w:right="4"/>
              <w:jc w:val="center"/>
              <w:rPr>
                <w:sz w:val="16"/>
              </w:rPr>
            </w:pPr>
            <w:r>
              <w:rPr>
                <w:spacing w:val="-5"/>
                <w:sz w:val="16"/>
              </w:rPr>
              <w:t>No</w:t>
            </w:r>
          </w:p>
          <w:p>
            <w:pPr>
              <w:pStyle w:val="TableParagraph"/>
              <w:spacing w:line="178" w:lineRule="exact" w:before="32"/>
              <w:ind w:left="10"/>
              <w:jc w:val="center"/>
              <w:rPr>
                <w:sz w:val="16"/>
              </w:rPr>
            </w:pPr>
            <w:r>
              <w:rPr>
                <w:spacing w:val="-2"/>
                <w:w w:val="105"/>
                <w:sz w:val="16"/>
              </w:rPr>
              <w:t>definido</w:t>
            </w:r>
          </w:p>
        </w:tc>
        <w:tc>
          <w:tcPr>
            <w:tcW w:w="809" w:type="dxa"/>
          </w:tcPr>
          <w:p>
            <w:pPr>
              <w:pStyle w:val="TableParagraph"/>
              <w:spacing w:before="128"/>
              <w:ind w:left="10" w:right="1"/>
              <w:jc w:val="center"/>
              <w:rPr>
                <w:sz w:val="16"/>
              </w:rPr>
            </w:pPr>
            <w:r>
              <w:rPr>
                <w:spacing w:val="-2"/>
                <w:sz w:val="16"/>
              </w:rPr>
              <w:t>50.00%</w:t>
            </w:r>
          </w:p>
        </w:tc>
        <w:tc>
          <w:tcPr>
            <w:tcW w:w="806" w:type="dxa"/>
          </w:tcPr>
          <w:p>
            <w:pPr>
              <w:pStyle w:val="TableParagraph"/>
              <w:spacing w:before="128"/>
              <w:ind w:left="8"/>
              <w:jc w:val="center"/>
              <w:rPr>
                <w:sz w:val="16"/>
              </w:rPr>
            </w:pPr>
            <w:r>
              <w:rPr>
                <w:spacing w:val="-2"/>
                <w:sz w:val="16"/>
              </w:rPr>
              <w:t>55.00%</w:t>
            </w:r>
          </w:p>
        </w:tc>
        <w:tc>
          <w:tcPr>
            <w:tcW w:w="808" w:type="dxa"/>
          </w:tcPr>
          <w:p>
            <w:pPr>
              <w:pStyle w:val="TableParagraph"/>
              <w:spacing w:before="128"/>
              <w:ind w:left="22" w:right="11"/>
              <w:jc w:val="center"/>
              <w:rPr>
                <w:sz w:val="16"/>
              </w:rPr>
            </w:pPr>
            <w:r>
              <w:rPr>
                <w:spacing w:val="-2"/>
                <w:sz w:val="16"/>
              </w:rPr>
              <w:t>60.00%</w:t>
            </w:r>
          </w:p>
        </w:tc>
        <w:tc>
          <w:tcPr>
            <w:tcW w:w="808" w:type="dxa"/>
          </w:tcPr>
          <w:p>
            <w:pPr>
              <w:pStyle w:val="TableParagraph"/>
              <w:spacing w:before="128"/>
              <w:ind w:left="22" w:right="9"/>
              <w:jc w:val="center"/>
              <w:rPr>
                <w:sz w:val="16"/>
              </w:rPr>
            </w:pPr>
            <w:r>
              <w:rPr>
                <w:spacing w:val="-2"/>
                <w:sz w:val="16"/>
              </w:rPr>
              <w:t>65.00%</w:t>
            </w:r>
          </w:p>
        </w:tc>
        <w:tc>
          <w:tcPr>
            <w:tcW w:w="805" w:type="dxa"/>
          </w:tcPr>
          <w:p>
            <w:pPr>
              <w:pStyle w:val="TableParagraph"/>
              <w:spacing w:before="128"/>
              <w:ind w:left="28" w:right="10"/>
              <w:jc w:val="center"/>
              <w:rPr>
                <w:sz w:val="16"/>
              </w:rPr>
            </w:pPr>
            <w:r>
              <w:rPr>
                <w:spacing w:val="-2"/>
                <w:sz w:val="16"/>
              </w:rPr>
              <w:t>70.00%</w:t>
            </w:r>
          </w:p>
        </w:tc>
        <w:tc>
          <w:tcPr>
            <w:tcW w:w="807" w:type="dxa"/>
          </w:tcPr>
          <w:p>
            <w:pPr>
              <w:pStyle w:val="TableParagraph"/>
              <w:spacing w:before="128"/>
              <w:ind w:left="19"/>
              <w:jc w:val="center"/>
              <w:rPr>
                <w:sz w:val="16"/>
              </w:rPr>
            </w:pPr>
            <w:r>
              <w:rPr>
                <w:spacing w:val="-2"/>
                <w:sz w:val="16"/>
              </w:rPr>
              <w:t>75.00%</w:t>
            </w:r>
          </w:p>
        </w:tc>
        <w:tc>
          <w:tcPr>
            <w:tcW w:w="808" w:type="dxa"/>
          </w:tcPr>
          <w:p>
            <w:pPr>
              <w:pStyle w:val="TableParagraph"/>
              <w:spacing w:before="128"/>
              <w:ind w:left="22"/>
              <w:jc w:val="center"/>
              <w:rPr>
                <w:sz w:val="16"/>
              </w:rPr>
            </w:pPr>
            <w:r>
              <w:rPr>
                <w:spacing w:val="-2"/>
                <w:sz w:val="16"/>
              </w:rPr>
              <w:t>80.00%</w:t>
            </w:r>
          </w:p>
        </w:tc>
        <w:tc>
          <w:tcPr>
            <w:tcW w:w="805" w:type="dxa"/>
          </w:tcPr>
          <w:p>
            <w:pPr>
              <w:pStyle w:val="TableParagraph"/>
              <w:spacing w:before="128"/>
              <w:ind w:left="28"/>
              <w:jc w:val="center"/>
              <w:rPr>
                <w:sz w:val="16"/>
              </w:rPr>
            </w:pPr>
            <w:r>
              <w:rPr>
                <w:spacing w:val="-2"/>
                <w:sz w:val="16"/>
              </w:rPr>
              <w:t>85.00%</w:t>
            </w:r>
          </w:p>
        </w:tc>
      </w:tr>
      <w:tr>
        <w:trPr>
          <w:trHeight w:val="491" w:hRule="atLeast"/>
        </w:trPr>
        <w:tc>
          <w:tcPr>
            <w:tcW w:w="1058" w:type="dxa"/>
            <w:shd w:val="clear" w:color="auto" w:fill="44536A"/>
          </w:tcPr>
          <w:p>
            <w:pPr>
              <w:pStyle w:val="TableParagraph"/>
              <w:spacing w:before="23"/>
              <w:ind w:left="69"/>
              <w:rPr>
                <w:sz w:val="18"/>
              </w:rPr>
            </w:pPr>
            <w:r>
              <w:rPr>
                <w:color w:val="FFFFFF"/>
                <w:spacing w:val="-2"/>
                <w:sz w:val="18"/>
              </w:rPr>
              <w:t>Valor</w:t>
            </w:r>
          </w:p>
          <w:p>
            <w:pPr>
              <w:pStyle w:val="TableParagraph"/>
              <w:spacing w:line="201" w:lineRule="exact" w:before="40"/>
              <w:ind w:left="69"/>
              <w:rPr>
                <w:sz w:val="18"/>
              </w:rPr>
            </w:pPr>
            <w:r>
              <w:rPr>
                <w:color w:val="FFFFFF"/>
                <w:spacing w:val="-2"/>
                <w:w w:val="105"/>
                <w:sz w:val="18"/>
              </w:rPr>
              <w:t>reportado</w:t>
            </w:r>
          </w:p>
        </w:tc>
        <w:tc>
          <w:tcPr>
            <w:tcW w:w="976" w:type="dxa"/>
            <w:shd w:val="clear" w:color="auto" w:fill="C8C8C8"/>
          </w:tcPr>
          <w:p>
            <w:pPr>
              <w:pStyle w:val="TableParagraph"/>
              <w:rPr>
                <w:rFonts w:ascii="Times New Roman"/>
                <w:sz w:val="20"/>
              </w:rPr>
            </w:pPr>
          </w:p>
        </w:tc>
        <w:tc>
          <w:tcPr>
            <w:tcW w:w="809" w:type="dxa"/>
          </w:tcPr>
          <w:p>
            <w:pPr>
              <w:pStyle w:val="TableParagraph"/>
              <w:spacing w:before="157"/>
              <w:ind w:left="10" w:right="1"/>
              <w:jc w:val="center"/>
              <w:rPr>
                <w:sz w:val="16"/>
              </w:rPr>
            </w:pPr>
            <w:r>
              <w:rPr>
                <w:spacing w:val="-2"/>
                <w:sz w:val="16"/>
              </w:rPr>
              <w:t>38.90%</w:t>
            </w:r>
          </w:p>
        </w:tc>
        <w:tc>
          <w:tcPr>
            <w:tcW w:w="806" w:type="dxa"/>
            <w:shd w:val="clear" w:color="auto" w:fill="C8C8C8"/>
          </w:tcPr>
          <w:p>
            <w:pPr>
              <w:pStyle w:val="TableParagraph"/>
              <w:rPr>
                <w:rFonts w:ascii="Times New Roman"/>
                <w:sz w:val="20"/>
              </w:rPr>
            </w:pPr>
          </w:p>
        </w:tc>
        <w:tc>
          <w:tcPr>
            <w:tcW w:w="808" w:type="dxa"/>
            <w:shd w:val="clear" w:color="auto" w:fill="C8C8C8"/>
          </w:tcPr>
          <w:p>
            <w:pPr>
              <w:pStyle w:val="TableParagraph"/>
              <w:rPr>
                <w:rFonts w:ascii="Times New Roman"/>
                <w:sz w:val="20"/>
              </w:rPr>
            </w:pPr>
          </w:p>
        </w:tc>
        <w:tc>
          <w:tcPr>
            <w:tcW w:w="808" w:type="dxa"/>
            <w:shd w:val="clear" w:color="auto" w:fill="C8C8C8"/>
          </w:tcPr>
          <w:p>
            <w:pPr>
              <w:pStyle w:val="TableParagraph"/>
              <w:rPr>
                <w:rFonts w:ascii="Times New Roman"/>
                <w:sz w:val="20"/>
              </w:rPr>
            </w:pPr>
          </w:p>
        </w:tc>
        <w:tc>
          <w:tcPr>
            <w:tcW w:w="805" w:type="dxa"/>
            <w:shd w:val="clear" w:color="auto" w:fill="C8C8C8"/>
          </w:tcPr>
          <w:p>
            <w:pPr>
              <w:pStyle w:val="TableParagraph"/>
              <w:rPr>
                <w:rFonts w:ascii="Times New Roman"/>
                <w:sz w:val="20"/>
              </w:rPr>
            </w:pPr>
          </w:p>
        </w:tc>
        <w:tc>
          <w:tcPr>
            <w:tcW w:w="807" w:type="dxa"/>
            <w:shd w:val="clear" w:color="auto" w:fill="C8C8C8"/>
          </w:tcPr>
          <w:p>
            <w:pPr>
              <w:pStyle w:val="TableParagraph"/>
              <w:rPr>
                <w:rFonts w:ascii="Times New Roman"/>
                <w:sz w:val="20"/>
              </w:rPr>
            </w:pPr>
          </w:p>
        </w:tc>
        <w:tc>
          <w:tcPr>
            <w:tcW w:w="808" w:type="dxa"/>
            <w:shd w:val="clear" w:color="auto" w:fill="C8C8C8"/>
          </w:tcPr>
          <w:p>
            <w:pPr>
              <w:pStyle w:val="TableParagraph"/>
              <w:rPr>
                <w:rFonts w:ascii="Times New Roman"/>
                <w:sz w:val="20"/>
              </w:rPr>
            </w:pPr>
          </w:p>
        </w:tc>
        <w:tc>
          <w:tcPr>
            <w:tcW w:w="805" w:type="dxa"/>
            <w:shd w:val="clear" w:color="auto" w:fill="C8C8C8"/>
          </w:tcPr>
          <w:p>
            <w:pPr>
              <w:pStyle w:val="TableParagraph"/>
              <w:rPr>
                <w:rFonts w:ascii="Times New Roman"/>
                <w:sz w:val="20"/>
              </w:rPr>
            </w:pPr>
          </w:p>
        </w:tc>
      </w:tr>
      <w:tr>
        <w:trPr>
          <w:trHeight w:val="489" w:hRule="atLeast"/>
        </w:trPr>
        <w:tc>
          <w:tcPr>
            <w:tcW w:w="1058" w:type="dxa"/>
            <w:shd w:val="clear" w:color="auto" w:fill="44536A"/>
          </w:tcPr>
          <w:p>
            <w:pPr>
              <w:pStyle w:val="TableParagraph"/>
              <w:spacing w:before="23"/>
              <w:ind w:left="69"/>
              <w:rPr>
                <w:sz w:val="18"/>
              </w:rPr>
            </w:pPr>
            <w:r>
              <w:rPr>
                <w:color w:val="FFFFFF"/>
                <w:spacing w:val="-2"/>
                <w:sz w:val="18"/>
              </w:rPr>
              <w:t>Nivel</w:t>
            </w:r>
            <w:r>
              <w:rPr>
                <w:color w:val="FFFFFF"/>
                <w:spacing w:val="-5"/>
                <w:sz w:val="18"/>
              </w:rPr>
              <w:t> de</w:t>
            </w:r>
          </w:p>
          <w:p>
            <w:pPr>
              <w:pStyle w:val="TableParagraph"/>
              <w:spacing w:line="201" w:lineRule="exact" w:before="37"/>
              <w:ind w:left="69"/>
              <w:rPr>
                <w:sz w:val="18"/>
              </w:rPr>
            </w:pPr>
            <w:r>
              <w:rPr>
                <w:color w:val="FFFFFF"/>
                <w:spacing w:val="-2"/>
                <w:sz w:val="18"/>
              </w:rPr>
              <w:t>avance</w:t>
            </w:r>
          </w:p>
        </w:tc>
        <w:tc>
          <w:tcPr>
            <w:tcW w:w="976" w:type="dxa"/>
            <w:shd w:val="clear" w:color="auto" w:fill="C8C8C8"/>
          </w:tcPr>
          <w:p>
            <w:pPr>
              <w:pStyle w:val="TableParagraph"/>
              <w:rPr>
                <w:rFonts w:ascii="Times New Roman"/>
                <w:sz w:val="20"/>
              </w:rPr>
            </w:pPr>
          </w:p>
        </w:tc>
        <w:tc>
          <w:tcPr>
            <w:tcW w:w="809" w:type="dxa"/>
          </w:tcPr>
          <w:p>
            <w:pPr>
              <w:pStyle w:val="TableParagraph"/>
              <w:spacing w:before="154"/>
              <w:ind w:left="10"/>
              <w:jc w:val="center"/>
              <w:rPr>
                <w:sz w:val="16"/>
              </w:rPr>
            </w:pPr>
            <w:r>
              <w:rPr>
                <w:spacing w:val="-2"/>
                <w:sz w:val="16"/>
              </w:rPr>
              <w:t>77.80%</w:t>
            </w:r>
          </w:p>
        </w:tc>
        <w:tc>
          <w:tcPr>
            <w:tcW w:w="806" w:type="dxa"/>
            <w:shd w:val="clear" w:color="auto" w:fill="C8C8C8"/>
          </w:tcPr>
          <w:p>
            <w:pPr>
              <w:pStyle w:val="TableParagraph"/>
              <w:rPr>
                <w:rFonts w:ascii="Times New Roman"/>
                <w:sz w:val="20"/>
              </w:rPr>
            </w:pPr>
          </w:p>
        </w:tc>
        <w:tc>
          <w:tcPr>
            <w:tcW w:w="808" w:type="dxa"/>
            <w:shd w:val="clear" w:color="auto" w:fill="C8C8C8"/>
          </w:tcPr>
          <w:p>
            <w:pPr>
              <w:pStyle w:val="TableParagraph"/>
              <w:rPr>
                <w:rFonts w:ascii="Times New Roman"/>
                <w:sz w:val="20"/>
              </w:rPr>
            </w:pPr>
          </w:p>
        </w:tc>
        <w:tc>
          <w:tcPr>
            <w:tcW w:w="808" w:type="dxa"/>
            <w:shd w:val="clear" w:color="auto" w:fill="C8C8C8"/>
          </w:tcPr>
          <w:p>
            <w:pPr>
              <w:pStyle w:val="TableParagraph"/>
              <w:rPr>
                <w:rFonts w:ascii="Times New Roman"/>
                <w:sz w:val="20"/>
              </w:rPr>
            </w:pPr>
          </w:p>
        </w:tc>
        <w:tc>
          <w:tcPr>
            <w:tcW w:w="805" w:type="dxa"/>
            <w:shd w:val="clear" w:color="auto" w:fill="C8C8C8"/>
          </w:tcPr>
          <w:p>
            <w:pPr>
              <w:pStyle w:val="TableParagraph"/>
              <w:rPr>
                <w:rFonts w:ascii="Times New Roman"/>
                <w:sz w:val="20"/>
              </w:rPr>
            </w:pPr>
          </w:p>
        </w:tc>
        <w:tc>
          <w:tcPr>
            <w:tcW w:w="807" w:type="dxa"/>
            <w:shd w:val="clear" w:color="auto" w:fill="C8C8C8"/>
          </w:tcPr>
          <w:p>
            <w:pPr>
              <w:pStyle w:val="TableParagraph"/>
              <w:rPr>
                <w:rFonts w:ascii="Times New Roman"/>
                <w:sz w:val="20"/>
              </w:rPr>
            </w:pPr>
          </w:p>
        </w:tc>
        <w:tc>
          <w:tcPr>
            <w:tcW w:w="808" w:type="dxa"/>
            <w:shd w:val="clear" w:color="auto" w:fill="C8C8C8"/>
          </w:tcPr>
          <w:p>
            <w:pPr>
              <w:pStyle w:val="TableParagraph"/>
              <w:rPr>
                <w:rFonts w:ascii="Times New Roman"/>
                <w:sz w:val="20"/>
              </w:rPr>
            </w:pPr>
          </w:p>
        </w:tc>
        <w:tc>
          <w:tcPr>
            <w:tcW w:w="805" w:type="dxa"/>
            <w:shd w:val="clear" w:color="auto" w:fill="C8C8C8"/>
          </w:tcPr>
          <w:p>
            <w:pPr>
              <w:pStyle w:val="TableParagraph"/>
              <w:rPr>
                <w:rFonts w:ascii="Times New Roman"/>
                <w:sz w:val="20"/>
              </w:rPr>
            </w:pPr>
          </w:p>
        </w:tc>
      </w:tr>
    </w:tbl>
    <w:p>
      <w:pPr>
        <w:pStyle w:val="TableParagraph"/>
        <w:spacing w:after="0"/>
        <w:rPr>
          <w:rFonts w:ascii="Times New Roman"/>
          <w:sz w:val="20"/>
        </w:rPr>
        <w:sectPr>
          <w:pgSz w:w="11910" w:h="16840"/>
          <w:pgMar w:header="713" w:footer="1000" w:top="1420" w:bottom="1200" w:left="1559" w:right="992"/>
        </w:sectPr>
      </w:pPr>
    </w:p>
    <w:p>
      <w:pPr>
        <w:pStyle w:val="ListParagraph"/>
        <w:numPr>
          <w:ilvl w:val="3"/>
          <w:numId w:val="3"/>
        </w:numPr>
        <w:tabs>
          <w:tab w:pos="862" w:val="left" w:leader="none"/>
        </w:tabs>
        <w:spacing w:line="304" w:lineRule="auto" w:before="123" w:after="0"/>
        <w:ind w:left="862" w:right="711" w:hanging="360"/>
        <w:jc w:val="both"/>
        <w:rPr>
          <w:sz w:val="24"/>
        </w:rPr>
      </w:pPr>
      <w:r>
        <w:rPr>
          <w:rFonts w:ascii="Arial" w:hAnsi="Arial"/>
          <w:i/>
          <w:sz w:val="24"/>
        </w:rPr>
        <w:t>Análisis mixto: </w:t>
      </w:r>
      <w:r>
        <w:rPr>
          <w:sz w:val="24"/>
        </w:rPr>
        <w:t>El indicador de calidad tiene un nivel de cumplimiento medio, lo que no muestra indicios de posibles fallas de planeamiento.</w:t>
      </w:r>
    </w:p>
    <w:p>
      <w:pPr>
        <w:pStyle w:val="BodyText"/>
        <w:spacing w:line="302" w:lineRule="auto" w:before="162"/>
        <w:ind w:left="862" w:right="703"/>
        <w:jc w:val="both"/>
      </w:pPr>
      <w:r>
        <w:rPr/>
        <w:t>Respecto</w:t>
      </w:r>
      <w:r>
        <w:rPr>
          <w:spacing w:val="-9"/>
        </w:rPr>
        <w:t> </w:t>
      </w:r>
      <w:r>
        <w:rPr/>
        <w:t>al</w:t>
      </w:r>
      <w:r>
        <w:rPr>
          <w:spacing w:val="-8"/>
        </w:rPr>
        <w:t> </w:t>
      </w:r>
      <w:r>
        <w:rPr/>
        <w:t>indicador</w:t>
      </w:r>
      <w:r>
        <w:rPr>
          <w:spacing w:val="-10"/>
        </w:rPr>
        <w:t> </w:t>
      </w:r>
      <w:r>
        <w:rPr/>
        <w:t>de</w:t>
      </w:r>
      <w:r>
        <w:rPr>
          <w:spacing w:val="-10"/>
        </w:rPr>
        <w:t> </w:t>
      </w:r>
      <w:r>
        <w:rPr/>
        <w:t>eficacia,</w:t>
      </w:r>
      <w:r>
        <w:rPr>
          <w:spacing w:val="-9"/>
        </w:rPr>
        <w:t> </w:t>
      </w:r>
      <w:r>
        <w:rPr/>
        <w:t>se</w:t>
      </w:r>
      <w:r>
        <w:rPr>
          <w:spacing w:val="-9"/>
        </w:rPr>
        <w:t> </w:t>
      </w:r>
      <w:r>
        <w:rPr/>
        <w:t>identifica</w:t>
      </w:r>
      <w:r>
        <w:rPr>
          <w:spacing w:val="-10"/>
        </w:rPr>
        <w:t> </w:t>
      </w:r>
      <w:r>
        <w:rPr/>
        <w:t>que</w:t>
      </w:r>
      <w:r>
        <w:rPr>
          <w:spacing w:val="-10"/>
        </w:rPr>
        <w:t> </w:t>
      </w:r>
      <w:r>
        <w:rPr/>
        <w:t>el</w:t>
      </w:r>
      <w:r>
        <w:rPr>
          <w:spacing w:val="-7"/>
        </w:rPr>
        <w:t> </w:t>
      </w:r>
      <w:r>
        <w:rPr/>
        <w:t>servicio</w:t>
      </w:r>
      <w:r>
        <w:rPr>
          <w:spacing w:val="-8"/>
        </w:rPr>
        <w:t> </w:t>
      </w:r>
      <w:r>
        <w:rPr/>
        <w:t>ha</w:t>
      </w:r>
      <w:r>
        <w:rPr>
          <w:spacing w:val="-10"/>
        </w:rPr>
        <w:t> </w:t>
      </w:r>
      <w:r>
        <w:rPr/>
        <w:t>atendido al 100% de los usuarios que requieren orientación respecto al hostigamiento sexual laboral</w:t>
      </w:r>
      <w:hyperlink w:history="true" w:anchor="_bookmark15">
        <w:r>
          <w:rPr>
            <w:position w:val="9"/>
            <w:sz w:val="16"/>
          </w:rPr>
          <w:t>5</w:t>
        </w:r>
        <w:r>
          <w:rPr/>
          <w:t>,</w:t>
        </w:r>
      </w:hyperlink>
      <w:r>
        <w:rPr/>
        <w:t> por lo que ha superado la meta programada para el 2030 (85.0%).</w:t>
      </w:r>
    </w:p>
    <w:p>
      <w:pPr>
        <w:pStyle w:val="BodyText"/>
        <w:spacing w:line="307" w:lineRule="auto" w:before="166"/>
        <w:ind w:left="862" w:right="705"/>
        <w:jc w:val="both"/>
      </w:pPr>
      <w:r>
        <w:rPr/>
        <w:t>Respecto a ello, el servicio reportó que la mejora en la programación y planificación contribuyó a la eficacia del servicio. Asimismo, el servicio desarrollo matrices de seguimiento e identificación de casos atendidos con detalles de las características de las víctimas o presuntas víctimas atendidas</w:t>
      </w:r>
      <w:r>
        <w:rPr>
          <w:spacing w:val="-6"/>
        </w:rPr>
        <w:t> </w:t>
      </w:r>
      <w:r>
        <w:rPr/>
        <w:t>que</w:t>
      </w:r>
      <w:r>
        <w:rPr>
          <w:spacing w:val="-5"/>
        </w:rPr>
        <w:t> </w:t>
      </w:r>
      <w:r>
        <w:rPr/>
        <w:t>favorecieron</w:t>
      </w:r>
      <w:r>
        <w:rPr>
          <w:spacing w:val="-7"/>
        </w:rPr>
        <w:t> </w:t>
      </w:r>
      <w:r>
        <w:rPr/>
        <w:t>el</w:t>
      </w:r>
      <w:r>
        <w:rPr>
          <w:spacing w:val="-6"/>
        </w:rPr>
        <w:t> </w:t>
      </w:r>
      <w:r>
        <w:rPr/>
        <w:t>seguimiento</w:t>
      </w:r>
      <w:r>
        <w:rPr>
          <w:spacing w:val="-3"/>
        </w:rPr>
        <w:t> </w:t>
      </w:r>
      <w:r>
        <w:rPr/>
        <w:t>y</w:t>
      </w:r>
      <w:r>
        <w:rPr>
          <w:spacing w:val="-7"/>
        </w:rPr>
        <w:t> </w:t>
      </w:r>
      <w:r>
        <w:rPr/>
        <w:t>cuantificación</w:t>
      </w:r>
      <w:r>
        <w:rPr>
          <w:spacing w:val="-7"/>
        </w:rPr>
        <w:t> </w:t>
      </w:r>
      <w:r>
        <w:rPr/>
        <w:t>de</w:t>
      </w:r>
      <w:r>
        <w:rPr>
          <w:spacing w:val="-7"/>
        </w:rPr>
        <w:t> </w:t>
      </w:r>
      <w:r>
        <w:rPr/>
        <w:t>los</w:t>
      </w:r>
      <w:r>
        <w:rPr>
          <w:spacing w:val="-6"/>
        </w:rPr>
        <w:t> </w:t>
      </w:r>
      <w:r>
        <w:rPr/>
        <w:t>casos</w:t>
      </w:r>
      <w:r>
        <w:rPr>
          <w:spacing w:val="-6"/>
        </w:rPr>
        <w:t> </w:t>
      </w:r>
      <w:r>
        <w:rPr/>
        <w:t>y la devolución de las llamadas perdidas.</w:t>
      </w:r>
    </w:p>
    <w:p>
      <w:pPr>
        <w:pStyle w:val="BodyText"/>
        <w:spacing w:line="307" w:lineRule="auto" w:before="157"/>
        <w:ind w:left="862" w:right="705"/>
        <w:jc w:val="both"/>
      </w:pPr>
      <w:r>
        <w:rPr/>
        <w:t>Asimismo, según lo reportado por el servicio, durante el 2024 se cuenta con mayor personal para mantener el nivel de cumplimiento del</w:t>
      </w:r>
      <w:r>
        <w:rPr>
          <w:spacing w:val="80"/>
        </w:rPr>
        <w:t> </w:t>
      </w:r>
      <w:r>
        <w:rPr/>
        <w:t>indicador de eficacia y para reducir las llamadas perdidas, la cuales son el único canal de atención que no logró alcanzar el 100% de atenciones oportunas. En ese sentido, es posible que las condiciones del servicio sean mejores a las consideradas al momento de la proyección de metas y se subestimaran los resultados de la implementación del servicio, el cual para el año 2023 tiene un indicador de eficacia que asciende al </w:t>
      </w:r>
      <w:r>
        <w:rPr>
          <w:spacing w:val="-2"/>
        </w:rPr>
        <w:t>100%.</w:t>
      </w:r>
    </w:p>
    <w:p>
      <w:pPr>
        <w:pStyle w:val="BodyText"/>
        <w:spacing w:line="307" w:lineRule="auto" w:before="154"/>
        <w:ind w:left="862" w:right="707"/>
        <w:jc w:val="both"/>
      </w:pPr>
      <w:r>
        <w:rPr/>
        <w:t>Por otro lado, existen indicios de desconocimiento de la situación inicial previa al establecimiento de metas, debido a que el indicador no cuenta con una línea</w:t>
      </w:r>
      <w:r>
        <w:rPr>
          <w:spacing w:val="-2"/>
        </w:rPr>
        <w:t> </w:t>
      </w:r>
      <w:r>
        <w:rPr/>
        <w:t>base. Esto pudo originar</w:t>
      </w:r>
      <w:r>
        <w:rPr>
          <w:spacing w:val="-2"/>
        </w:rPr>
        <w:t> </w:t>
      </w:r>
      <w:r>
        <w:rPr/>
        <w:t>que, al</w:t>
      </w:r>
      <w:r>
        <w:rPr>
          <w:spacing w:val="-2"/>
        </w:rPr>
        <w:t> </w:t>
      </w:r>
      <w:r>
        <w:rPr/>
        <w:t>momento de proyectar las metas, se estableciera situación inicial más crítica a la real.</w:t>
      </w:r>
    </w:p>
    <w:p>
      <w:pPr>
        <w:pStyle w:val="BodyText"/>
        <w:spacing w:line="307" w:lineRule="auto" w:before="159"/>
        <w:ind w:left="862" w:right="704"/>
        <w:jc w:val="both"/>
      </w:pPr>
      <w:r>
        <w:rPr/>
        <w:t>A lo anterior se suma el hecho de que se identifica que la ficha técnica del</w:t>
      </w:r>
      <w:r>
        <w:rPr>
          <w:spacing w:val="-9"/>
        </w:rPr>
        <w:t> </w:t>
      </w:r>
      <w:r>
        <w:rPr/>
        <w:t>indicador</w:t>
      </w:r>
      <w:r>
        <w:rPr>
          <w:spacing w:val="-10"/>
        </w:rPr>
        <w:t> </w:t>
      </w:r>
      <w:r>
        <w:rPr/>
        <w:t>calidad</w:t>
      </w:r>
      <w:r>
        <w:rPr>
          <w:spacing w:val="-9"/>
        </w:rPr>
        <w:t> </w:t>
      </w:r>
      <w:r>
        <w:rPr/>
        <w:t>y</w:t>
      </w:r>
      <w:r>
        <w:rPr>
          <w:spacing w:val="-10"/>
        </w:rPr>
        <w:t> </w:t>
      </w:r>
      <w:r>
        <w:rPr/>
        <w:t>eficacia</w:t>
      </w:r>
      <w:r>
        <w:rPr>
          <w:spacing w:val="-5"/>
        </w:rPr>
        <w:t> </w:t>
      </w:r>
      <w:r>
        <w:rPr/>
        <w:t>se</w:t>
      </w:r>
      <w:r>
        <w:rPr>
          <w:spacing w:val="-10"/>
        </w:rPr>
        <w:t> </w:t>
      </w:r>
      <w:r>
        <w:rPr/>
        <w:t>establece</w:t>
      </w:r>
      <w:r>
        <w:rPr>
          <w:spacing w:val="-10"/>
        </w:rPr>
        <w:t> </w:t>
      </w:r>
      <w:r>
        <w:rPr/>
        <w:t>como</w:t>
      </w:r>
      <w:r>
        <w:rPr>
          <w:spacing w:val="-10"/>
        </w:rPr>
        <w:t> </w:t>
      </w:r>
      <w:r>
        <w:rPr/>
        <w:t>unidad</w:t>
      </w:r>
      <w:r>
        <w:rPr>
          <w:spacing w:val="-12"/>
        </w:rPr>
        <w:t> </w:t>
      </w:r>
      <w:r>
        <w:rPr/>
        <w:t>de</w:t>
      </w:r>
      <w:r>
        <w:rPr>
          <w:spacing w:val="-6"/>
        </w:rPr>
        <w:t> </w:t>
      </w:r>
      <w:r>
        <w:rPr/>
        <w:t>medición</w:t>
      </w:r>
      <w:r>
        <w:rPr>
          <w:spacing w:val="-9"/>
        </w:rPr>
        <w:t> </w:t>
      </w:r>
      <w:r>
        <w:rPr/>
        <w:t>las víctimas de hostigamiento sexual; sin embargo, el primero fue calculado en función a la cantidad de personas víctimas y el segundo en función a la cantidad de casos reportados. Debido a ello, existe una ambigüedad en la definición de la unidad de medida de los indicadores.</w:t>
      </w:r>
    </w:p>
    <w:p>
      <w:pPr>
        <w:pStyle w:val="BodyText"/>
        <w:spacing w:line="307" w:lineRule="auto" w:before="157"/>
        <w:ind w:left="862" w:right="713"/>
        <w:jc w:val="both"/>
      </w:pPr>
      <w:r>
        <w:rPr/>
        <w:t>En ese sentido, adicional al que el indicador es afectado por el contexto señalado, existe una necesidad de ajustar las especificaciones técnicas</w:t>
      </w:r>
    </w:p>
    <w:p>
      <w:pPr>
        <w:pStyle w:val="BodyText"/>
        <w:spacing w:before="176"/>
        <w:rPr>
          <w:sz w:val="20"/>
        </w:rPr>
      </w:pPr>
      <w:r>
        <w:rPr>
          <w:sz w:val="20"/>
        </w:rPr>
        <mc:AlternateContent>
          <mc:Choice Requires="wps">
            <w:drawing>
              <wp:anchor distT="0" distB="0" distL="0" distR="0" allowOverlap="1" layoutInCell="1" locked="0" behindDoc="1" simplePos="0" relativeHeight="487594496">
                <wp:simplePos x="0" y="0"/>
                <wp:positionH relativeFrom="page">
                  <wp:posOffset>1080820</wp:posOffset>
                </wp:positionH>
                <wp:positionV relativeFrom="paragraph">
                  <wp:posOffset>273433</wp:posOffset>
                </wp:positionV>
                <wp:extent cx="1829435" cy="9525"/>
                <wp:effectExtent l="0" t="0" r="0" b="0"/>
                <wp:wrapTopAndBottom/>
                <wp:docPr id="446" name="Graphic 446"/>
                <wp:cNvGraphicFramePr>
                  <a:graphicFrameLocks/>
                </wp:cNvGraphicFramePr>
                <a:graphic>
                  <a:graphicData uri="http://schemas.microsoft.com/office/word/2010/wordprocessingShape">
                    <wps:wsp>
                      <wps:cNvPr id="446" name="Graphic 446"/>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21.530167pt;width:144.020pt;height:.71997pt;mso-position-horizontal-relative:page;mso-position-vertical-relative:paragraph;z-index:-15721984;mso-wrap-distance-left:0;mso-wrap-distance-right:0" id="docshape441" filled="true" fillcolor="#000000" stroked="false">
                <v:fill type="solid"/>
                <w10:wrap type="topAndBottom"/>
              </v:rect>
            </w:pict>
          </mc:Fallback>
        </mc:AlternateContent>
      </w:r>
    </w:p>
    <w:p>
      <w:pPr>
        <w:spacing w:before="102"/>
        <w:ind w:left="143" w:right="708" w:firstLine="0"/>
        <w:jc w:val="both"/>
        <w:rPr>
          <w:rFonts w:ascii="Calibri" w:hAnsi="Calibri"/>
          <w:sz w:val="20"/>
        </w:rPr>
      </w:pPr>
      <w:bookmarkStart w:name="_bookmark15" w:id="16"/>
      <w:bookmarkEnd w:id="16"/>
      <w:r>
        <w:rPr/>
      </w:r>
      <w:r>
        <w:rPr>
          <w:rFonts w:ascii="Calibri" w:hAnsi="Calibri"/>
          <w:sz w:val="20"/>
          <w:vertAlign w:val="superscript"/>
        </w:rPr>
        <w:t>5</w:t>
      </w:r>
      <w:r>
        <w:rPr>
          <w:rFonts w:ascii="Calibri" w:hAnsi="Calibri"/>
          <w:sz w:val="20"/>
          <w:vertAlign w:val="baseline"/>
        </w:rPr>
        <w:t> Según la información brindada por el servicio, la orientación requerida en su mayoría está relacionada con la absolución de consultas de las presuntas víctimas (80.4%) y con poca frecuencia la atención del usuario culmina con la derivación a instituciones externas como el CEM o la defensoría policial (2%).</w:t>
      </w:r>
    </w:p>
    <w:p>
      <w:pPr>
        <w:spacing w:after="0"/>
        <w:jc w:val="both"/>
        <w:rPr>
          <w:rFonts w:ascii="Calibri" w:hAnsi="Calibri"/>
          <w:sz w:val="20"/>
        </w:rPr>
        <w:sectPr>
          <w:pgSz w:w="11910" w:h="16840"/>
          <w:pgMar w:header="713" w:footer="1000" w:top="1420" w:bottom="1200" w:left="1559" w:right="992"/>
        </w:sectPr>
      </w:pPr>
    </w:p>
    <w:p>
      <w:pPr>
        <w:pStyle w:val="BodyText"/>
        <w:spacing w:line="307" w:lineRule="auto" w:before="123"/>
        <w:ind w:left="862" w:right="346"/>
      </w:pPr>
      <w:r>
        <w:rPr/>
        <w:t>del indicador asi como modificar las metas en función a las condiciones actuales del servicio y su contribución esperada en la política.</w:t>
      </w:r>
    </w:p>
    <w:p>
      <w:pPr>
        <w:pStyle w:val="BodyText"/>
      </w:pPr>
    </w:p>
    <w:p>
      <w:pPr>
        <w:pStyle w:val="BodyText"/>
        <w:spacing w:before="119"/>
      </w:pPr>
    </w:p>
    <w:p>
      <w:pPr>
        <w:pStyle w:val="ListParagraph"/>
        <w:numPr>
          <w:ilvl w:val="2"/>
          <w:numId w:val="3"/>
        </w:numPr>
        <w:tabs>
          <w:tab w:pos="1222" w:val="left" w:leader="none"/>
        </w:tabs>
        <w:spacing w:line="307" w:lineRule="auto" w:before="0" w:after="0"/>
        <w:ind w:left="1222" w:right="710" w:hanging="720"/>
        <w:jc w:val="both"/>
        <w:rPr>
          <w:sz w:val="24"/>
        </w:rPr>
      </w:pPr>
      <w:r>
        <w:rPr>
          <w:color w:val="2E5395"/>
          <w:sz w:val="24"/>
        </w:rPr>
        <w:t>Servicio 01.02.03 Provisión, a nivel nacional y con enfoque intercultural, de información que promueva el ejercicio del derecho a la denuncia de la violencia contra las mujeres, e informe sobre los mecanismos de prevención, protección y sanción existentes.</w:t>
      </w:r>
    </w:p>
    <w:p>
      <w:pPr>
        <w:pStyle w:val="BodyText"/>
        <w:spacing w:before="174"/>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line="307" w:lineRule="auto" w:before="234"/>
        <w:ind w:left="143" w:right="705"/>
        <w:jc w:val="both"/>
      </w:pPr>
      <w:r>
        <w:rPr>
          <w:spacing w:val="-2"/>
          <w:w w:val="105"/>
        </w:rPr>
        <w:t>El</w:t>
      </w:r>
      <w:r>
        <w:rPr>
          <w:spacing w:val="-12"/>
          <w:w w:val="105"/>
        </w:rPr>
        <w:t> </w:t>
      </w:r>
      <w:r>
        <w:rPr>
          <w:spacing w:val="-2"/>
          <w:w w:val="105"/>
        </w:rPr>
        <w:t>servicio</w:t>
      </w:r>
      <w:r>
        <w:rPr>
          <w:spacing w:val="-14"/>
          <w:w w:val="105"/>
        </w:rPr>
        <w:t> </w:t>
      </w:r>
      <w:r>
        <w:rPr>
          <w:spacing w:val="-2"/>
          <w:w w:val="105"/>
        </w:rPr>
        <w:t>consiste</w:t>
      </w:r>
      <w:r>
        <w:rPr>
          <w:spacing w:val="-12"/>
          <w:w w:val="105"/>
        </w:rPr>
        <w:t> </w:t>
      </w:r>
      <w:r>
        <w:rPr>
          <w:spacing w:val="-2"/>
          <w:w w:val="105"/>
        </w:rPr>
        <w:t>en</w:t>
      </w:r>
      <w:r>
        <w:rPr>
          <w:spacing w:val="-13"/>
          <w:w w:val="105"/>
        </w:rPr>
        <w:t> </w:t>
      </w:r>
      <w:r>
        <w:rPr>
          <w:spacing w:val="-2"/>
          <w:w w:val="105"/>
        </w:rPr>
        <w:t>brindar</w:t>
      </w:r>
      <w:r>
        <w:rPr>
          <w:spacing w:val="-12"/>
          <w:w w:val="105"/>
        </w:rPr>
        <w:t> </w:t>
      </w:r>
      <w:r>
        <w:rPr>
          <w:spacing w:val="-2"/>
          <w:w w:val="105"/>
        </w:rPr>
        <w:t>información</w:t>
      </w:r>
      <w:r>
        <w:rPr>
          <w:spacing w:val="-12"/>
          <w:w w:val="105"/>
        </w:rPr>
        <w:t> </w:t>
      </w:r>
      <w:r>
        <w:rPr>
          <w:spacing w:val="-2"/>
          <w:w w:val="105"/>
        </w:rPr>
        <w:t>acorde</w:t>
      </w:r>
      <w:r>
        <w:rPr>
          <w:spacing w:val="-12"/>
          <w:w w:val="105"/>
        </w:rPr>
        <w:t> </w:t>
      </w:r>
      <w:r>
        <w:rPr>
          <w:spacing w:val="-2"/>
          <w:w w:val="105"/>
        </w:rPr>
        <w:t>a</w:t>
      </w:r>
      <w:r>
        <w:rPr>
          <w:spacing w:val="-15"/>
          <w:w w:val="105"/>
        </w:rPr>
        <w:t> </w:t>
      </w:r>
      <w:r>
        <w:rPr>
          <w:spacing w:val="-2"/>
          <w:w w:val="105"/>
        </w:rPr>
        <w:t>su</w:t>
      </w:r>
      <w:r>
        <w:rPr>
          <w:spacing w:val="-12"/>
          <w:w w:val="105"/>
        </w:rPr>
        <w:t> </w:t>
      </w:r>
      <w:r>
        <w:rPr>
          <w:spacing w:val="-2"/>
          <w:w w:val="105"/>
        </w:rPr>
        <w:t>género,</w:t>
      </w:r>
      <w:r>
        <w:rPr>
          <w:spacing w:val="-12"/>
          <w:w w:val="105"/>
        </w:rPr>
        <w:t> </w:t>
      </w:r>
      <w:r>
        <w:rPr>
          <w:spacing w:val="-2"/>
          <w:w w:val="105"/>
        </w:rPr>
        <w:t>edad</w:t>
      </w:r>
      <w:r>
        <w:rPr>
          <w:spacing w:val="-12"/>
          <w:w w:val="105"/>
        </w:rPr>
        <w:t> </w:t>
      </w:r>
      <w:r>
        <w:rPr>
          <w:spacing w:val="-2"/>
          <w:w w:val="105"/>
        </w:rPr>
        <w:t>y</w:t>
      </w:r>
      <w:r>
        <w:rPr>
          <w:spacing w:val="-15"/>
          <w:w w:val="105"/>
        </w:rPr>
        <w:t> </w:t>
      </w:r>
      <w:r>
        <w:rPr>
          <w:spacing w:val="-2"/>
          <w:w w:val="105"/>
        </w:rPr>
        <w:t>cultura, </w:t>
      </w:r>
      <w:r>
        <w:rPr>
          <w:w w:val="105"/>
        </w:rPr>
        <w:t>con</w:t>
      </w:r>
      <w:r>
        <w:rPr>
          <w:w w:val="105"/>
        </w:rPr>
        <w:t> contenidos</w:t>
      </w:r>
      <w:r>
        <w:rPr>
          <w:w w:val="105"/>
        </w:rPr>
        <w:t> que</w:t>
      </w:r>
      <w:r>
        <w:rPr>
          <w:w w:val="105"/>
        </w:rPr>
        <w:t> fortalecen</w:t>
      </w:r>
      <w:r>
        <w:rPr>
          <w:w w:val="105"/>
        </w:rPr>
        <w:t> los</w:t>
      </w:r>
      <w:r>
        <w:rPr>
          <w:w w:val="105"/>
        </w:rPr>
        <w:t> conocimientos</w:t>
      </w:r>
      <w:r>
        <w:rPr>
          <w:w w:val="105"/>
        </w:rPr>
        <w:t> sobre</w:t>
      </w:r>
      <w:r>
        <w:rPr>
          <w:w w:val="105"/>
        </w:rPr>
        <w:t> formas</w:t>
      </w:r>
      <w:r>
        <w:rPr>
          <w:w w:val="105"/>
        </w:rPr>
        <w:t> de</w:t>
      </w:r>
      <w:r>
        <w:rPr>
          <w:w w:val="105"/>
        </w:rPr>
        <w:t> violencia </w:t>
      </w:r>
      <w:r>
        <w:rPr>
          <w:spacing w:val="-2"/>
          <w:w w:val="105"/>
        </w:rPr>
        <w:t>contra</w:t>
      </w:r>
      <w:r>
        <w:rPr>
          <w:spacing w:val="-12"/>
          <w:w w:val="105"/>
        </w:rPr>
        <w:t> </w:t>
      </w:r>
      <w:r>
        <w:rPr>
          <w:spacing w:val="-2"/>
          <w:w w:val="105"/>
        </w:rPr>
        <w:t>las</w:t>
      </w:r>
      <w:r>
        <w:rPr>
          <w:spacing w:val="-10"/>
          <w:w w:val="105"/>
        </w:rPr>
        <w:t> </w:t>
      </w:r>
      <w:r>
        <w:rPr>
          <w:spacing w:val="-2"/>
          <w:w w:val="105"/>
        </w:rPr>
        <w:t>mujeres,</w:t>
      </w:r>
      <w:r>
        <w:rPr>
          <w:spacing w:val="-12"/>
          <w:w w:val="105"/>
        </w:rPr>
        <w:t> </w:t>
      </w:r>
      <w:r>
        <w:rPr>
          <w:spacing w:val="-2"/>
          <w:w w:val="105"/>
        </w:rPr>
        <w:t>violencia</w:t>
      </w:r>
      <w:r>
        <w:rPr>
          <w:spacing w:val="-11"/>
          <w:w w:val="105"/>
        </w:rPr>
        <w:t> </w:t>
      </w:r>
      <w:r>
        <w:rPr>
          <w:spacing w:val="-2"/>
          <w:w w:val="105"/>
        </w:rPr>
        <w:t>a</w:t>
      </w:r>
      <w:r>
        <w:rPr>
          <w:spacing w:val="-12"/>
          <w:w w:val="105"/>
        </w:rPr>
        <w:t> </w:t>
      </w:r>
      <w:r>
        <w:rPr>
          <w:spacing w:val="-2"/>
          <w:w w:val="105"/>
        </w:rPr>
        <w:t>niñas,</w:t>
      </w:r>
      <w:r>
        <w:rPr>
          <w:spacing w:val="-10"/>
          <w:w w:val="105"/>
        </w:rPr>
        <w:t> </w:t>
      </w:r>
      <w:r>
        <w:rPr>
          <w:spacing w:val="-2"/>
          <w:w w:val="105"/>
        </w:rPr>
        <w:t>niños</w:t>
      </w:r>
      <w:r>
        <w:rPr>
          <w:spacing w:val="-12"/>
          <w:w w:val="105"/>
        </w:rPr>
        <w:t> </w:t>
      </w:r>
      <w:r>
        <w:rPr>
          <w:spacing w:val="-2"/>
          <w:w w:val="105"/>
        </w:rPr>
        <w:t>y</w:t>
      </w:r>
      <w:r>
        <w:rPr>
          <w:spacing w:val="-11"/>
          <w:w w:val="105"/>
        </w:rPr>
        <w:t> </w:t>
      </w:r>
      <w:r>
        <w:rPr>
          <w:spacing w:val="-2"/>
          <w:w w:val="105"/>
        </w:rPr>
        <w:t>adolescentes,</w:t>
      </w:r>
      <w:r>
        <w:rPr>
          <w:spacing w:val="-12"/>
          <w:w w:val="105"/>
        </w:rPr>
        <w:t> </w:t>
      </w:r>
      <w:r>
        <w:rPr>
          <w:spacing w:val="-2"/>
          <w:w w:val="105"/>
        </w:rPr>
        <w:t>construcción</w:t>
      </w:r>
      <w:r>
        <w:rPr>
          <w:spacing w:val="-12"/>
          <w:w w:val="105"/>
        </w:rPr>
        <w:t> </w:t>
      </w:r>
      <w:r>
        <w:rPr>
          <w:spacing w:val="-2"/>
          <w:w w:val="105"/>
        </w:rPr>
        <w:t>de</w:t>
      </w:r>
      <w:r>
        <w:rPr>
          <w:spacing w:val="-12"/>
          <w:w w:val="105"/>
        </w:rPr>
        <w:t> </w:t>
      </w:r>
      <w:r>
        <w:rPr>
          <w:spacing w:val="-2"/>
          <w:w w:val="105"/>
        </w:rPr>
        <w:t>la </w:t>
      </w:r>
      <w:r>
        <w:rPr>
          <w:w w:val="105"/>
        </w:rPr>
        <w:t>masculinidad</w:t>
      </w:r>
      <w:r>
        <w:rPr>
          <w:spacing w:val="-4"/>
          <w:w w:val="105"/>
        </w:rPr>
        <w:t> </w:t>
      </w:r>
      <w:r>
        <w:rPr>
          <w:w w:val="105"/>
        </w:rPr>
        <w:t>libre</w:t>
      </w:r>
      <w:r>
        <w:rPr>
          <w:spacing w:val="-5"/>
          <w:w w:val="105"/>
        </w:rPr>
        <w:t> </w:t>
      </w:r>
      <w:r>
        <w:rPr>
          <w:w w:val="105"/>
        </w:rPr>
        <w:t>de</w:t>
      </w:r>
      <w:r>
        <w:rPr>
          <w:spacing w:val="-5"/>
          <w:w w:val="105"/>
        </w:rPr>
        <w:t> </w:t>
      </w:r>
      <w:r>
        <w:rPr>
          <w:w w:val="105"/>
        </w:rPr>
        <w:t>la</w:t>
      </w:r>
      <w:r>
        <w:rPr>
          <w:spacing w:val="-3"/>
          <w:w w:val="105"/>
        </w:rPr>
        <w:t> </w:t>
      </w:r>
      <w:r>
        <w:rPr>
          <w:w w:val="105"/>
        </w:rPr>
        <w:t>violencia,</w:t>
      </w:r>
      <w:r>
        <w:rPr>
          <w:spacing w:val="-2"/>
          <w:w w:val="105"/>
        </w:rPr>
        <w:t> </w:t>
      </w:r>
      <w:r>
        <w:rPr>
          <w:w w:val="105"/>
        </w:rPr>
        <w:t>asi</w:t>
      </w:r>
      <w:r>
        <w:rPr>
          <w:spacing w:val="-5"/>
          <w:w w:val="105"/>
        </w:rPr>
        <w:t> </w:t>
      </w:r>
      <w:r>
        <w:rPr>
          <w:w w:val="105"/>
        </w:rPr>
        <w:t>como</w:t>
      </w:r>
      <w:r>
        <w:rPr>
          <w:spacing w:val="-1"/>
          <w:w w:val="105"/>
        </w:rPr>
        <w:t> </w:t>
      </w:r>
      <w:r>
        <w:rPr>
          <w:w w:val="105"/>
        </w:rPr>
        <w:t>información</w:t>
      </w:r>
      <w:r>
        <w:rPr>
          <w:spacing w:val="-5"/>
          <w:w w:val="105"/>
        </w:rPr>
        <w:t> </w:t>
      </w:r>
      <w:r>
        <w:rPr>
          <w:w w:val="105"/>
        </w:rPr>
        <w:t>sobre</w:t>
      </w:r>
      <w:r>
        <w:rPr>
          <w:spacing w:val="-5"/>
          <w:w w:val="105"/>
        </w:rPr>
        <w:t> </w:t>
      </w:r>
      <w:r>
        <w:rPr>
          <w:w w:val="105"/>
        </w:rPr>
        <w:t>donde</w:t>
      </w:r>
      <w:r>
        <w:rPr>
          <w:spacing w:val="-3"/>
          <w:w w:val="105"/>
        </w:rPr>
        <w:t> </w:t>
      </w:r>
      <w:r>
        <w:rPr>
          <w:w w:val="105"/>
        </w:rPr>
        <w:t>buscar </w:t>
      </w:r>
      <w:r>
        <w:rPr/>
        <w:t>ayuda.</w:t>
      </w:r>
      <w:r>
        <w:rPr>
          <w:spacing w:val="-6"/>
        </w:rPr>
        <w:t> </w:t>
      </w:r>
      <w:r>
        <w:rPr/>
        <w:t>Esto</w:t>
      </w:r>
      <w:r>
        <w:rPr>
          <w:spacing w:val="-9"/>
        </w:rPr>
        <w:t> </w:t>
      </w:r>
      <w:r>
        <w:rPr/>
        <w:t>con</w:t>
      </w:r>
      <w:r>
        <w:rPr>
          <w:spacing w:val="-8"/>
        </w:rPr>
        <w:t> </w:t>
      </w:r>
      <w:r>
        <w:rPr/>
        <w:t>el</w:t>
      </w:r>
      <w:r>
        <w:rPr>
          <w:spacing w:val="-9"/>
        </w:rPr>
        <w:t> </w:t>
      </w:r>
      <w:r>
        <w:rPr/>
        <w:t>objetivo</w:t>
      </w:r>
      <w:r>
        <w:rPr>
          <w:spacing w:val="-9"/>
        </w:rPr>
        <w:t> </w:t>
      </w:r>
      <w:r>
        <w:rPr/>
        <w:t>de</w:t>
      </w:r>
      <w:r>
        <w:rPr>
          <w:spacing w:val="-10"/>
        </w:rPr>
        <w:t> </w:t>
      </w:r>
      <w:r>
        <w:rPr/>
        <w:t>orientar</w:t>
      </w:r>
      <w:r>
        <w:rPr>
          <w:spacing w:val="-6"/>
        </w:rPr>
        <w:t> </w:t>
      </w:r>
      <w:r>
        <w:rPr/>
        <w:t>la</w:t>
      </w:r>
      <w:r>
        <w:rPr>
          <w:spacing w:val="-10"/>
        </w:rPr>
        <w:t> </w:t>
      </w:r>
      <w:r>
        <w:rPr/>
        <w:t>deconstrucción</w:t>
      </w:r>
      <w:r>
        <w:rPr>
          <w:spacing w:val="-10"/>
        </w:rPr>
        <w:t> </w:t>
      </w:r>
      <w:r>
        <w:rPr/>
        <w:t>de</w:t>
      </w:r>
      <w:r>
        <w:rPr>
          <w:spacing w:val="-6"/>
        </w:rPr>
        <w:t> </w:t>
      </w:r>
      <w:r>
        <w:rPr/>
        <w:t>prácticas</w:t>
      </w:r>
      <w:r>
        <w:rPr>
          <w:spacing w:val="-6"/>
        </w:rPr>
        <w:t> </w:t>
      </w:r>
      <w:r>
        <w:rPr/>
        <w:t>y</w:t>
      </w:r>
      <w:r>
        <w:rPr>
          <w:spacing w:val="-10"/>
        </w:rPr>
        <w:t> </w:t>
      </w:r>
      <w:r>
        <w:rPr/>
        <w:t>patrones </w:t>
      </w:r>
      <w:r>
        <w:rPr>
          <w:w w:val="105"/>
        </w:rPr>
        <w:t>socioculturales</w:t>
      </w:r>
      <w:r>
        <w:rPr>
          <w:spacing w:val="-13"/>
          <w:w w:val="105"/>
        </w:rPr>
        <w:t> </w:t>
      </w:r>
      <w:r>
        <w:rPr>
          <w:w w:val="105"/>
        </w:rPr>
        <w:t>que</w:t>
      </w:r>
      <w:r>
        <w:rPr>
          <w:spacing w:val="-15"/>
          <w:w w:val="105"/>
        </w:rPr>
        <w:t> </w:t>
      </w:r>
      <w:r>
        <w:rPr>
          <w:w w:val="105"/>
        </w:rPr>
        <w:t>legitiman,</w:t>
      </w:r>
      <w:r>
        <w:rPr>
          <w:spacing w:val="-14"/>
          <w:w w:val="105"/>
        </w:rPr>
        <w:t> </w:t>
      </w:r>
      <w:r>
        <w:rPr>
          <w:w w:val="105"/>
        </w:rPr>
        <w:t>exacerban</w:t>
      </w:r>
      <w:r>
        <w:rPr>
          <w:spacing w:val="-13"/>
          <w:w w:val="105"/>
        </w:rPr>
        <w:t> </w:t>
      </w:r>
      <w:r>
        <w:rPr>
          <w:w w:val="105"/>
        </w:rPr>
        <w:t>y</w:t>
      </w:r>
      <w:r>
        <w:rPr>
          <w:spacing w:val="-13"/>
          <w:w w:val="105"/>
        </w:rPr>
        <w:t> </w:t>
      </w:r>
      <w:r>
        <w:rPr>
          <w:w w:val="105"/>
        </w:rPr>
        <w:t>reproducen</w:t>
      </w:r>
      <w:r>
        <w:rPr>
          <w:spacing w:val="-13"/>
          <w:w w:val="105"/>
        </w:rPr>
        <w:t> </w:t>
      </w:r>
      <w:r>
        <w:rPr>
          <w:w w:val="105"/>
        </w:rPr>
        <w:t>el</w:t>
      </w:r>
      <w:r>
        <w:rPr>
          <w:spacing w:val="-14"/>
          <w:w w:val="105"/>
        </w:rPr>
        <w:t> </w:t>
      </w:r>
      <w:r>
        <w:rPr>
          <w:w w:val="105"/>
        </w:rPr>
        <w:t>ciclo</w:t>
      </w:r>
      <w:r>
        <w:rPr>
          <w:spacing w:val="-14"/>
          <w:w w:val="105"/>
        </w:rPr>
        <w:t> </w:t>
      </w:r>
      <w:r>
        <w:rPr>
          <w:w w:val="105"/>
        </w:rPr>
        <w:t>de</w:t>
      </w:r>
      <w:r>
        <w:rPr>
          <w:spacing w:val="-15"/>
          <w:w w:val="105"/>
        </w:rPr>
        <w:t> </w:t>
      </w:r>
      <w:r>
        <w:rPr>
          <w:w w:val="105"/>
        </w:rPr>
        <w:t>la</w:t>
      </w:r>
      <w:r>
        <w:rPr>
          <w:spacing w:val="-13"/>
          <w:w w:val="105"/>
        </w:rPr>
        <w:t> </w:t>
      </w:r>
      <w:r>
        <w:rPr>
          <w:w w:val="105"/>
        </w:rPr>
        <w:t>violencia </w:t>
      </w:r>
      <w:r>
        <w:rPr/>
        <w:t>contra</w:t>
      </w:r>
      <w:r>
        <w:rPr>
          <w:spacing w:val="-2"/>
        </w:rPr>
        <w:t> </w:t>
      </w:r>
      <w:r>
        <w:rPr/>
        <w:t>las mujeres y los integrantes</w:t>
      </w:r>
      <w:r>
        <w:rPr>
          <w:spacing w:val="-1"/>
        </w:rPr>
        <w:t> </w:t>
      </w:r>
      <w:r>
        <w:rPr/>
        <w:t>del grupo familiar. El</w:t>
      </w:r>
      <w:r>
        <w:rPr>
          <w:spacing w:val="-2"/>
        </w:rPr>
        <w:t> </w:t>
      </w:r>
      <w:r>
        <w:rPr/>
        <w:t>sector</w:t>
      </w:r>
      <w:r>
        <w:rPr>
          <w:spacing w:val="-2"/>
        </w:rPr>
        <w:t> </w:t>
      </w:r>
      <w:r>
        <w:rPr/>
        <w:t>responsable</w:t>
      </w:r>
      <w:r>
        <w:rPr>
          <w:spacing w:val="-2"/>
        </w:rPr>
        <w:t> </w:t>
      </w:r>
      <w:r>
        <w:rPr/>
        <w:t>de la provisión del servicio es el Programa AURORA. Asimismo, en el marco de la </w:t>
      </w:r>
      <w:r>
        <w:rPr>
          <w:w w:val="105"/>
        </w:rPr>
        <w:t>política,</w:t>
      </w:r>
      <w:r>
        <w:rPr>
          <w:spacing w:val="-4"/>
          <w:w w:val="105"/>
        </w:rPr>
        <w:t> </w:t>
      </w:r>
      <w:r>
        <w:rPr>
          <w:w w:val="105"/>
        </w:rPr>
        <w:t>la</w:t>
      </w:r>
      <w:r>
        <w:rPr>
          <w:spacing w:val="-4"/>
          <w:w w:val="105"/>
        </w:rPr>
        <w:t> </w:t>
      </w:r>
      <w:r>
        <w:rPr>
          <w:w w:val="105"/>
        </w:rPr>
        <w:t>eficacia</w:t>
      </w:r>
      <w:r>
        <w:rPr>
          <w:spacing w:val="-6"/>
          <w:w w:val="105"/>
        </w:rPr>
        <w:t> </w:t>
      </w:r>
      <w:r>
        <w:rPr>
          <w:w w:val="105"/>
        </w:rPr>
        <w:t>del</w:t>
      </w:r>
      <w:r>
        <w:rPr>
          <w:spacing w:val="-5"/>
          <w:w w:val="105"/>
        </w:rPr>
        <w:t> </w:t>
      </w:r>
      <w:r>
        <w:rPr>
          <w:w w:val="105"/>
        </w:rPr>
        <w:t>servicio</w:t>
      </w:r>
      <w:r>
        <w:rPr>
          <w:spacing w:val="-4"/>
          <w:w w:val="105"/>
        </w:rPr>
        <w:t> </w:t>
      </w:r>
      <w:r>
        <w:rPr>
          <w:w w:val="105"/>
        </w:rPr>
        <w:t>se</w:t>
      </w:r>
      <w:r>
        <w:rPr>
          <w:spacing w:val="-4"/>
          <w:w w:val="105"/>
        </w:rPr>
        <w:t> </w:t>
      </w:r>
      <w:r>
        <w:rPr>
          <w:w w:val="105"/>
        </w:rPr>
        <w:t>mide</w:t>
      </w:r>
      <w:r>
        <w:rPr>
          <w:spacing w:val="-4"/>
          <w:w w:val="105"/>
        </w:rPr>
        <w:t> </w:t>
      </w:r>
      <w:r>
        <w:rPr>
          <w:w w:val="105"/>
        </w:rPr>
        <w:t>mediante</w:t>
      </w:r>
      <w:r>
        <w:rPr>
          <w:spacing w:val="-4"/>
          <w:w w:val="105"/>
        </w:rPr>
        <w:t> </w:t>
      </w:r>
      <w:r>
        <w:rPr>
          <w:w w:val="105"/>
        </w:rPr>
        <w:t>el</w:t>
      </w:r>
      <w:r>
        <w:rPr>
          <w:spacing w:val="-6"/>
          <w:w w:val="105"/>
        </w:rPr>
        <w:t> </w:t>
      </w:r>
      <w:r>
        <w:rPr>
          <w:w w:val="105"/>
        </w:rPr>
        <w:t>indicador</w:t>
      </w:r>
      <w:r>
        <w:rPr>
          <w:spacing w:val="-4"/>
          <w:w w:val="105"/>
        </w:rPr>
        <w:t> </w:t>
      </w:r>
      <w:r>
        <w:rPr>
          <w:w w:val="105"/>
        </w:rPr>
        <w:t>“</w:t>
      </w:r>
      <w:r>
        <w:rPr>
          <w:rFonts w:ascii="Arial" w:hAnsi="Arial"/>
          <w:i/>
          <w:w w:val="105"/>
        </w:rPr>
        <w:t>Porcentaje</w:t>
      </w:r>
      <w:r>
        <w:rPr>
          <w:rFonts w:ascii="Arial" w:hAnsi="Arial"/>
          <w:i/>
          <w:spacing w:val="-5"/>
          <w:w w:val="105"/>
        </w:rPr>
        <w:t> </w:t>
      </w:r>
      <w:r>
        <w:rPr>
          <w:rFonts w:ascii="Arial" w:hAnsi="Arial"/>
          <w:i/>
          <w:w w:val="105"/>
        </w:rPr>
        <w:t>de </w:t>
      </w:r>
      <w:r>
        <w:rPr>
          <w:rFonts w:ascii="Arial" w:hAnsi="Arial"/>
          <w:i/>
        </w:rPr>
        <w:t>población</w:t>
      </w:r>
      <w:r>
        <w:rPr>
          <w:rFonts w:ascii="Arial" w:hAnsi="Arial"/>
          <w:i/>
          <w:spacing w:val="-2"/>
        </w:rPr>
        <w:t> </w:t>
      </w:r>
      <w:r>
        <w:rPr>
          <w:rFonts w:ascii="Arial" w:hAnsi="Arial"/>
          <w:i/>
        </w:rPr>
        <w:t>que</w:t>
      </w:r>
      <w:r>
        <w:rPr>
          <w:rFonts w:ascii="Arial" w:hAnsi="Arial"/>
          <w:i/>
          <w:spacing w:val="-2"/>
        </w:rPr>
        <w:t> </w:t>
      </w:r>
      <w:r>
        <w:rPr>
          <w:rFonts w:ascii="Arial" w:hAnsi="Arial"/>
          <w:i/>
        </w:rPr>
        <w:t>recibe</w:t>
      </w:r>
      <w:r>
        <w:rPr>
          <w:rFonts w:ascii="Arial" w:hAnsi="Arial"/>
          <w:i/>
          <w:spacing w:val="-3"/>
        </w:rPr>
        <w:t> </w:t>
      </w:r>
      <w:r>
        <w:rPr>
          <w:rFonts w:ascii="Arial" w:hAnsi="Arial"/>
          <w:i/>
        </w:rPr>
        <w:t>información</w:t>
      </w:r>
      <w:r>
        <w:rPr>
          <w:rFonts w:ascii="Arial" w:hAnsi="Arial"/>
          <w:i/>
          <w:spacing w:val="-2"/>
        </w:rPr>
        <w:t> </w:t>
      </w:r>
      <w:r>
        <w:rPr>
          <w:rFonts w:ascii="Arial" w:hAnsi="Arial"/>
          <w:i/>
        </w:rPr>
        <w:t>para</w:t>
      </w:r>
      <w:r>
        <w:rPr>
          <w:rFonts w:ascii="Arial" w:hAnsi="Arial"/>
          <w:i/>
          <w:spacing w:val="-2"/>
        </w:rPr>
        <w:t> </w:t>
      </w:r>
      <w:r>
        <w:rPr>
          <w:rFonts w:ascii="Arial" w:hAnsi="Arial"/>
          <w:i/>
        </w:rPr>
        <w:t>prevenir</w:t>
      </w:r>
      <w:r>
        <w:rPr>
          <w:rFonts w:ascii="Arial" w:hAnsi="Arial"/>
          <w:i/>
          <w:spacing w:val="-1"/>
        </w:rPr>
        <w:t> </w:t>
      </w:r>
      <w:r>
        <w:rPr>
          <w:rFonts w:ascii="Arial" w:hAnsi="Arial"/>
          <w:i/>
        </w:rPr>
        <w:t>la</w:t>
      </w:r>
      <w:r>
        <w:rPr>
          <w:rFonts w:ascii="Arial" w:hAnsi="Arial"/>
          <w:i/>
          <w:spacing w:val="-3"/>
        </w:rPr>
        <w:t> </w:t>
      </w:r>
      <w:r>
        <w:rPr>
          <w:rFonts w:ascii="Arial" w:hAnsi="Arial"/>
          <w:i/>
        </w:rPr>
        <w:t>violencia contra</w:t>
      </w:r>
      <w:r>
        <w:rPr>
          <w:rFonts w:ascii="Arial" w:hAnsi="Arial"/>
          <w:i/>
          <w:spacing w:val="-3"/>
        </w:rPr>
        <w:t> </w:t>
      </w:r>
      <w:r>
        <w:rPr>
          <w:rFonts w:ascii="Arial" w:hAnsi="Arial"/>
          <w:i/>
        </w:rPr>
        <w:t>las</w:t>
      </w:r>
      <w:r>
        <w:rPr>
          <w:rFonts w:ascii="Arial" w:hAnsi="Arial"/>
          <w:i/>
          <w:spacing w:val="-3"/>
        </w:rPr>
        <w:t> </w:t>
      </w:r>
      <w:r>
        <w:rPr>
          <w:rFonts w:ascii="Arial" w:hAnsi="Arial"/>
          <w:i/>
        </w:rPr>
        <w:t>mujeres e </w:t>
      </w:r>
      <w:r>
        <w:rPr>
          <w:rFonts w:ascii="Arial" w:hAnsi="Arial"/>
          <w:i/>
          <w:w w:val="105"/>
        </w:rPr>
        <w:t>integrantes</w:t>
      </w:r>
      <w:r>
        <w:rPr>
          <w:rFonts w:ascii="Arial" w:hAnsi="Arial"/>
          <w:i/>
          <w:w w:val="105"/>
        </w:rPr>
        <w:t> del</w:t>
      </w:r>
      <w:r>
        <w:rPr>
          <w:rFonts w:ascii="Arial" w:hAnsi="Arial"/>
          <w:i/>
          <w:w w:val="105"/>
        </w:rPr>
        <w:t> grupo</w:t>
      </w:r>
      <w:r>
        <w:rPr>
          <w:rFonts w:ascii="Arial" w:hAnsi="Arial"/>
          <w:i/>
          <w:w w:val="105"/>
        </w:rPr>
        <w:t> familiar”</w:t>
      </w:r>
      <w:r>
        <w:rPr>
          <w:rFonts w:ascii="Arial" w:hAnsi="Arial"/>
          <w:i/>
          <w:w w:val="105"/>
        </w:rPr>
        <w:t> </w:t>
      </w:r>
      <w:r>
        <w:rPr>
          <w:w w:val="105"/>
        </w:rPr>
        <w:t>y</w:t>
      </w:r>
      <w:r>
        <w:rPr>
          <w:w w:val="105"/>
        </w:rPr>
        <w:t> la</w:t>
      </w:r>
      <w:r>
        <w:rPr>
          <w:w w:val="105"/>
        </w:rPr>
        <w:t> calidad</w:t>
      </w:r>
      <w:r>
        <w:rPr>
          <w:w w:val="105"/>
        </w:rPr>
        <w:t> se</w:t>
      </w:r>
      <w:r>
        <w:rPr>
          <w:w w:val="105"/>
        </w:rPr>
        <w:t> mide</w:t>
      </w:r>
      <w:r>
        <w:rPr>
          <w:w w:val="105"/>
        </w:rPr>
        <w:t> mediante</w:t>
      </w:r>
      <w:r>
        <w:rPr>
          <w:w w:val="105"/>
        </w:rPr>
        <w:t> el</w:t>
      </w:r>
      <w:r>
        <w:rPr>
          <w:w w:val="105"/>
        </w:rPr>
        <w:t> indicador “Porcentaje</w:t>
      </w:r>
      <w:r>
        <w:rPr>
          <w:spacing w:val="-18"/>
          <w:w w:val="105"/>
        </w:rPr>
        <w:t> </w:t>
      </w:r>
      <w:r>
        <w:rPr>
          <w:w w:val="105"/>
        </w:rPr>
        <w:t>de</w:t>
      </w:r>
      <w:r>
        <w:rPr>
          <w:spacing w:val="-17"/>
          <w:w w:val="105"/>
        </w:rPr>
        <w:t> </w:t>
      </w:r>
      <w:r>
        <w:rPr>
          <w:w w:val="105"/>
        </w:rPr>
        <w:t>acciones</w:t>
      </w:r>
      <w:r>
        <w:rPr>
          <w:spacing w:val="-18"/>
          <w:w w:val="105"/>
        </w:rPr>
        <w:t> </w:t>
      </w:r>
      <w:r>
        <w:rPr>
          <w:w w:val="105"/>
        </w:rPr>
        <w:t>que</w:t>
      </w:r>
      <w:r>
        <w:rPr>
          <w:spacing w:val="-18"/>
          <w:w w:val="105"/>
        </w:rPr>
        <w:t> </w:t>
      </w:r>
      <w:r>
        <w:rPr>
          <w:w w:val="105"/>
        </w:rPr>
        <w:t>usan</w:t>
      </w:r>
      <w:r>
        <w:rPr>
          <w:spacing w:val="-17"/>
          <w:w w:val="105"/>
        </w:rPr>
        <w:t> </w:t>
      </w:r>
      <w:r>
        <w:rPr>
          <w:w w:val="105"/>
        </w:rPr>
        <w:t>materiales</w:t>
      </w:r>
      <w:r>
        <w:rPr>
          <w:spacing w:val="-16"/>
          <w:w w:val="105"/>
        </w:rPr>
        <w:t> </w:t>
      </w:r>
      <w:r>
        <w:rPr>
          <w:w w:val="105"/>
        </w:rPr>
        <w:t>con</w:t>
      </w:r>
      <w:r>
        <w:rPr>
          <w:spacing w:val="-18"/>
          <w:w w:val="105"/>
        </w:rPr>
        <w:t> </w:t>
      </w:r>
      <w:r>
        <w:rPr>
          <w:w w:val="105"/>
        </w:rPr>
        <w:t>contenidos</w:t>
      </w:r>
      <w:r>
        <w:rPr>
          <w:spacing w:val="-16"/>
          <w:w w:val="105"/>
        </w:rPr>
        <w:t> </w:t>
      </w:r>
      <w:r>
        <w:rPr>
          <w:w w:val="105"/>
        </w:rPr>
        <w:t>validados</w:t>
      </w:r>
      <w:r>
        <w:rPr>
          <w:spacing w:val="-18"/>
          <w:w w:val="105"/>
        </w:rPr>
        <w:t> </w:t>
      </w:r>
      <w:r>
        <w:rPr>
          <w:w w:val="105"/>
        </w:rPr>
        <w:t>por</w:t>
      </w:r>
      <w:r>
        <w:rPr>
          <w:spacing w:val="-17"/>
          <w:w w:val="105"/>
        </w:rPr>
        <w:t> </w:t>
      </w:r>
      <w:r>
        <w:rPr>
          <w:w w:val="105"/>
        </w:rPr>
        <w:t>el programa Aurora, con un estándar de contenidos con enfoque de género e </w:t>
      </w:r>
      <w:r>
        <w:rPr>
          <w:spacing w:val="-2"/>
          <w:w w:val="105"/>
        </w:rPr>
        <w:t>interculturalidad”</w:t>
      </w:r>
    </w:p>
    <w:p>
      <w:pPr>
        <w:pStyle w:val="ListParagraph"/>
        <w:numPr>
          <w:ilvl w:val="3"/>
          <w:numId w:val="3"/>
        </w:numPr>
        <w:tabs>
          <w:tab w:pos="862" w:val="left" w:leader="none"/>
        </w:tabs>
        <w:spacing w:line="240" w:lineRule="auto" w:before="155" w:after="0"/>
        <w:ind w:left="862" w:right="0" w:hanging="360"/>
        <w:jc w:val="left"/>
        <w:rPr>
          <w:rFonts w:ascii="Arial" w:hAnsi="Arial"/>
          <w:i/>
          <w:sz w:val="24"/>
        </w:rPr>
      </w:pPr>
      <w:r>
        <w:rPr>
          <w:rFonts w:ascii="Arial" w:hAnsi="Arial"/>
          <w:i/>
          <w:w w:val="90"/>
          <w:sz w:val="24"/>
        </w:rPr>
        <w:t>Análisis</w:t>
      </w:r>
      <w:r>
        <w:rPr>
          <w:rFonts w:ascii="Arial" w:hAnsi="Arial"/>
          <w:i/>
          <w:spacing w:val="-7"/>
          <w:sz w:val="24"/>
        </w:rPr>
        <w:t> </w:t>
      </w:r>
      <w:r>
        <w:rPr>
          <w:rFonts w:ascii="Arial" w:hAnsi="Arial"/>
          <w:i/>
          <w:spacing w:val="-2"/>
          <w:sz w:val="24"/>
        </w:rPr>
        <w:t>cuantitativo</w:t>
      </w:r>
    </w:p>
    <w:p>
      <w:pPr>
        <w:pStyle w:val="BodyText"/>
        <w:spacing w:line="307" w:lineRule="auto" w:before="232"/>
        <w:ind w:left="143" w:right="702"/>
        <w:jc w:val="both"/>
      </w:pPr>
      <w:r>
        <w:rPr>
          <w:u w:val="single"/>
        </w:rPr>
        <w:t>Análisis de eficacia: </w:t>
      </w:r>
      <w:r>
        <w:rPr/>
        <w:t>En el año 2023, el indicador reporta que el 8.8% de la población recibió información para prevenir la violencia contra las mujeres e integrantes</w:t>
      </w:r>
      <w:r>
        <w:rPr>
          <w:spacing w:val="-18"/>
        </w:rPr>
        <w:t> </w:t>
      </w:r>
      <w:r>
        <w:rPr/>
        <w:t>del</w:t>
      </w:r>
      <w:r>
        <w:rPr>
          <w:spacing w:val="-15"/>
        </w:rPr>
        <w:t> </w:t>
      </w:r>
      <w:r>
        <w:rPr/>
        <w:t>grupo</w:t>
      </w:r>
      <w:r>
        <w:rPr>
          <w:spacing w:val="-15"/>
        </w:rPr>
        <w:t> </w:t>
      </w:r>
      <w:r>
        <w:rPr/>
        <w:t>familiar,</w:t>
      </w:r>
      <w:r>
        <w:rPr>
          <w:spacing w:val="-15"/>
        </w:rPr>
        <w:t> </w:t>
      </w:r>
      <w:r>
        <w:rPr/>
        <w:t>con</w:t>
      </w:r>
      <w:r>
        <w:rPr>
          <w:spacing w:val="-17"/>
        </w:rPr>
        <w:t> </w:t>
      </w:r>
      <w:r>
        <w:rPr/>
        <w:t>lo</w:t>
      </w:r>
      <w:r>
        <w:rPr>
          <w:spacing w:val="-15"/>
        </w:rPr>
        <w:t> </w:t>
      </w:r>
      <w:r>
        <w:rPr/>
        <w:t>cual</w:t>
      </w:r>
      <w:r>
        <w:rPr>
          <w:spacing w:val="-15"/>
        </w:rPr>
        <w:t> </w:t>
      </w:r>
      <w:r>
        <w:rPr/>
        <w:t>se</w:t>
      </w:r>
      <w:r>
        <w:rPr>
          <w:spacing w:val="-15"/>
        </w:rPr>
        <w:t> </w:t>
      </w:r>
      <w:r>
        <w:rPr/>
        <w:t>alcanzó</w:t>
      </w:r>
      <w:r>
        <w:rPr>
          <w:spacing w:val="-15"/>
        </w:rPr>
        <w:t> </w:t>
      </w:r>
      <w:r>
        <w:rPr/>
        <w:t>un</w:t>
      </w:r>
      <w:r>
        <w:rPr>
          <w:spacing w:val="-19"/>
        </w:rPr>
        <w:t> </w:t>
      </w:r>
      <w:r>
        <w:rPr/>
        <w:t>nivel</w:t>
      </w:r>
      <w:r>
        <w:rPr>
          <w:spacing w:val="-15"/>
        </w:rPr>
        <w:t> </w:t>
      </w:r>
      <w:r>
        <w:rPr/>
        <w:t>de</w:t>
      </w:r>
      <w:r>
        <w:rPr>
          <w:spacing w:val="-15"/>
        </w:rPr>
        <w:t> </w:t>
      </w:r>
      <w:r>
        <w:rPr/>
        <w:t>avance</w:t>
      </w:r>
      <w:r>
        <w:rPr>
          <w:spacing w:val="-15"/>
        </w:rPr>
        <w:t> </w:t>
      </w:r>
      <w:r>
        <w:rPr/>
        <w:t>de</w:t>
      </w:r>
      <w:r>
        <w:rPr>
          <w:spacing w:val="-14"/>
        </w:rPr>
        <w:t> </w:t>
      </w:r>
      <w:r>
        <w:rPr>
          <w:spacing w:val="-2"/>
        </w:rPr>
        <w:t>106.3</w:t>
      </w:r>
    </w:p>
    <w:p>
      <w:pPr>
        <w:pStyle w:val="BodyText"/>
        <w:spacing w:before="1"/>
        <w:ind w:left="143"/>
        <w:jc w:val="both"/>
      </w:pPr>
      <w:r>
        <w:rPr/>
        <w:t>%</w:t>
      </w:r>
      <w:r>
        <w:rPr>
          <w:spacing w:val="-1"/>
        </w:rPr>
        <w:t> </w:t>
      </w:r>
      <w:r>
        <w:rPr/>
        <w:t>respecto a</w:t>
      </w:r>
      <w:r>
        <w:rPr>
          <w:spacing w:val="-2"/>
        </w:rPr>
        <w:t> </w:t>
      </w:r>
      <w:r>
        <w:rPr/>
        <w:t>la</w:t>
      </w:r>
      <w:r>
        <w:rPr>
          <w:spacing w:val="-1"/>
        </w:rPr>
        <w:t> </w:t>
      </w:r>
      <w:r>
        <w:rPr/>
        <w:t>meta</w:t>
      </w:r>
      <w:r>
        <w:rPr>
          <w:spacing w:val="-2"/>
        </w:rPr>
        <w:t> </w:t>
      </w:r>
      <w:r>
        <w:rPr/>
        <w:t>programada</w:t>
      </w:r>
      <w:r>
        <w:rPr>
          <w:spacing w:val="-1"/>
        </w:rPr>
        <w:t> </w:t>
      </w:r>
      <w:r>
        <w:rPr>
          <w:spacing w:val="-2"/>
        </w:rPr>
        <w:t>(8.3%),</w:t>
      </w:r>
    </w:p>
    <w:p>
      <w:pPr>
        <w:pStyle w:val="BodyText"/>
      </w:pPr>
    </w:p>
    <w:p>
      <w:pPr>
        <w:pStyle w:val="BodyText"/>
        <w:spacing w:before="195"/>
      </w:pPr>
    </w:p>
    <w:p>
      <w:pPr>
        <w:spacing w:before="0"/>
        <w:ind w:left="0" w:right="565" w:firstLine="0"/>
        <w:jc w:val="center"/>
        <w:rPr>
          <w:sz w:val="22"/>
        </w:rPr>
      </w:pPr>
      <w:r>
        <w:rPr>
          <w:color w:val="44536A"/>
          <w:sz w:val="22"/>
        </w:rPr>
        <w:t>Tabla</w:t>
      </w:r>
      <w:r>
        <w:rPr>
          <w:color w:val="44536A"/>
          <w:spacing w:val="-9"/>
          <w:sz w:val="22"/>
        </w:rPr>
        <w:t> </w:t>
      </w:r>
      <w:r>
        <w:rPr>
          <w:color w:val="44536A"/>
          <w:sz w:val="22"/>
        </w:rPr>
        <w:t>4.</w:t>
      </w:r>
      <w:r>
        <w:rPr>
          <w:color w:val="44536A"/>
          <w:spacing w:val="-10"/>
          <w:sz w:val="22"/>
        </w:rPr>
        <w:t> </w:t>
      </w:r>
      <w:r>
        <w:rPr>
          <w:color w:val="44536A"/>
          <w:sz w:val="22"/>
        </w:rPr>
        <w:t>Análisis</w:t>
      </w:r>
      <w:r>
        <w:rPr>
          <w:color w:val="44536A"/>
          <w:spacing w:val="-10"/>
          <w:sz w:val="22"/>
        </w:rPr>
        <w:t> </w:t>
      </w:r>
      <w:r>
        <w:rPr>
          <w:color w:val="44536A"/>
          <w:sz w:val="22"/>
        </w:rPr>
        <w:t>del</w:t>
      </w:r>
      <w:r>
        <w:rPr>
          <w:color w:val="44536A"/>
          <w:spacing w:val="-11"/>
          <w:sz w:val="22"/>
        </w:rPr>
        <w:t> </w:t>
      </w:r>
      <w:r>
        <w:rPr>
          <w:color w:val="44536A"/>
          <w:sz w:val="22"/>
        </w:rPr>
        <w:t>indicador</w:t>
      </w:r>
      <w:r>
        <w:rPr>
          <w:color w:val="44536A"/>
          <w:spacing w:val="-12"/>
          <w:sz w:val="22"/>
        </w:rPr>
        <w:t> </w:t>
      </w:r>
      <w:r>
        <w:rPr>
          <w:color w:val="44536A"/>
          <w:sz w:val="22"/>
        </w:rPr>
        <w:t>de</w:t>
      </w:r>
      <w:r>
        <w:rPr>
          <w:color w:val="44536A"/>
          <w:spacing w:val="-9"/>
          <w:sz w:val="22"/>
        </w:rPr>
        <w:t> </w:t>
      </w:r>
      <w:r>
        <w:rPr>
          <w:color w:val="44536A"/>
          <w:sz w:val="22"/>
        </w:rPr>
        <w:t>eficacia</w:t>
      </w:r>
      <w:r>
        <w:rPr>
          <w:color w:val="44536A"/>
          <w:spacing w:val="-10"/>
          <w:sz w:val="22"/>
        </w:rPr>
        <w:t> </w:t>
      </w:r>
      <w:r>
        <w:rPr>
          <w:color w:val="44536A"/>
          <w:sz w:val="22"/>
        </w:rPr>
        <w:t>del</w:t>
      </w:r>
      <w:r>
        <w:rPr>
          <w:color w:val="44536A"/>
          <w:spacing w:val="-11"/>
          <w:sz w:val="22"/>
        </w:rPr>
        <w:t> </w:t>
      </w:r>
      <w:r>
        <w:rPr>
          <w:color w:val="44536A"/>
          <w:sz w:val="22"/>
        </w:rPr>
        <w:t>servicio</w:t>
      </w:r>
      <w:r>
        <w:rPr>
          <w:color w:val="44536A"/>
          <w:spacing w:val="-11"/>
          <w:sz w:val="22"/>
        </w:rPr>
        <w:t> </w:t>
      </w:r>
      <w:r>
        <w:rPr>
          <w:color w:val="44536A"/>
          <w:spacing w:val="-2"/>
          <w:sz w:val="22"/>
        </w:rPr>
        <w:t>01.02.03</w:t>
      </w:r>
    </w:p>
    <w:p>
      <w:pPr>
        <w:pStyle w:val="BodyText"/>
        <w:spacing w:before="10"/>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96"/>
        <w:gridCol w:w="7504"/>
      </w:tblGrid>
      <w:tr>
        <w:trPr>
          <w:trHeight w:val="299" w:hRule="atLeast"/>
        </w:trPr>
        <w:tc>
          <w:tcPr>
            <w:tcW w:w="996" w:type="dxa"/>
            <w:shd w:val="clear" w:color="auto" w:fill="44536A"/>
          </w:tcPr>
          <w:p>
            <w:pPr>
              <w:pStyle w:val="TableParagraph"/>
              <w:spacing w:before="61"/>
              <w:ind w:left="9" w:right="2"/>
              <w:jc w:val="center"/>
              <w:rPr>
                <w:sz w:val="16"/>
              </w:rPr>
            </w:pPr>
            <w:r>
              <w:rPr>
                <w:color w:val="FFFFFF"/>
                <w:spacing w:val="-5"/>
                <w:sz w:val="16"/>
              </w:rPr>
              <w:t>OP</w:t>
            </w:r>
          </w:p>
        </w:tc>
        <w:tc>
          <w:tcPr>
            <w:tcW w:w="7504" w:type="dxa"/>
          </w:tcPr>
          <w:p>
            <w:pPr>
              <w:pStyle w:val="TableParagraph"/>
              <w:spacing w:before="49"/>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734" w:hRule="atLeast"/>
        </w:trPr>
        <w:tc>
          <w:tcPr>
            <w:tcW w:w="996" w:type="dxa"/>
            <w:shd w:val="clear" w:color="auto" w:fill="44536A"/>
          </w:tcPr>
          <w:p>
            <w:pPr>
              <w:pStyle w:val="TableParagraph"/>
              <w:spacing w:before="60"/>
              <w:rPr>
                <w:sz w:val="18"/>
              </w:rPr>
            </w:pPr>
          </w:p>
          <w:p>
            <w:pPr>
              <w:pStyle w:val="TableParagraph"/>
              <w:ind w:left="9" w:right="3"/>
              <w:jc w:val="center"/>
              <w:rPr>
                <w:sz w:val="18"/>
              </w:rPr>
            </w:pPr>
            <w:r>
              <w:rPr>
                <w:color w:val="FFFFFF"/>
                <w:spacing w:val="-2"/>
                <w:sz w:val="18"/>
              </w:rPr>
              <w:t>Servicio</w:t>
            </w:r>
          </w:p>
        </w:tc>
        <w:tc>
          <w:tcPr>
            <w:tcW w:w="7504" w:type="dxa"/>
          </w:tcPr>
          <w:p>
            <w:pPr>
              <w:pStyle w:val="TableParagraph"/>
              <w:spacing w:before="23"/>
              <w:ind w:left="69"/>
              <w:rPr>
                <w:sz w:val="18"/>
              </w:rPr>
            </w:pPr>
            <w:r>
              <w:rPr>
                <w:sz w:val="18"/>
              </w:rPr>
              <w:t>Provisión,</w:t>
            </w:r>
            <w:r>
              <w:rPr>
                <w:spacing w:val="2"/>
                <w:sz w:val="18"/>
              </w:rPr>
              <w:t> </w:t>
            </w:r>
            <w:r>
              <w:rPr>
                <w:sz w:val="18"/>
              </w:rPr>
              <w:t>a</w:t>
            </w:r>
            <w:r>
              <w:rPr>
                <w:spacing w:val="5"/>
                <w:sz w:val="18"/>
              </w:rPr>
              <w:t> </w:t>
            </w:r>
            <w:r>
              <w:rPr>
                <w:sz w:val="18"/>
              </w:rPr>
              <w:t>nivel</w:t>
            </w:r>
            <w:r>
              <w:rPr>
                <w:spacing w:val="3"/>
                <w:sz w:val="18"/>
              </w:rPr>
              <w:t> </w:t>
            </w:r>
            <w:r>
              <w:rPr>
                <w:sz w:val="18"/>
              </w:rPr>
              <w:t>nacional y</w:t>
            </w:r>
            <w:r>
              <w:rPr>
                <w:spacing w:val="2"/>
                <w:sz w:val="18"/>
              </w:rPr>
              <w:t> </w:t>
            </w:r>
            <w:r>
              <w:rPr>
                <w:sz w:val="18"/>
              </w:rPr>
              <w:t>con</w:t>
            </w:r>
            <w:r>
              <w:rPr>
                <w:spacing w:val="3"/>
                <w:sz w:val="18"/>
              </w:rPr>
              <w:t> </w:t>
            </w:r>
            <w:r>
              <w:rPr>
                <w:sz w:val="18"/>
              </w:rPr>
              <w:t>enfoque</w:t>
            </w:r>
            <w:r>
              <w:rPr>
                <w:spacing w:val="3"/>
                <w:sz w:val="18"/>
              </w:rPr>
              <w:t> </w:t>
            </w:r>
            <w:r>
              <w:rPr>
                <w:sz w:val="18"/>
              </w:rPr>
              <w:t>intercultural,</w:t>
            </w:r>
            <w:r>
              <w:rPr>
                <w:spacing w:val="3"/>
                <w:sz w:val="18"/>
              </w:rPr>
              <w:t> </w:t>
            </w:r>
            <w:r>
              <w:rPr>
                <w:sz w:val="18"/>
              </w:rPr>
              <w:t>de</w:t>
            </w:r>
            <w:r>
              <w:rPr>
                <w:spacing w:val="7"/>
                <w:sz w:val="18"/>
              </w:rPr>
              <w:t> </w:t>
            </w:r>
            <w:r>
              <w:rPr>
                <w:sz w:val="18"/>
              </w:rPr>
              <w:t>información</w:t>
            </w:r>
            <w:r>
              <w:rPr>
                <w:spacing w:val="3"/>
                <w:sz w:val="18"/>
              </w:rPr>
              <w:t> </w:t>
            </w:r>
            <w:r>
              <w:rPr>
                <w:sz w:val="18"/>
              </w:rPr>
              <w:t>que</w:t>
            </w:r>
            <w:r>
              <w:rPr>
                <w:spacing w:val="3"/>
                <w:sz w:val="18"/>
              </w:rPr>
              <w:t> </w:t>
            </w:r>
            <w:r>
              <w:rPr>
                <w:sz w:val="18"/>
              </w:rPr>
              <w:t>promueva</w:t>
            </w:r>
            <w:r>
              <w:rPr>
                <w:spacing w:val="4"/>
                <w:sz w:val="18"/>
              </w:rPr>
              <w:t> </w:t>
            </w:r>
            <w:r>
              <w:rPr>
                <w:spacing w:val="-5"/>
                <w:sz w:val="18"/>
              </w:rPr>
              <w:t>el</w:t>
            </w:r>
          </w:p>
          <w:p>
            <w:pPr>
              <w:pStyle w:val="TableParagraph"/>
              <w:spacing w:line="240" w:lineRule="atLeast" w:before="4"/>
              <w:ind w:left="69"/>
              <w:rPr>
                <w:sz w:val="18"/>
              </w:rPr>
            </w:pPr>
            <w:r>
              <w:rPr>
                <w:sz w:val="18"/>
              </w:rPr>
              <w:t>ejercicio del</w:t>
            </w:r>
            <w:r>
              <w:rPr>
                <w:spacing w:val="-1"/>
                <w:sz w:val="18"/>
              </w:rPr>
              <w:t> </w:t>
            </w:r>
            <w:r>
              <w:rPr>
                <w:sz w:val="18"/>
              </w:rPr>
              <w:t>derecho a la denuncia de la violencia contra las</w:t>
            </w:r>
            <w:r>
              <w:rPr>
                <w:spacing w:val="-1"/>
                <w:sz w:val="18"/>
              </w:rPr>
              <w:t> </w:t>
            </w:r>
            <w:r>
              <w:rPr>
                <w:sz w:val="18"/>
              </w:rPr>
              <w:t>mujeres, e informe sobre los mecanismos de prevención, protección y sanción existentes.</w:t>
            </w:r>
          </w:p>
        </w:tc>
      </w:tr>
      <w:tr>
        <w:trPr>
          <w:trHeight w:val="491" w:hRule="atLeast"/>
        </w:trPr>
        <w:tc>
          <w:tcPr>
            <w:tcW w:w="996" w:type="dxa"/>
            <w:shd w:val="clear" w:color="auto" w:fill="44536A"/>
          </w:tcPr>
          <w:p>
            <w:pPr>
              <w:pStyle w:val="TableParagraph"/>
              <w:spacing w:before="147"/>
              <w:ind w:left="9"/>
              <w:jc w:val="center"/>
              <w:rPr>
                <w:sz w:val="18"/>
              </w:rPr>
            </w:pPr>
            <w:r>
              <w:rPr>
                <w:color w:val="FFFFFF"/>
                <w:spacing w:val="-2"/>
                <w:w w:val="105"/>
                <w:sz w:val="18"/>
              </w:rPr>
              <w:t>Indicador</w:t>
            </w:r>
          </w:p>
        </w:tc>
        <w:tc>
          <w:tcPr>
            <w:tcW w:w="7504" w:type="dxa"/>
          </w:tcPr>
          <w:p>
            <w:pPr>
              <w:pStyle w:val="TableParagraph"/>
              <w:spacing w:before="25"/>
              <w:ind w:left="69"/>
              <w:rPr>
                <w:sz w:val="18"/>
              </w:rPr>
            </w:pPr>
            <w:r>
              <w:rPr>
                <w:sz w:val="18"/>
              </w:rPr>
              <w:t>Porcentaje</w:t>
            </w:r>
            <w:r>
              <w:rPr>
                <w:spacing w:val="4"/>
                <w:sz w:val="18"/>
              </w:rPr>
              <w:t> </w:t>
            </w:r>
            <w:r>
              <w:rPr>
                <w:sz w:val="18"/>
              </w:rPr>
              <w:t>de</w:t>
            </w:r>
            <w:r>
              <w:rPr>
                <w:spacing w:val="3"/>
                <w:sz w:val="18"/>
              </w:rPr>
              <w:t> </w:t>
            </w:r>
            <w:r>
              <w:rPr>
                <w:sz w:val="18"/>
              </w:rPr>
              <w:t>población</w:t>
            </w:r>
            <w:r>
              <w:rPr>
                <w:spacing w:val="5"/>
                <w:sz w:val="18"/>
              </w:rPr>
              <w:t> </w:t>
            </w:r>
            <w:r>
              <w:rPr>
                <w:sz w:val="18"/>
              </w:rPr>
              <w:t>que</w:t>
            </w:r>
            <w:r>
              <w:rPr>
                <w:spacing w:val="5"/>
                <w:sz w:val="18"/>
              </w:rPr>
              <w:t> </w:t>
            </w:r>
            <w:r>
              <w:rPr>
                <w:sz w:val="18"/>
              </w:rPr>
              <w:t>recibe</w:t>
            </w:r>
            <w:r>
              <w:rPr>
                <w:spacing w:val="4"/>
                <w:sz w:val="18"/>
              </w:rPr>
              <w:t> </w:t>
            </w:r>
            <w:r>
              <w:rPr>
                <w:sz w:val="18"/>
              </w:rPr>
              <w:t>información</w:t>
            </w:r>
            <w:r>
              <w:rPr>
                <w:spacing w:val="5"/>
                <w:sz w:val="18"/>
              </w:rPr>
              <w:t> </w:t>
            </w:r>
            <w:r>
              <w:rPr>
                <w:sz w:val="18"/>
              </w:rPr>
              <w:t>para</w:t>
            </w:r>
            <w:r>
              <w:rPr>
                <w:spacing w:val="10"/>
                <w:sz w:val="18"/>
              </w:rPr>
              <w:t> </w:t>
            </w:r>
            <w:r>
              <w:rPr>
                <w:sz w:val="18"/>
              </w:rPr>
              <w:t>prevenir</w:t>
            </w:r>
            <w:r>
              <w:rPr>
                <w:spacing w:val="5"/>
                <w:sz w:val="18"/>
              </w:rPr>
              <w:t> </w:t>
            </w:r>
            <w:r>
              <w:rPr>
                <w:sz w:val="18"/>
              </w:rPr>
              <w:t>la</w:t>
            </w:r>
            <w:r>
              <w:rPr>
                <w:spacing w:val="6"/>
                <w:sz w:val="18"/>
              </w:rPr>
              <w:t> </w:t>
            </w:r>
            <w:r>
              <w:rPr>
                <w:sz w:val="18"/>
              </w:rPr>
              <w:t>violencia</w:t>
            </w:r>
            <w:r>
              <w:rPr>
                <w:spacing w:val="3"/>
                <w:sz w:val="18"/>
              </w:rPr>
              <w:t> </w:t>
            </w:r>
            <w:r>
              <w:rPr>
                <w:sz w:val="18"/>
              </w:rPr>
              <w:t>contra</w:t>
            </w:r>
            <w:r>
              <w:rPr>
                <w:spacing w:val="6"/>
                <w:sz w:val="18"/>
              </w:rPr>
              <w:t> </w:t>
            </w:r>
            <w:r>
              <w:rPr>
                <w:spacing w:val="-5"/>
                <w:sz w:val="18"/>
              </w:rPr>
              <w:t>las</w:t>
            </w:r>
          </w:p>
          <w:p>
            <w:pPr>
              <w:pStyle w:val="TableParagraph"/>
              <w:spacing w:line="201" w:lineRule="exact" w:before="38"/>
              <w:ind w:left="69"/>
              <w:rPr>
                <w:sz w:val="18"/>
              </w:rPr>
            </w:pPr>
            <w:r>
              <w:rPr>
                <w:sz w:val="18"/>
              </w:rPr>
              <w:t>mujeres</w:t>
            </w:r>
            <w:r>
              <w:rPr>
                <w:spacing w:val="6"/>
                <w:sz w:val="18"/>
              </w:rPr>
              <w:t> </w:t>
            </w:r>
            <w:r>
              <w:rPr>
                <w:sz w:val="18"/>
              </w:rPr>
              <w:t>e</w:t>
            </w:r>
            <w:r>
              <w:rPr>
                <w:spacing w:val="7"/>
                <w:sz w:val="18"/>
              </w:rPr>
              <w:t> </w:t>
            </w:r>
            <w:r>
              <w:rPr>
                <w:sz w:val="18"/>
              </w:rPr>
              <w:t>integrantes</w:t>
            </w:r>
            <w:r>
              <w:rPr>
                <w:spacing w:val="7"/>
                <w:sz w:val="18"/>
              </w:rPr>
              <w:t> </w:t>
            </w:r>
            <w:r>
              <w:rPr>
                <w:sz w:val="18"/>
              </w:rPr>
              <w:t>del</w:t>
            </w:r>
            <w:r>
              <w:rPr>
                <w:spacing w:val="6"/>
                <w:sz w:val="18"/>
              </w:rPr>
              <w:t> </w:t>
            </w:r>
            <w:r>
              <w:rPr>
                <w:sz w:val="18"/>
              </w:rPr>
              <w:t>grupo</w:t>
            </w:r>
            <w:r>
              <w:rPr>
                <w:spacing w:val="7"/>
                <w:sz w:val="18"/>
              </w:rPr>
              <w:t> </w:t>
            </w:r>
            <w:r>
              <w:rPr>
                <w:spacing w:val="-2"/>
                <w:sz w:val="18"/>
              </w:rPr>
              <w:t>familiar.</w:t>
            </w:r>
          </w:p>
        </w:tc>
      </w:tr>
    </w:tbl>
    <w:p>
      <w:pPr>
        <w:pStyle w:val="TableParagraph"/>
        <w:spacing w:after="0" w:line="201" w:lineRule="exact"/>
        <w:rPr>
          <w:sz w:val="18"/>
        </w:rPr>
        <w:sectPr>
          <w:pgSz w:w="11910" w:h="16840"/>
          <w:pgMar w:header="713" w:footer="1000" w:top="1420" w:bottom="1200" w:left="1559" w:right="992"/>
        </w:sectPr>
      </w:pPr>
    </w:p>
    <w:p>
      <w:pPr>
        <w:pStyle w:val="BodyText"/>
        <w:spacing w:before="6"/>
        <w:rPr>
          <w:sz w:val="7"/>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96"/>
        <w:gridCol w:w="713"/>
        <w:gridCol w:w="666"/>
        <w:gridCol w:w="771"/>
        <w:gridCol w:w="769"/>
        <w:gridCol w:w="666"/>
        <w:gridCol w:w="633"/>
        <w:gridCol w:w="666"/>
        <w:gridCol w:w="666"/>
        <w:gridCol w:w="666"/>
        <w:gridCol w:w="667"/>
        <w:gridCol w:w="633"/>
      </w:tblGrid>
      <w:tr>
        <w:trPr>
          <w:trHeight w:val="489" w:hRule="atLeast"/>
        </w:trPr>
        <w:tc>
          <w:tcPr>
            <w:tcW w:w="996" w:type="dxa"/>
            <w:tcBorders>
              <w:top w:val="nil"/>
            </w:tcBorders>
            <w:shd w:val="clear" w:color="auto" w:fill="808080"/>
          </w:tcPr>
          <w:p>
            <w:pPr>
              <w:pStyle w:val="TableParagraph"/>
              <w:spacing w:before="146"/>
              <w:ind w:left="9" w:right="5"/>
              <w:jc w:val="center"/>
              <w:rPr>
                <w:sz w:val="18"/>
              </w:rPr>
            </w:pPr>
            <w:r>
              <w:rPr>
                <w:color w:val="FFFFFF"/>
                <w:spacing w:val="-5"/>
                <w:sz w:val="18"/>
              </w:rPr>
              <w:t>Año</w:t>
            </w:r>
          </w:p>
        </w:tc>
        <w:tc>
          <w:tcPr>
            <w:tcW w:w="713" w:type="dxa"/>
            <w:tcBorders>
              <w:top w:val="nil"/>
            </w:tcBorders>
            <w:shd w:val="clear" w:color="auto" w:fill="808080"/>
          </w:tcPr>
          <w:p>
            <w:pPr>
              <w:pStyle w:val="TableParagraph"/>
              <w:spacing w:before="23"/>
              <w:ind w:left="9"/>
              <w:jc w:val="center"/>
              <w:rPr>
                <w:sz w:val="18"/>
              </w:rPr>
            </w:pPr>
            <w:r>
              <w:rPr>
                <w:color w:val="FFFFFF"/>
                <w:spacing w:val="-2"/>
                <w:sz w:val="18"/>
              </w:rPr>
              <w:t>Valor</w:t>
            </w:r>
          </w:p>
          <w:p>
            <w:pPr>
              <w:pStyle w:val="TableParagraph"/>
              <w:spacing w:line="201" w:lineRule="exact" w:before="38"/>
              <w:ind w:left="9" w:right="1"/>
              <w:jc w:val="center"/>
              <w:rPr>
                <w:sz w:val="18"/>
              </w:rPr>
            </w:pPr>
            <w:r>
              <w:rPr>
                <w:color w:val="FFFFFF"/>
                <w:spacing w:val="-5"/>
                <w:sz w:val="18"/>
              </w:rPr>
              <w:t>LB</w:t>
            </w:r>
          </w:p>
        </w:tc>
        <w:tc>
          <w:tcPr>
            <w:tcW w:w="666" w:type="dxa"/>
            <w:tcBorders>
              <w:top w:val="nil"/>
            </w:tcBorders>
            <w:shd w:val="clear" w:color="auto" w:fill="808080"/>
          </w:tcPr>
          <w:p>
            <w:pPr>
              <w:pStyle w:val="TableParagraph"/>
              <w:spacing w:before="146"/>
              <w:ind w:left="16" w:right="6"/>
              <w:jc w:val="center"/>
              <w:rPr>
                <w:sz w:val="18"/>
              </w:rPr>
            </w:pPr>
            <w:r>
              <w:rPr>
                <w:color w:val="FFFFFF"/>
                <w:spacing w:val="-4"/>
                <w:sz w:val="18"/>
              </w:rPr>
              <w:t>2021</w:t>
            </w:r>
          </w:p>
        </w:tc>
        <w:tc>
          <w:tcPr>
            <w:tcW w:w="771" w:type="dxa"/>
            <w:tcBorders>
              <w:top w:val="nil"/>
            </w:tcBorders>
            <w:shd w:val="clear" w:color="auto" w:fill="808080"/>
          </w:tcPr>
          <w:p>
            <w:pPr>
              <w:pStyle w:val="TableParagraph"/>
              <w:spacing w:before="146"/>
              <w:ind w:left="4"/>
              <w:jc w:val="center"/>
              <w:rPr>
                <w:sz w:val="18"/>
              </w:rPr>
            </w:pPr>
            <w:r>
              <w:rPr>
                <w:color w:val="FFFFFF"/>
                <w:spacing w:val="-4"/>
                <w:sz w:val="18"/>
              </w:rPr>
              <w:t>2022</w:t>
            </w:r>
          </w:p>
        </w:tc>
        <w:tc>
          <w:tcPr>
            <w:tcW w:w="769" w:type="dxa"/>
            <w:tcBorders>
              <w:top w:val="nil"/>
            </w:tcBorders>
            <w:shd w:val="clear" w:color="auto" w:fill="808080"/>
          </w:tcPr>
          <w:p>
            <w:pPr>
              <w:pStyle w:val="TableParagraph"/>
              <w:spacing w:before="146"/>
              <w:jc w:val="center"/>
              <w:rPr>
                <w:sz w:val="18"/>
              </w:rPr>
            </w:pPr>
            <w:r>
              <w:rPr>
                <w:color w:val="FFFFFF"/>
                <w:spacing w:val="-4"/>
                <w:sz w:val="18"/>
              </w:rPr>
              <w:t>2023</w:t>
            </w:r>
          </w:p>
        </w:tc>
        <w:tc>
          <w:tcPr>
            <w:tcW w:w="666" w:type="dxa"/>
            <w:tcBorders>
              <w:top w:val="nil"/>
            </w:tcBorders>
            <w:shd w:val="clear" w:color="auto" w:fill="808080"/>
          </w:tcPr>
          <w:p>
            <w:pPr>
              <w:pStyle w:val="TableParagraph"/>
              <w:spacing w:before="146"/>
              <w:ind w:left="11" w:right="6"/>
              <w:jc w:val="center"/>
              <w:rPr>
                <w:sz w:val="18"/>
              </w:rPr>
            </w:pPr>
            <w:r>
              <w:rPr>
                <w:color w:val="FFFFFF"/>
                <w:spacing w:val="-4"/>
                <w:sz w:val="18"/>
              </w:rPr>
              <w:t>2024</w:t>
            </w:r>
          </w:p>
        </w:tc>
        <w:tc>
          <w:tcPr>
            <w:tcW w:w="633" w:type="dxa"/>
            <w:tcBorders>
              <w:top w:val="nil"/>
            </w:tcBorders>
            <w:shd w:val="clear" w:color="auto" w:fill="808080"/>
          </w:tcPr>
          <w:p>
            <w:pPr>
              <w:pStyle w:val="TableParagraph"/>
              <w:spacing w:before="146"/>
              <w:ind w:left="15" w:right="13"/>
              <w:jc w:val="center"/>
              <w:rPr>
                <w:sz w:val="18"/>
              </w:rPr>
            </w:pPr>
            <w:r>
              <w:rPr>
                <w:color w:val="FFFFFF"/>
                <w:spacing w:val="-4"/>
                <w:sz w:val="18"/>
              </w:rPr>
              <w:t>2025</w:t>
            </w:r>
          </w:p>
        </w:tc>
        <w:tc>
          <w:tcPr>
            <w:tcW w:w="666" w:type="dxa"/>
            <w:tcBorders>
              <w:top w:val="nil"/>
            </w:tcBorders>
            <w:shd w:val="clear" w:color="auto" w:fill="808080"/>
          </w:tcPr>
          <w:p>
            <w:pPr>
              <w:pStyle w:val="TableParagraph"/>
              <w:spacing w:before="146"/>
              <w:ind w:left="10" w:right="10"/>
              <w:jc w:val="center"/>
              <w:rPr>
                <w:sz w:val="18"/>
              </w:rPr>
            </w:pPr>
            <w:r>
              <w:rPr>
                <w:color w:val="FFFFFF"/>
                <w:spacing w:val="-4"/>
                <w:sz w:val="18"/>
              </w:rPr>
              <w:t>2026</w:t>
            </w:r>
          </w:p>
        </w:tc>
        <w:tc>
          <w:tcPr>
            <w:tcW w:w="666" w:type="dxa"/>
            <w:tcBorders>
              <w:top w:val="nil"/>
            </w:tcBorders>
            <w:shd w:val="clear" w:color="auto" w:fill="808080"/>
          </w:tcPr>
          <w:p>
            <w:pPr>
              <w:pStyle w:val="TableParagraph"/>
              <w:spacing w:before="146"/>
              <w:ind w:left="10" w:right="11"/>
              <w:jc w:val="center"/>
              <w:rPr>
                <w:sz w:val="18"/>
              </w:rPr>
            </w:pPr>
            <w:r>
              <w:rPr>
                <w:color w:val="FFFFFF"/>
                <w:spacing w:val="-4"/>
                <w:sz w:val="18"/>
              </w:rPr>
              <w:t>2027</w:t>
            </w:r>
          </w:p>
        </w:tc>
        <w:tc>
          <w:tcPr>
            <w:tcW w:w="666" w:type="dxa"/>
            <w:tcBorders>
              <w:top w:val="nil"/>
            </w:tcBorders>
            <w:shd w:val="clear" w:color="auto" w:fill="808080"/>
          </w:tcPr>
          <w:p>
            <w:pPr>
              <w:pStyle w:val="TableParagraph"/>
              <w:spacing w:before="146"/>
              <w:ind w:left="10" w:right="12"/>
              <w:jc w:val="center"/>
              <w:rPr>
                <w:sz w:val="18"/>
              </w:rPr>
            </w:pPr>
            <w:r>
              <w:rPr>
                <w:color w:val="FFFFFF"/>
                <w:spacing w:val="-4"/>
                <w:sz w:val="18"/>
              </w:rPr>
              <w:t>2028</w:t>
            </w:r>
          </w:p>
        </w:tc>
        <w:tc>
          <w:tcPr>
            <w:tcW w:w="667" w:type="dxa"/>
            <w:tcBorders>
              <w:top w:val="nil"/>
            </w:tcBorders>
            <w:shd w:val="clear" w:color="auto" w:fill="808080"/>
          </w:tcPr>
          <w:p>
            <w:pPr>
              <w:pStyle w:val="TableParagraph"/>
              <w:spacing w:before="146"/>
              <w:ind w:left="5" w:right="10"/>
              <w:jc w:val="center"/>
              <w:rPr>
                <w:sz w:val="18"/>
              </w:rPr>
            </w:pPr>
            <w:r>
              <w:rPr>
                <w:color w:val="FFFFFF"/>
                <w:spacing w:val="-4"/>
                <w:sz w:val="18"/>
              </w:rPr>
              <w:t>2029</w:t>
            </w:r>
          </w:p>
        </w:tc>
        <w:tc>
          <w:tcPr>
            <w:tcW w:w="633" w:type="dxa"/>
            <w:tcBorders>
              <w:top w:val="nil"/>
            </w:tcBorders>
            <w:shd w:val="clear" w:color="auto" w:fill="808080"/>
          </w:tcPr>
          <w:p>
            <w:pPr>
              <w:pStyle w:val="TableParagraph"/>
              <w:spacing w:before="146"/>
              <w:ind w:left="5" w:right="13"/>
              <w:jc w:val="center"/>
              <w:rPr>
                <w:sz w:val="18"/>
              </w:rPr>
            </w:pPr>
            <w:r>
              <w:rPr>
                <w:color w:val="FFFFFF"/>
                <w:spacing w:val="-4"/>
                <w:sz w:val="18"/>
              </w:rPr>
              <w:t>2030</w:t>
            </w:r>
          </w:p>
        </w:tc>
      </w:tr>
      <w:tr>
        <w:trPr>
          <w:trHeight w:val="299" w:hRule="atLeast"/>
        </w:trPr>
        <w:tc>
          <w:tcPr>
            <w:tcW w:w="996" w:type="dxa"/>
            <w:shd w:val="clear" w:color="auto" w:fill="44536A"/>
          </w:tcPr>
          <w:p>
            <w:pPr>
              <w:pStyle w:val="TableParagraph"/>
              <w:spacing w:before="49"/>
              <w:ind w:left="69"/>
              <w:rPr>
                <w:sz w:val="18"/>
              </w:rPr>
            </w:pPr>
            <w:r>
              <w:rPr>
                <w:color w:val="FFFFFF"/>
                <w:spacing w:val="-2"/>
                <w:sz w:val="18"/>
              </w:rPr>
              <w:t>Metas</w:t>
            </w:r>
          </w:p>
        </w:tc>
        <w:tc>
          <w:tcPr>
            <w:tcW w:w="713" w:type="dxa"/>
          </w:tcPr>
          <w:p>
            <w:pPr>
              <w:pStyle w:val="TableParagraph"/>
              <w:spacing w:before="61"/>
              <w:ind w:left="134"/>
              <w:rPr>
                <w:sz w:val="16"/>
              </w:rPr>
            </w:pPr>
            <w:r>
              <w:rPr>
                <w:spacing w:val="-2"/>
                <w:sz w:val="16"/>
              </w:rPr>
              <w:t>6.00%</w:t>
            </w:r>
          </w:p>
        </w:tc>
        <w:tc>
          <w:tcPr>
            <w:tcW w:w="666" w:type="dxa"/>
          </w:tcPr>
          <w:p>
            <w:pPr>
              <w:pStyle w:val="TableParagraph"/>
              <w:spacing w:before="61"/>
              <w:ind w:left="11" w:right="6"/>
              <w:jc w:val="center"/>
              <w:rPr>
                <w:sz w:val="16"/>
              </w:rPr>
            </w:pPr>
            <w:r>
              <w:rPr>
                <w:spacing w:val="-2"/>
                <w:sz w:val="16"/>
              </w:rPr>
              <w:t>6.50%</w:t>
            </w:r>
          </w:p>
        </w:tc>
        <w:tc>
          <w:tcPr>
            <w:tcW w:w="771" w:type="dxa"/>
          </w:tcPr>
          <w:p>
            <w:pPr>
              <w:pStyle w:val="TableParagraph"/>
              <w:spacing w:before="61"/>
              <w:ind w:left="4"/>
              <w:jc w:val="center"/>
              <w:rPr>
                <w:sz w:val="16"/>
              </w:rPr>
            </w:pPr>
            <w:r>
              <w:rPr>
                <w:spacing w:val="-2"/>
                <w:sz w:val="16"/>
              </w:rPr>
              <w:t>6.70%</w:t>
            </w:r>
          </w:p>
        </w:tc>
        <w:tc>
          <w:tcPr>
            <w:tcW w:w="769" w:type="dxa"/>
          </w:tcPr>
          <w:p>
            <w:pPr>
              <w:pStyle w:val="TableParagraph"/>
              <w:spacing w:before="61"/>
              <w:jc w:val="center"/>
              <w:rPr>
                <w:sz w:val="16"/>
              </w:rPr>
            </w:pPr>
            <w:r>
              <w:rPr>
                <w:spacing w:val="-2"/>
                <w:sz w:val="16"/>
              </w:rPr>
              <w:t>8.30%</w:t>
            </w:r>
          </w:p>
        </w:tc>
        <w:tc>
          <w:tcPr>
            <w:tcW w:w="666" w:type="dxa"/>
          </w:tcPr>
          <w:p>
            <w:pPr>
              <w:pStyle w:val="TableParagraph"/>
              <w:spacing w:before="61"/>
              <w:ind w:left="10" w:right="9"/>
              <w:jc w:val="center"/>
              <w:rPr>
                <w:sz w:val="16"/>
              </w:rPr>
            </w:pPr>
            <w:r>
              <w:rPr>
                <w:spacing w:val="-2"/>
                <w:sz w:val="16"/>
              </w:rPr>
              <w:t>8.50%</w:t>
            </w:r>
          </w:p>
        </w:tc>
        <w:tc>
          <w:tcPr>
            <w:tcW w:w="633" w:type="dxa"/>
          </w:tcPr>
          <w:p>
            <w:pPr>
              <w:pStyle w:val="TableParagraph"/>
              <w:spacing w:before="61"/>
              <w:ind w:left="13" w:right="13"/>
              <w:jc w:val="center"/>
              <w:rPr>
                <w:sz w:val="16"/>
              </w:rPr>
            </w:pPr>
            <w:r>
              <w:rPr>
                <w:spacing w:val="-5"/>
                <w:sz w:val="16"/>
              </w:rPr>
              <w:t>9%</w:t>
            </w:r>
          </w:p>
        </w:tc>
        <w:tc>
          <w:tcPr>
            <w:tcW w:w="666" w:type="dxa"/>
          </w:tcPr>
          <w:p>
            <w:pPr>
              <w:pStyle w:val="TableParagraph"/>
              <w:spacing w:before="61"/>
              <w:ind w:left="10" w:right="12"/>
              <w:jc w:val="center"/>
              <w:rPr>
                <w:sz w:val="16"/>
              </w:rPr>
            </w:pPr>
            <w:r>
              <w:rPr>
                <w:spacing w:val="-2"/>
                <w:sz w:val="16"/>
              </w:rPr>
              <w:t>9.50%</w:t>
            </w:r>
          </w:p>
        </w:tc>
        <w:tc>
          <w:tcPr>
            <w:tcW w:w="666" w:type="dxa"/>
          </w:tcPr>
          <w:p>
            <w:pPr>
              <w:pStyle w:val="TableParagraph"/>
              <w:spacing w:before="61"/>
              <w:ind w:left="10" w:right="14"/>
              <w:jc w:val="center"/>
              <w:rPr>
                <w:sz w:val="16"/>
              </w:rPr>
            </w:pPr>
            <w:r>
              <w:rPr>
                <w:spacing w:val="-2"/>
                <w:sz w:val="16"/>
              </w:rPr>
              <w:t>9.70%</w:t>
            </w:r>
          </w:p>
        </w:tc>
        <w:tc>
          <w:tcPr>
            <w:tcW w:w="666" w:type="dxa"/>
          </w:tcPr>
          <w:p>
            <w:pPr>
              <w:pStyle w:val="TableParagraph"/>
              <w:spacing w:before="61"/>
              <w:ind w:left="10" w:right="16"/>
              <w:jc w:val="center"/>
              <w:rPr>
                <w:sz w:val="16"/>
              </w:rPr>
            </w:pPr>
            <w:r>
              <w:rPr>
                <w:spacing w:val="-2"/>
                <w:sz w:val="16"/>
              </w:rPr>
              <w:t>9.80%</w:t>
            </w:r>
          </w:p>
        </w:tc>
        <w:tc>
          <w:tcPr>
            <w:tcW w:w="667" w:type="dxa"/>
          </w:tcPr>
          <w:p>
            <w:pPr>
              <w:pStyle w:val="TableParagraph"/>
              <w:spacing w:before="61"/>
              <w:ind w:right="10"/>
              <w:jc w:val="center"/>
              <w:rPr>
                <w:sz w:val="16"/>
              </w:rPr>
            </w:pPr>
            <w:r>
              <w:rPr>
                <w:spacing w:val="-2"/>
                <w:sz w:val="16"/>
              </w:rPr>
              <w:t>9.90%</w:t>
            </w:r>
          </w:p>
        </w:tc>
        <w:tc>
          <w:tcPr>
            <w:tcW w:w="633" w:type="dxa"/>
          </w:tcPr>
          <w:p>
            <w:pPr>
              <w:pStyle w:val="TableParagraph"/>
              <w:spacing w:before="61"/>
              <w:ind w:left="2" w:right="15"/>
              <w:jc w:val="center"/>
              <w:rPr>
                <w:sz w:val="16"/>
              </w:rPr>
            </w:pPr>
            <w:r>
              <w:rPr>
                <w:spacing w:val="-5"/>
                <w:sz w:val="16"/>
              </w:rPr>
              <w:t>10%</w:t>
            </w:r>
          </w:p>
        </w:tc>
      </w:tr>
      <w:tr>
        <w:trPr>
          <w:trHeight w:val="570" w:hRule="atLeast"/>
        </w:trPr>
        <w:tc>
          <w:tcPr>
            <w:tcW w:w="996"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713" w:type="dxa"/>
            <w:shd w:val="clear" w:color="auto" w:fill="C8C8C8"/>
          </w:tcPr>
          <w:p>
            <w:pPr>
              <w:pStyle w:val="TableParagraph"/>
              <w:rPr>
                <w:rFonts w:ascii="Times New Roman"/>
                <w:sz w:val="20"/>
              </w:rPr>
            </w:pPr>
          </w:p>
        </w:tc>
        <w:tc>
          <w:tcPr>
            <w:tcW w:w="666" w:type="dxa"/>
          </w:tcPr>
          <w:p>
            <w:pPr>
              <w:pStyle w:val="TableParagraph"/>
              <w:spacing w:before="11"/>
              <w:rPr>
                <w:sz w:val="16"/>
              </w:rPr>
            </w:pPr>
          </w:p>
          <w:p>
            <w:pPr>
              <w:pStyle w:val="TableParagraph"/>
              <w:ind w:left="11" w:right="6"/>
              <w:jc w:val="center"/>
              <w:rPr>
                <w:sz w:val="16"/>
              </w:rPr>
            </w:pPr>
            <w:r>
              <w:rPr>
                <w:spacing w:val="-2"/>
                <w:sz w:val="16"/>
              </w:rPr>
              <w:t>2.95%</w:t>
            </w:r>
          </w:p>
        </w:tc>
        <w:tc>
          <w:tcPr>
            <w:tcW w:w="771" w:type="dxa"/>
          </w:tcPr>
          <w:p>
            <w:pPr>
              <w:pStyle w:val="TableParagraph"/>
              <w:spacing w:before="11"/>
              <w:rPr>
                <w:sz w:val="16"/>
              </w:rPr>
            </w:pPr>
          </w:p>
          <w:p>
            <w:pPr>
              <w:pStyle w:val="TableParagraph"/>
              <w:ind w:left="4"/>
              <w:jc w:val="center"/>
              <w:rPr>
                <w:sz w:val="16"/>
              </w:rPr>
            </w:pPr>
            <w:r>
              <w:rPr>
                <w:spacing w:val="-2"/>
                <w:sz w:val="16"/>
              </w:rPr>
              <w:t>7.72%</w:t>
            </w:r>
          </w:p>
        </w:tc>
        <w:tc>
          <w:tcPr>
            <w:tcW w:w="769" w:type="dxa"/>
          </w:tcPr>
          <w:p>
            <w:pPr>
              <w:pStyle w:val="TableParagraph"/>
              <w:spacing w:before="11"/>
              <w:rPr>
                <w:sz w:val="16"/>
              </w:rPr>
            </w:pPr>
          </w:p>
          <w:p>
            <w:pPr>
              <w:pStyle w:val="TableParagraph"/>
              <w:jc w:val="center"/>
              <w:rPr>
                <w:sz w:val="16"/>
              </w:rPr>
            </w:pPr>
            <w:r>
              <w:rPr>
                <w:spacing w:val="-2"/>
                <w:sz w:val="16"/>
              </w:rPr>
              <w:t>8.82%</w:t>
            </w:r>
          </w:p>
        </w:tc>
        <w:tc>
          <w:tcPr>
            <w:tcW w:w="666" w:type="dxa"/>
            <w:shd w:val="clear" w:color="auto" w:fill="C8C8C8"/>
          </w:tcPr>
          <w:p>
            <w:pPr>
              <w:pStyle w:val="TableParagraph"/>
              <w:rPr>
                <w:rFonts w:ascii="Times New Roman"/>
                <w:sz w:val="20"/>
              </w:rPr>
            </w:pPr>
          </w:p>
        </w:tc>
        <w:tc>
          <w:tcPr>
            <w:tcW w:w="633" w:type="dxa"/>
            <w:shd w:val="clear" w:color="auto" w:fill="C8C8C8"/>
          </w:tcPr>
          <w:p>
            <w:pPr>
              <w:pStyle w:val="TableParagraph"/>
              <w:rPr>
                <w:rFonts w:ascii="Times New Roman"/>
                <w:sz w:val="20"/>
              </w:rPr>
            </w:pPr>
          </w:p>
        </w:tc>
        <w:tc>
          <w:tcPr>
            <w:tcW w:w="666" w:type="dxa"/>
            <w:shd w:val="clear" w:color="auto" w:fill="C8C8C8"/>
          </w:tcPr>
          <w:p>
            <w:pPr>
              <w:pStyle w:val="TableParagraph"/>
              <w:rPr>
                <w:rFonts w:ascii="Times New Roman"/>
                <w:sz w:val="20"/>
              </w:rPr>
            </w:pPr>
          </w:p>
        </w:tc>
        <w:tc>
          <w:tcPr>
            <w:tcW w:w="666" w:type="dxa"/>
            <w:shd w:val="clear" w:color="auto" w:fill="C8C8C8"/>
          </w:tcPr>
          <w:p>
            <w:pPr>
              <w:pStyle w:val="TableParagraph"/>
              <w:rPr>
                <w:rFonts w:ascii="Times New Roman"/>
                <w:sz w:val="20"/>
              </w:rPr>
            </w:pPr>
          </w:p>
        </w:tc>
        <w:tc>
          <w:tcPr>
            <w:tcW w:w="666" w:type="dxa"/>
            <w:shd w:val="clear" w:color="auto" w:fill="C8C8C8"/>
          </w:tcPr>
          <w:p>
            <w:pPr>
              <w:pStyle w:val="TableParagraph"/>
              <w:rPr>
                <w:rFonts w:ascii="Times New Roman"/>
                <w:sz w:val="20"/>
              </w:rPr>
            </w:pPr>
          </w:p>
        </w:tc>
        <w:tc>
          <w:tcPr>
            <w:tcW w:w="667" w:type="dxa"/>
            <w:shd w:val="clear" w:color="auto" w:fill="C8C8C8"/>
          </w:tcPr>
          <w:p>
            <w:pPr>
              <w:pStyle w:val="TableParagraph"/>
              <w:rPr>
                <w:rFonts w:ascii="Times New Roman"/>
                <w:sz w:val="20"/>
              </w:rPr>
            </w:pPr>
          </w:p>
        </w:tc>
        <w:tc>
          <w:tcPr>
            <w:tcW w:w="633" w:type="dxa"/>
            <w:shd w:val="clear" w:color="auto" w:fill="C8C8C8"/>
          </w:tcPr>
          <w:p>
            <w:pPr>
              <w:pStyle w:val="TableParagraph"/>
              <w:rPr>
                <w:rFonts w:ascii="Times New Roman"/>
                <w:sz w:val="20"/>
              </w:rPr>
            </w:pPr>
          </w:p>
        </w:tc>
      </w:tr>
      <w:tr>
        <w:trPr>
          <w:trHeight w:val="568" w:hRule="atLeast"/>
        </w:trPr>
        <w:tc>
          <w:tcPr>
            <w:tcW w:w="996" w:type="dxa"/>
            <w:shd w:val="clear" w:color="auto" w:fill="44536A"/>
          </w:tcPr>
          <w:p>
            <w:pPr>
              <w:pStyle w:val="TableParagraph"/>
              <w:spacing w:line="240" w:lineRule="atLeast" w:before="28"/>
              <w:ind w:left="69" w:right="259"/>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13" w:type="dxa"/>
            <w:shd w:val="clear" w:color="auto" w:fill="C8C8C8"/>
          </w:tcPr>
          <w:p>
            <w:pPr>
              <w:pStyle w:val="TableParagraph"/>
              <w:rPr>
                <w:rFonts w:ascii="Times New Roman"/>
                <w:sz w:val="20"/>
              </w:rPr>
            </w:pPr>
          </w:p>
        </w:tc>
        <w:tc>
          <w:tcPr>
            <w:tcW w:w="666" w:type="dxa"/>
          </w:tcPr>
          <w:p>
            <w:pPr>
              <w:pStyle w:val="TableParagraph"/>
              <w:spacing w:before="11"/>
              <w:rPr>
                <w:sz w:val="16"/>
              </w:rPr>
            </w:pPr>
          </w:p>
          <w:p>
            <w:pPr>
              <w:pStyle w:val="TableParagraph"/>
              <w:ind w:left="11" w:right="6"/>
              <w:jc w:val="center"/>
              <w:rPr>
                <w:sz w:val="16"/>
              </w:rPr>
            </w:pPr>
            <w:r>
              <w:rPr>
                <w:spacing w:val="-2"/>
                <w:sz w:val="16"/>
              </w:rPr>
              <w:t>45.4%</w:t>
            </w:r>
          </w:p>
        </w:tc>
        <w:tc>
          <w:tcPr>
            <w:tcW w:w="771" w:type="dxa"/>
          </w:tcPr>
          <w:p>
            <w:pPr>
              <w:pStyle w:val="TableParagraph"/>
              <w:spacing w:before="11"/>
              <w:rPr>
                <w:sz w:val="16"/>
              </w:rPr>
            </w:pPr>
          </w:p>
          <w:p>
            <w:pPr>
              <w:pStyle w:val="TableParagraph"/>
              <w:ind w:left="4"/>
              <w:jc w:val="center"/>
              <w:rPr>
                <w:sz w:val="16"/>
              </w:rPr>
            </w:pPr>
            <w:r>
              <w:rPr>
                <w:spacing w:val="-2"/>
                <w:sz w:val="16"/>
              </w:rPr>
              <w:t>115.3%</w:t>
            </w:r>
          </w:p>
        </w:tc>
        <w:tc>
          <w:tcPr>
            <w:tcW w:w="769" w:type="dxa"/>
          </w:tcPr>
          <w:p>
            <w:pPr>
              <w:pStyle w:val="TableParagraph"/>
              <w:spacing w:before="11"/>
              <w:rPr>
                <w:sz w:val="16"/>
              </w:rPr>
            </w:pPr>
          </w:p>
          <w:p>
            <w:pPr>
              <w:pStyle w:val="TableParagraph"/>
              <w:jc w:val="center"/>
              <w:rPr>
                <w:sz w:val="16"/>
              </w:rPr>
            </w:pPr>
            <w:r>
              <w:rPr>
                <w:spacing w:val="-2"/>
                <w:sz w:val="16"/>
              </w:rPr>
              <w:t>106.3%</w:t>
            </w:r>
          </w:p>
        </w:tc>
        <w:tc>
          <w:tcPr>
            <w:tcW w:w="666" w:type="dxa"/>
            <w:shd w:val="clear" w:color="auto" w:fill="C8C8C8"/>
          </w:tcPr>
          <w:p>
            <w:pPr>
              <w:pStyle w:val="TableParagraph"/>
              <w:rPr>
                <w:rFonts w:ascii="Times New Roman"/>
                <w:sz w:val="20"/>
              </w:rPr>
            </w:pPr>
          </w:p>
        </w:tc>
        <w:tc>
          <w:tcPr>
            <w:tcW w:w="633" w:type="dxa"/>
            <w:shd w:val="clear" w:color="auto" w:fill="C8C8C8"/>
          </w:tcPr>
          <w:p>
            <w:pPr>
              <w:pStyle w:val="TableParagraph"/>
              <w:rPr>
                <w:rFonts w:ascii="Times New Roman"/>
                <w:sz w:val="20"/>
              </w:rPr>
            </w:pPr>
          </w:p>
        </w:tc>
        <w:tc>
          <w:tcPr>
            <w:tcW w:w="666" w:type="dxa"/>
            <w:shd w:val="clear" w:color="auto" w:fill="C8C8C8"/>
          </w:tcPr>
          <w:p>
            <w:pPr>
              <w:pStyle w:val="TableParagraph"/>
              <w:rPr>
                <w:rFonts w:ascii="Times New Roman"/>
                <w:sz w:val="20"/>
              </w:rPr>
            </w:pPr>
          </w:p>
        </w:tc>
        <w:tc>
          <w:tcPr>
            <w:tcW w:w="666" w:type="dxa"/>
            <w:shd w:val="clear" w:color="auto" w:fill="C8C8C8"/>
          </w:tcPr>
          <w:p>
            <w:pPr>
              <w:pStyle w:val="TableParagraph"/>
              <w:rPr>
                <w:rFonts w:ascii="Times New Roman"/>
                <w:sz w:val="20"/>
              </w:rPr>
            </w:pPr>
          </w:p>
        </w:tc>
        <w:tc>
          <w:tcPr>
            <w:tcW w:w="666" w:type="dxa"/>
            <w:shd w:val="clear" w:color="auto" w:fill="C8C8C8"/>
          </w:tcPr>
          <w:p>
            <w:pPr>
              <w:pStyle w:val="TableParagraph"/>
              <w:rPr>
                <w:rFonts w:ascii="Times New Roman"/>
                <w:sz w:val="20"/>
              </w:rPr>
            </w:pPr>
          </w:p>
        </w:tc>
        <w:tc>
          <w:tcPr>
            <w:tcW w:w="667" w:type="dxa"/>
            <w:shd w:val="clear" w:color="auto" w:fill="C8C8C8"/>
          </w:tcPr>
          <w:p>
            <w:pPr>
              <w:pStyle w:val="TableParagraph"/>
              <w:rPr>
                <w:rFonts w:ascii="Times New Roman"/>
                <w:sz w:val="20"/>
              </w:rPr>
            </w:pPr>
          </w:p>
        </w:tc>
        <w:tc>
          <w:tcPr>
            <w:tcW w:w="633" w:type="dxa"/>
            <w:shd w:val="clear" w:color="auto" w:fill="C8C8C8"/>
          </w:tcPr>
          <w:p>
            <w:pPr>
              <w:pStyle w:val="TableParagraph"/>
              <w:rPr>
                <w:rFonts w:ascii="Times New Roman"/>
                <w:sz w:val="20"/>
              </w:rPr>
            </w:pPr>
          </w:p>
        </w:tc>
      </w:tr>
    </w:tbl>
    <w:p>
      <w:pPr>
        <w:pStyle w:val="BodyText"/>
        <w:spacing w:before="89"/>
        <w:rPr>
          <w:sz w:val="18"/>
        </w:rPr>
      </w:pPr>
    </w:p>
    <w:p>
      <w:pPr>
        <w:spacing w:line="307" w:lineRule="auto" w:before="1"/>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3"/>
        <w:rPr>
          <w:sz w:val="18"/>
        </w:rPr>
      </w:pPr>
    </w:p>
    <w:p>
      <w:pPr>
        <w:pStyle w:val="BodyText"/>
        <w:spacing w:line="307" w:lineRule="auto"/>
        <w:ind w:left="143" w:right="703"/>
        <w:jc w:val="both"/>
      </w:pPr>
      <w:r>
        <w:rPr>
          <w:u w:val="single"/>
        </w:rPr>
        <w:t>Análisis</w:t>
      </w:r>
      <w:r>
        <w:rPr>
          <w:spacing w:val="-15"/>
          <w:u w:val="single"/>
        </w:rPr>
        <w:t> </w:t>
      </w:r>
      <w:r>
        <w:rPr>
          <w:u w:val="single"/>
        </w:rPr>
        <w:t>de</w:t>
      </w:r>
      <w:r>
        <w:rPr>
          <w:spacing w:val="-16"/>
          <w:u w:val="single"/>
        </w:rPr>
        <w:t> </w:t>
      </w:r>
      <w:r>
        <w:rPr>
          <w:u w:val="single"/>
        </w:rPr>
        <w:t>calidad:</w:t>
      </w:r>
      <w:r>
        <w:rPr>
          <w:spacing w:val="-15"/>
        </w:rPr>
        <w:t> </w:t>
      </w:r>
      <w:r>
        <w:rPr/>
        <w:t>Para</w:t>
      </w:r>
      <w:r>
        <w:rPr>
          <w:spacing w:val="-14"/>
        </w:rPr>
        <w:t> </w:t>
      </w:r>
      <w:r>
        <w:rPr/>
        <w:t>el</w:t>
      </w:r>
      <w:r>
        <w:rPr>
          <w:spacing w:val="-13"/>
        </w:rPr>
        <w:t> </w:t>
      </w:r>
      <w:r>
        <w:rPr/>
        <w:t>año</w:t>
      </w:r>
      <w:r>
        <w:rPr>
          <w:spacing w:val="-13"/>
        </w:rPr>
        <w:t> </w:t>
      </w:r>
      <w:r>
        <w:rPr/>
        <w:t>2023,</w:t>
      </w:r>
      <w:r>
        <w:rPr>
          <w:spacing w:val="-13"/>
        </w:rPr>
        <w:t> </w:t>
      </w:r>
      <w:r>
        <w:rPr/>
        <w:t>el</w:t>
      </w:r>
      <w:r>
        <w:rPr>
          <w:spacing w:val="-15"/>
        </w:rPr>
        <w:t> </w:t>
      </w:r>
      <w:r>
        <w:rPr/>
        <w:t>servicio</w:t>
      </w:r>
      <w:r>
        <w:rPr>
          <w:spacing w:val="-10"/>
        </w:rPr>
        <w:t> </w:t>
      </w:r>
      <w:r>
        <w:rPr/>
        <w:t>alcanzó</w:t>
      </w:r>
      <w:r>
        <w:rPr>
          <w:spacing w:val="-15"/>
        </w:rPr>
        <w:t> </w:t>
      </w:r>
      <w:r>
        <w:rPr/>
        <w:t>un</w:t>
      </w:r>
      <w:r>
        <w:rPr>
          <w:spacing w:val="-14"/>
        </w:rPr>
        <w:t> </w:t>
      </w:r>
      <w:r>
        <w:rPr/>
        <w:t>porcentaje</w:t>
      </w:r>
      <w:r>
        <w:rPr>
          <w:spacing w:val="-13"/>
        </w:rPr>
        <w:t> </w:t>
      </w:r>
      <w:r>
        <w:rPr/>
        <w:t>de</w:t>
      </w:r>
      <w:r>
        <w:rPr>
          <w:spacing w:val="-16"/>
        </w:rPr>
        <w:t> </w:t>
      </w:r>
      <w:r>
        <w:rPr/>
        <w:t>92.9% de acciones que usan materiales con contenidos validados por el Programa AURORA, con lo cual se obtuvo un nivel de avance del 1161.5%, superando lo programado para dicho año (8.0%). El resultado, como se estableció en la sección de la metodología, es un indicativo de una posible falla de planeación del indicador, la cual será verificada a través de un análisis mixto.</w:t>
      </w:r>
    </w:p>
    <w:p>
      <w:pPr>
        <w:pStyle w:val="BodyText"/>
        <w:spacing w:before="72"/>
      </w:pPr>
    </w:p>
    <w:p>
      <w:pPr>
        <w:spacing w:before="0"/>
        <w:ind w:left="0" w:right="565" w:firstLine="0"/>
        <w:jc w:val="center"/>
        <w:rPr>
          <w:sz w:val="22"/>
        </w:rPr>
      </w:pPr>
      <w:r>
        <w:rPr>
          <w:color w:val="44536A"/>
          <w:sz w:val="22"/>
        </w:rPr>
        <w:t>Tabla</w:t>
      </w:r>
      <w:r>
        <w:rPr>
          <w:color w:val="44536A"/>
          <w:spacing w:val="-8"/>
          <w:sz w:val="22"/>
        </w:rPr>
        <w:t> </w:t>
      </w:r>
      <w:r>
        <w:rPr>
          <w:color w:val="44536A"/>
          <w:sz w:val="22"/>
        </w:rPr>
        <w:t>5.</w:t>
      </w:r>
      <w:r>
        <w:rPr>
          <w:color w:val="44536A"/>
          <w:spacing w:val="-7"/>
          <w:sz w:val="22"/>
        </w:rPr>
        <w:t> </w:t>
      </w:r>
      <w:r>
        <w:rPr>
          <w:color w:val="44536A"/>
          <w:sz w:val="22"/>
        </w:rPr>
        <w:t>Análisis</w:t>
      </w:r>
      <w:r>
        <w:rPr>
          <w:color w:val="44536A"/>
          <w:spacing w:val="-8"/>
          <w:sz w:val="22"/>
        </w:rPr>
        <w:t> </w:t>
      </w:r>
      <w:r>
        <w:rPr>
          <w:color w:val="44536A"/>
          <w:sz w:val="22"/>
        </w:rPr>
        <w:t>del</w:t>
      </w:r>
      <w:r>
        <w:rPr>
          <w:color w:val="44536A"/>
          <w:spacing w:val="-10"/>
          <w:sz w:val="22"/>
        </w:rPr>
        <w:t> </w:t>
      </w:r>
      <w:r>
        <w:rPr>
          <w:color w:val="44536A"/>
          <w:sz w:val="22"/>
        </w:rPr>
        <w:t>indicador</w:t>
      </w:r>
      <w:r>
        <w:rPr>
          <w:color w:val="44536A"/>
          <w:spacing w:val="-10"/>
          <w:sz w:val="22"/>
        </w:rPr>
        <w:t> </w:t>
      </w:r>
      <w:r>
        <w:rPr>
          <w:color w:val="44536A"/>
          <w:sz w:val="22"/>
        </w:rPr>
        <w:t>de</w:t>
      </w:r>
      <w:r>
        <w:rPr>
          <w:color w:val="44536A"/>
          <w:spacing w:val="-5"/>
          <w:sz w:val="22"/>
        </w:rPr>
        <w:t> </w:t>
      </w:r>
      <w:r>
        <w:rPr>
          <w:color w:val="44536A"/>
          <w:sz w:val="22"/>
        </w:rPr>
        <w:t>calidad</w:t>
      </w:r>
      <w:r>
        <w:rPr>
          <w:color w:val="44536A"/>
          <w:spacing w:val="-7"/>
          <w:sz w:val="22"/>
        </w:rPr>
        <w:t> </w:t>
      </w:r>
      <w:r>
        <w:rPr>
          <w:color w:val="44536A"/>
          <w:sz w:val="22"/>
        </w:rPr>
        <w:t>del</w:t>
      </w:r>
      <w:r>
        <w:rPr>
          <w:color w:val="44536A"/>
          <w:spacing w:val="-10"/>
          <w:sz w:val="22"/>
        </w:rPr>
        <w:t> </w:t>
      </w:r>
      <w:r>
        <w:rPr>
          <w:color w:val="44536A"/>
          <w:sz w:val="22"/>
        </w:rPr>
        <w:t>servicio</w:t>
      </w:r>
      <w:r>
        <w:rPr>
          <w:color w:val="44536A"/>
          <w:spacing w:val="-9"/>
          <w:sz w:val="22"/>
        </w:rPr>
        <w:t> </w:t>
      </w:r>
      <w:r>
        <w:rPr>
          <w:color w:val="44536A"/>
          <w:spacing w:val="-2"/>
          <w:sz w:val="22"/>
        </w:rPr>
        <w:t>01.02.03</w:t>
      </w:r>
    </w:p>
    <w:p>
      <w:pPr>
        <w:pStyle w:val="BodyText"/>
        <w:spacing w:before="10" w:after="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86"/>
        <w:gridCol w:w="825"/>
        <w:gridCol w:w="732"/>
        <w:gridCol w:w="830"/>
        <w:gridCol w:w="732"/>
        <w:gridCol w:w="732"/>
        <w:gridCol w:w="732"/>
        <w:gridCol w:w="732"/>
        <w:gridCol w:w="732"/>
        <w:gridCol w:w="733"/>
        <w:gridCol w:w="732"/>
      </w:tblGrid>
      <w:tr>
        <w:trPr>
          <w:trHeight w:val="299" w:hRule="atLeast"/>
        </w:trPr>
        <w:tc>
          <w:tcPr>
            <w:tcW w:w="986" w:type="dxa"/>
            <w:shd w:val="clear" w:color="auto" w:fill="44536A"/>
          </w:tcPr>
          <w:p>
            <w:pPr>
              <w:pStyle w:val="TableParagraph"/>
              <w:spacing w:before="61"/>
              <w:ind w:left="7"/>
              <w:jc w:val="center"/>
              <w:rPr>
                <w:sz w:val="16"/>
              </w:rPr>
            </w:pPr>
            <w:r>
              <w:rPr>
                <w:color w:val="FFFFFF"/>
                <w:spacing w:val="-5"/>
                <w:sz w:val="16"/>
              </w:rPr>
              <w:t>OP</w:t>
            </w:r>
          </w:p>
        </w:tc>
        <w:tc>
          <w:tcPr>
            <w:tcW w:w="7512" w:type="dxa"/>
            <w:gridSpan w:val="10"/>
          </w:tcPr>
          <w:p>
            <w:pPr>
              <w:pStyle w:val="TableParagraph"/>
              <w:spacing w:before="51"/>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736" w:hRule="atLeast"/>
        </w:trPr>
        <w:tc>
          <w:tcPr>
            <w:tcW w:w="986" w:type="dxa"/>
            <w:shd w:val="clear" w:color="auto" w:fill="44536A"/>
          </w:tcPr>
          <w:p>
            <w:pPr>
              <w:pStyle w:val="TableParagraph"/>
              <w:spacing w:before="63"/>
              <w:rPr>
                <w:sz w:val="18"/>
              </w:rPr>
            </w:pPr>
          </w:p>
          <w:p>
            <w:pPr>
              <w:pStyle w:val="TableParagraph"/>
              <w:ind w:left="182"/>
              <w:rPr>
                <w:sz w:val="18"/>
              </w:rPr>
            </w:pPr>
            <w:r>
              <w:rPr>
                <w:color w:val="FFFFFF"/>
                <w:spacing w:val="-2"/>
                <w:sz w:val="18"/>
              </w:rPr>
              <w:t>Servicio</w:t>
            </w:r>
          </w:p>
        </w:tc>
        <w:tc>
          <w:tcPr>
            <w:tcW w:w="7512" w:type="dxa"/>
            <w:gridSpan w:val="10"/>
          </w:tcPr>
          <w:p>
            <w:pPr>
              <w:pStyle w:val="TableParagraph"/>
              <w:spacing w:line="283" w:lineRule="auto" w:before="25"/>
              <w:ind w:left="69"/>
              <w:rPr>
                <w:sz w:val="18"/>
              </w:rPr>
            </w:pPr>
            <w:r>
              <w:rPr>
                <w:sz w:val="18"/>
              </w:rPr>
              <w:t>Provisión, a nivel nacional y con enfoque intercultural, de información que promueva el ejercicio del</w:t>
            </w:r>
            <w:r>
              <w:rPr>
                <w:spacing w:val="-1"/>
                <w:sz w:val="18"/>
              </w:rPr>
              <w:t> </w:t>
            </w:r>
            <w:r>
              <w:rPr>
                <w:sz w:val="18"/>
              </w:rPr>
              <w:t>derecho a la denuncia de la violencia contra las</w:t>
            </w:r>
            <w:r>
              <w:rPr>
                <w:spacing w:val="-1"/>
                <w:sz w:val="18"/>
              </w:rPr>
              <w:t> </w:t>
            </w:r>
            <w:r>
              <w:rPr>
                <w:sz w:val="18"/>
              </w:rPr>
              <w:t>mujeres, e informe sobre los</w:t>
            </w:r>
          </w:p>
          <w:p>
            <w:pPr>
              <w:pStyle w:val="TableParagraph"/>
              <w:spacing w:line="201" w:lineRule="exact" w:before="1"/>
              <w:ind w:left="69"/>
              <w:rPr>
                <w:sz w:val="18"/>
              </w:rPr>
            </w:pPr>
            <w:r>
              <w:rPr>
                <w:sz w:val="18"/>
              </w:rPr>
              <w:t>mecanismos</w:t>
            </w:r>
            <w:r>
              <w:rPr>
                <w:spacing w:val="2"/>
                <w:sz w:val="18"/>
              </w:rPr>
              <w:t> </w:t>
            </w:r>
            <w:r>
              <w:rPr>
                <w:sz w:val="18"/>
              </w:rPr>
              <w:t>de prevención,</w:t>
            </w:r>
            <w:r>
              <w:rPr>
                <w:spacing w:val="2"/>
                <w:sz w:val="18"/>
              </w:rPr>
              <w:t> </w:t>
            </w:r>
            <w:r>
              <w:rPr>
                <w:sz w:val="18"/>
              </w:rPr>
              <w:t>protección</w:t>
            </w:r>
            <w:r>
              <w:rPr>
                <w:spacing w:val="2"/>
                <w:sz w:val="18"/>
              </w:rPr>
              <w:t> </w:t>
            </w:r>
            <w:r>
              <w:rPr>
                <w:sz w:val="18"/>
              </w:rPr>
              <w:t>y</w:t>
            </w:r>
            <w:r>
              <w:rPr>
                <w:spacing w:val="1"/>
                <w:sz w:val="18"/>
              </w:rPr>
              <w:t> </w:t>
            </w:r>
            <w:r>
              <w:rPr>
                <w:sz w:val="18"/>
              </w:rPr>
              <w:t>sanción </w:t>
            </w:r>
            <w:r>
              <w:rPr>
                <w:spacing w:val="-2"/>
                <w:sz w:val="18"/>
              </w:rPr>
              <w:t>existentes.</w:t>
            </w:r>
          </w:p>
        </w:tc>
      </w:tr>
      <w:tr>
        <w:trPr>
          <w:trHeight w:val="489" w:hRule="atLeast"/>
        </w:trPr>
        <w:tc>
          <w:tcPr>
            <w:tcW w:w="986" w:type="dxa"/>
            <w:shd w:val="clear" w:color="auto" w:fill="44536A"/>
          </w:tcPr>
          <w:p>
            <w:pPr>
              <w:pStyle w:val="TableParagraph"/>
              <w:spacing w:before="145"/>
              <w:ind w:left="110"/>
              <w:rPr>
                <w:sz w:val="18"/>
              </w:rPr>
            </w:pPr>
            <w:r>
              <w:rPr>
                <w:color w:val="FFFFFF"/>
                <w:spacing w:val="-2"/>
                <w:w w:val="105"/>
                <w:sz w:val="18"/>
              </w:rPr>
              <w:t>Indicador</w:t>
            </w:r>
          </w:p>
        </w:tc>
        <w:tc>
          <w:tcPr>
            <w:tcW w:w="7512" w:type="dxa"/>
            <w:gridSpan w:val="10"/>
          </w:tcPr>
          <w:p>
            <w:pPr>
              <w:pStyle w:val="TableParagraph"/>
              <w:spacing w:before="23"/>
              <w:ind w:left="69"/>
              <w:rPr>
                <w:sz w:val="18"/>
              </w:rPr>
            </w:pPr>
            <w:r>
              <w:rPr>
                <w:sz w:val="18"/>
              </w:rPr>
              <w:t>Porcentaje</w:t>
            </w:r>
            <w:r>
              <w:rPr>
                <w:spacing w:val="-1"/>
                <w:sz w:val="18"/>
              </w:rPr>
              <w:t> </w:t>
            </w:r>
            <w:r>
              <w:rPr>
                <w:sz w:val="18"/>
              </w:rPr>
              <w:t>de</w:t>
            </w:r>
            <w:r>
              <w:rPr>
                <w:spacing w:val="-1"/>
                <w:sz w:val="18"/>
              </w:rPr>
              <w:t> </w:t>
            </w:r>
            <w:r>
              <w:rPr>
                <w:sz w:val="18"/>
              </w:rPr>
              <w:t>acciones</w:t>
            </w:r>
            <w:r>
              <w:rPr>
                <w:spacing w:val="-3"/>
                <w:sz w:val="18"/>
              </w:rPr>
              <w:t> </w:t>
            </w:r>
            <w:r>
              <w:rPr>
                <w:sz w:val="18"/>
              </w:rPr>
              <w:t>que</w:t>
            </w:r>
            <w:r>
              <w:rPr>
                <w:spacing w:val="-1"/>
                <w:sz w:val="18"/>
              </w:rPr>
              <w:t> </w:t>
            </w:r>
            <w:r>
              <w:rPr>
                <w:sz w:val="18"/>
              </w:rPr>
              <w:t>usan materiales</w:t>
            </w:r>
            <w:r>
              <w:rPr>
                <w:spacing w:val="-1"/>
                <w:sz w:val="18"/>
              </w:rPr>
              <w:t> </w:t>
            </w:r>
            <w:r>
              <w:rPr>
                <w:sz w:val="18"/>
              </w:rPr>
              <w:t>con</w:t>
            </w:r>
            <w:r>
              <w:rPr>
                <w:spacing w:val="-3"/>
                <w:sz w:val="18"/>
              </w:rPr>
              <w:t> </w:t>
            </w:r>
            <w:r>
              <w:rPr>
                <w:sz w:val="18"/>
              </w:rPr>
              <w:t>contenidos</w:t>
            </w:r>
            <w:r>
              <w:rPr>
                <w:spacing w:val="-1"/>
                <w:sz w:val="18"/>
              </w:rPr>
              <w:t> </w:t>
            </w:r>
            <w:r>
              <w:rPr>
                <w:sz w:val="18"/>
              </w:rPr>
              <w:t>validados</w:t>
            </w:r>
            <w:r>
              <w:rPr>
                <w:spacing w:val="1"/>
                <w:sz w:val="18"/>
              </w:rPr>
              <w:t> </w:t>
            </w:r>
            <w:r>
              <w:rPr>
                <w:sz w:val="18"/>
              </w:rPr>
              <w:t>por</w:t>
            </w:r>
            <w:r>
              <w:rPr>
                <w:spacing w:val="-1"/>
                <w:sz w:val="18"/>
              </w:rPr>
              <w:t> </w:t>
            </w:r>
            <w:r>
              <w:rPr>
                <w:sz w:val="18"/>
              </w:rPr>
              <w:t>el</w:t>
            </w:r>
            <w:r>
              <w:rPr>
                <w:spacing w:val="-3"/>
                <w:sz w:val="18"/>
              </w:rPr>
              <w:t> </w:t>
            </w:r>
            <w:r>
              <w:rPr>
                <w:spacing w:val="-2"/>
                <w:sz w:val="18"/>
              </w:rPr>
              <w:t>programa</w:t>
            </w:r>
          </w:p>
          <w:p>
            <w:pPr>
              <w:pStyle w:val="TableParagraph"/>
              <w:spacing w:line="201" w:lineRule="exact" w:before="37"/>
              <w:ind w:left="69"/>
              <w:rPr>
                <w:sz w:val="18"/>
              </w:rPr>
            </w:pPr>
            <w:r>
              <w:rPr>
                <w:sz w:val="18"/>
              </w:rPr>
              <w:t>Aurora,</w:t>
            </w:r>
            <w:r>
              <w:rPr>
                <w:spacing w:val="4"/>
                <w:sz w:val="18"/>
              </w:rPr>
              <w:t> </w:t>
            </w:r>
            <w:r>
              <w:rPr>
                <w:sz w:val="18"/>
              </w:rPr>
              <w:t>con</w:t>
            </w:r>
            <w:r>
              <w:rPr>
                <w:spacing w:val="5"/>
                <w:sz w:val="18"/>
              </w:rPr>
              <w:t> </w:t>
            </w:r>
            <w:r>
              <w:rPr>
                <w:sz w:val="18"/>
              </w:rPr>
              <w:t>un</w:t>
            </w:r>
            <w:r>
              <w:rPr>
                <w:spacing w:val="4"/>
                <w:sz w:val="18"/>
              </w:rPr>
              <w:t> </w:t>
            </w:r>
            <w:r>
              <w:rPr>
                <w:sz w:val="18"/>
              </w:rPr>
              <w:t>estándar</w:t>
            </w:r>
            <w:r>
              <w:rPr>
                <w:spacing w:val="1"/>
                <w:sz w:val="18"/>
              </w:rPr>
              <w:t> </w:t>
            </w:r>
            <w:r>
              <w:rPr>
                <w:sz w:val="18"/>
              </w:rPr>
              <w:t>de</w:t>
            </w:r>
            <w:r>
              <w:rPr>
                <w:spacing w:val="3"/>
                <w:sz w:val="18"/>
              </w:rPr>
              <w:t> </w:t>
            </w:r>
            <w:r>
              <w:rPr>
                <w:sz w:val="18"/>
              </w:rPr>
              <w:t>contenidos</w:t>
            </w:r>
            <w:r>
              <w:rPr>
                <w:spacing w:val="6"/>
                <w:sz w:val="18"/>
              </w:rPr>
              <w:t> </w:t>
            </w:r>
            <w:r>
              <w:rPr>
                <w:sz w:val="18"/>
              </w:rPr>
              <w:t>con</w:t>
            </w:r>
            <w:r>
              <w:rPr>
                <w:spacing w:val="4"/>
                <w:sz w:val="18"/>
              </w:rPr>
              <w:t> </w:t>
            </w:r>
            <w:r>
              <w:rPr>
                <w:sz w:val="18"/>
              </w:rPr>
              <w:t>enfoque</w:t>
            </w:r>
            <w:r>
              <w:rPr>
                <w:spacing w:val="2"/>
                <w:sz w:val="18"/>
              </w:rPr>
              <w:t> </w:t>
            </w:r>
            <w:r>
              <w:rPr>
                <w:sz w:val="18"/>
              </w:rPr>
              <w:t>de</w:t>
            </w:r>
            <w:r>
              <w:rPr>
                <w:spacing w:val="5"/>
                <w:sz w:val="18"/>
              </w:rPr>
              <w:t> </w:t>
            </w:r>
            <w:r>
              <w:rPr>
                <w:sz w:val="18"/>
              </w:rPr>
              <w:t>género</w:t>
            </w:r>
            <w:r>
              <w:rPr>
                <w:spacing w:val="5"/>
                <w:sz w:val="18"/>
              </w:rPr>
              <w:t> </w:t>
            </w:r>
            <w:r>
              <w:rPr>
                <w:sz w:val="18"/>
              </w:rPr>
              <w:t>e</w:t>
            </w:r>
            <w:r>
              <w:rPr>
                <w:spacing w:val="4"/>
                <w:sz w:val="18"/>
              </w:rPr>
              <w:t> </w:t>
            </w:r>
            <w:r>
              <w:rPr>
                <w:spacing w:val="-2"/>
                <w:sz w:val="18"/>
              </w:rPr>
              <w:t>interculturalidad.</w:t>
            </w:r>
          </w:p>
        </w:tc>
      </w:tr>
      <w:tr>
        <w:trPr>
          <w:trHeight w:val="302" w:hRule="atLeast"/>
        </w:trPr>
        <w:tc>
          <w:tcPr>
            <w:tcW w:w="986" w:type="dxa"/>
            <w:shd w:val="clear" w:color="auto" w:fill="808080"/>
          </w:tcPr>
          <w:p>
            <w:pPr>
              <w:pStyle w:val="TableParagraph"/>
              <w:spacing w:before="51"/>
              <w:ind w:left="333"/>
              <w:rPr>
                <w:sz w:val="18"/>
              </w:rPr>
            </w:pPr>
            <w:r>
              <w:rPr>
                <w:color w:val="FFFFFF"/>
                <w:spacing w:val="-5"/>
                <w:sz w:val="18"/>
              </w:rPr>
              <w:t>Año</w:t>
            </w:r>
          </w:p>
        </w:tc>
        <w:tc>
          <w:tcPr>
            <w:tcW w:w="825" w:type="dxa"/>
            <w:shd w:val="clear" w:color="auto" w:fill="808080"/>
          </w:tcPr>
          <w:p>
            <w:pPr>
              <w:pStyle w:val="TableParagraph"/>
              <w:spacing w:before="51"/>
              <w:ind w:left="79"/>
              <w:rPr>
                <w:sz w:val="18"/>
              </w:rPr>
            </w:pPr>
            <w:r>
              <w:rPr>
                <w:color w:val="FFFFFF"/>
                <w:sz w:val="18"/>
              </w:rPr>
              <w:t>Valor</w:t>
            </w:r>
            <w:r>
              <w:rPr>
                <w:color w:val="FFFFFF"/>
                <w:spacing w:val="-12"/>
                <w:sz w:val="18"/>
              </w:rPr>
              <w:t> </w:t>
            </w:r>
            <w:r>
              <w:rPr>
                <w:color w:val="FFFFFF"/>
                <w:spacing w:val="-5"/>
                <w:sz w:val="18"/>
              </w:rPr>
              <w:t>LB</w:t>
            </w:r>
          </w:p>
        </w:tc>
        <w:tc>
          <w:tcPr>
            <w:tcW w:w="732" w:type="dxa"/>
            <w:shd w:val="clear" w:color="auto" w:fill="808080"/>
          </w:tcPr>
          <w:p>
            <w:pPr>
              <w:pStyle w:val="TableParagraph"/>
              <w:spacing w:before="51"/>
              <w:ind w:left="16" w:right="3"/>
              <w:jc w:val="center"/>
              <w:rPr>
                <w:sz w:val="18"/>
              </w:rPr>
            </w:pPr>
            <w:r>
              <w:rPr>
                <w:color w:val="FFFFFF"/>
                <w:spacing w:val="-4"/>
                <w:sz w:val="18"/>
              </w:rPr>
              <w:t>2022</w:t>
            </w:r>
          </w:p>
        </w:tc>
        <w:tc>
          <w:tcPr>
            <w:tcW w:w="830" w:type="dxa"/>
            <w:shd w:val="clear" w:color="auto" w:fill="808080"/>
          </w:tcPr>
          <w:p>
            <w:pPr>
              <w:pStyle w:val="TableParagraph"/>
              <w:spacing w:before="51"/>
              <w:ind w:left="13"/>
              <w:jc w:val="center"/>
              <w:rPr>
                <w:sz w:val="18"/>
              </w:rPr>
            </w:pPr>
            <w:r>
              <w:rPr>
                <w:color w:val="FFFFFF"/>
                <w:spacing w:val="-4"/>
                <w:sz w:val="18"/>
              </w:rPr>
              <w:t>2023</w:t>
            </w:r>
          </w:p>
        </w:tc>
        <w:tc>
          <w:tcPr>
            <w:tcW w:w="732" w:type="dxa"/>
            <w:shd w:val="clear" w:color="auto" w:fill="808080"/>
          </w:tcPr>
          <w:p>
            <w:pPr>
              <w:pStyle w:val="TableParagraph"/>
              <w:spacing w:before="51"/>
              <w:ind w:left="16" w:right="1"/>
              <w:jc w:val="center"/>
              <w:rPr>
                <w:sz w:val="18"/>
              </w:rPr>
            </w:pPr>
            <w:r>
              <w:rPr>
                <w:color w:val="FFFFFF"/>
                <w:spacing w:val="-4"/>
                <w:sz w:val="18"/>
              </w:rPr>
              <w:t>2024</w:t>
            </w:r>
          </w:p>
        </w:tc>
        <w:tc>
          <w:tcPr>
            <w:tcW w:w="732" w:type="dxa"/>
            <w:shd w:val="clear" w:color="auto" w:fill="808080"/>
          </w:tcPr>
          <w:p>
            <w:pPr>
              <w:pStyle w:val="TableParagraph"/>
              <w:spacing w:before="51"/>
              <w:ind w:left="16" w:right="1"/>
              <w:jc w:val="center"/>
              <w:rPr>
                <w:sz w:val="18"/>
              </w:rPr>
            </w:pPr>
            <w:r>
              <w:rPr>
                <w:color w:val="FFFFFF"/>
                <w:spacing w:val="-4"/>
                <w:sz w:val="18"/>
              </w:rPr>
              <w:t>2025</w:t>
            </w:r>
          </w:p>
        </w:tc>
        <w:tc>
          <w:tcPr>
            <w:tcW w:w="732" w:type="dxa"/>
            <w:shd w:val="clear" w:color="auto" w:fill="808080"/>
          </w:tcPr>
          <w:p>
            <w:pPr>
              <w:pStyle w:val="TableParagraph"/>
              <w:spacing w:before="51"/>
              <w:ind w:left="16"/>
              <w:jc w:val="center"/>
              <w:rPr>
                <w:sz w:val="18"/>
              </w:rPr>
            </w:pPr>
            <w:r>
              <w:rPr>
                <w:color w:val="FFFFFF"/>
                <w:spacing w:val="-4"/>
                <w:sz w:val="18"/>
              </w:rPr>
              <w:t>2026</w:t>
            </w:r>
          </w:p>
        </w:tc>
        <w:tc>
          <w:tcPr>
            <w:tcW w:w="732" w:type="dxa"/>
            <w:shd w:val="clear" w:color="auto" w:fill="808080"/>
          </w:tcPr>
          <w:p>
            <w:pPr>
              <w:pStyle w:val="TableParagraph"/>
              <w:spacing w:before="51"/>
              <w:ind w:left="16"/>
              <w:jc w:val="center"/>
              <w:rPr>
                <w:sz w:val="18"/>
              </w:rPr>
            </w:pPr>
            <w:r>
              <w:rPr>
                <w:color w:val="FFFFFF"/>
                <w:spacing w:val="-4"/>
                <w:sz w:val="18"/>
              </w:rPr>
              <w:t>2027</w:t>
            </w:r>
          </w:p>
        </w:tc>
        <w:tc>
          <w:tcPr>
            <w:tcW w:w="732" w:type="dxa"/>
            <w:shd w:val="clear" w:color="auto" w:fill="808080"/>
          </w:tcPr>
          <w:p>
            <w:pPr>
              <w:pStyle w:val="TableParagraph"/>
              <w:spacing w:before="51"/>
              <w:ind w:left="16"/>
              <w:jc w:val="center"/>
              <w:rPr>
                <w:sz w:val="18"/>
              </w:rPr>
            </w:pPr>
            <w:r>
              <w:rPr>
                <w:color w:val="FFFFFF"/>
                <w:spacing w:val="-4"/>
                <w:sz w:val="18"/>
              </w:rPr>
              <w:t>2028</w:t>
            </w:r>
          </w:p>
        </w:tc>
        <w:tc>
          <w:tcPr>
            <w:tcW w:w="733" w:type="dxa"/>
            <w:shd w:val="clear" w:color="auto" w:fill="808080"/>
          </w:tcPr>
          <w:p>
            <w:pPr>
              <w:pStyle w:val="TableParagraph"/>
              <w:spacing w:before="51"/>
              <w:ind w:left="15"/>
              <w:jc w:val="center"/>
              <w:rPr>
                <w:sz w:val="18"/>
              </w:rPr>
            </w:pPr>
            <w:r>
              <w:rPr>
                <w:color w:val="FFFFFF"/>
                <w:spacing w:val="-4"/>
                <w:sz w:val="18"/>
              </w:rPr>
              <w:t>2029</w:t>
            </w:r>
          </w:p>
        </w:tc>
        <w:tc>
          <w:tcPr>
            <w:tcW w:w="732" w:type="dxa"/>
            <w:shd w:val="clear" w:color="auto" w:fill="808080"/>
          </w:tcPr>
          <w:p>
            <w:pPr>
              <w:pStyle w:val="TableParagraph"/>
              <w:spacing w:before="51"/>
              <w:ind w:left="16" w:right="1"/>
              <w:jc w:val="center"/>
              <w:rPr>
                <w:sz w:val="18"/>
              </w:rPr>
            </w:pPr>
            <w:r>
              <w:rPr>
                <w:color w:val="FFFFFF"/>
                <w:spacing w:val="-4"/>
                <w:sz w:val="18"/>
              </w:rPr>
              <w:t>2030</w:t>
            </w:r>
          </w:p>
        </w:tc>
      </w:tr>
      <w:tr>
        <w:trPr>
          <w:trHeight w:val="433" w:hRule="atLeast"/>
        </w:trPr>
        <w:tc>
          <w:tcPr>
            <w:tcW w:w="986" w:type="dxa"/>
            <w:shd w:val="clear" w:color="auto" w:fill="44536A"/>
          </w:tcPr>
          <w:p>
            <w:pPr>
              <w:pStyle w:val="TableParagraph"/>
              <w:spacing w:before="116"/>
              <w:ind w:left="69"/>
              <w:rPr>
                <w:sz w:val="18"/>
              </w:rPr>
            </w:pPr>
            <w:r>
              <w:rPr>
                <w:color w:val="FFFFFF"/>
                <w:spacing w:val="-2"/>
                <w:sz w:val="18"/>
              </w:rPr>
              <w:t>Metas</w:t>
            </w:r>
          </w:p>
        </w:tc>
        <w:tc>
          <w:tcPr>
            <w:tcW w:w="825" w:type="dxa"/>
          </w:tcPr>
          <w:p>
            <w:pPr>
              <w:pStyle w:val="TableParagraph"/>
              <w:spacing w:before="20"/>
              <w:ind w:left="13" w:right="5"/>
              <w:jc w:val="center"/>
              <w:rPr>
                <w:sz w:val="16"/>
              </w:rPr>
            </w:pPr>
            <w:r>
              <w:rPr>
                <w:spacing w:val="-5"/>
                <w:sz w:val="16"/>
              </w:rPr>
              <w:t>No</w:t>
            </w:r>
          </w:p>
          <w:p>
            <w:pPr>
              <w:pStyle w:val="TableParagraph"/>
              <w:spacing w:line="178" w:lineRule="exact" w:before="32"/>
              <w:ind w:left="13"/>
              <w:jc w:val="center"/>
              <w:rPr>
                <w:sz w:val="16"/>
              </w:rPr>
            </w:pPr>
            <w:r>
              <w:rPr>
                <w:spacing w:val="-2"/>
                <w:w w:val="105"/>
                <w:sz w:val="16"/>
              </w:rPr>
              <w:t>definido</w:t>
            </w:r>
          </w:p>
        </w:tc>
        <w:tc>
          <w:tcPr>
            <w:tcW w:w="732" w:type="dxa"/>
          </w:tcPr>
          <w:p>
            <w:pPr>
              <w:pStyle w:val="TableParagraph"/>
              <w:spacing w:before="128"/>
              <w:ind w:left="16" w:right="7"/>
              <w:jc w:val="center"/>
              <w:rPr>
                <w:sz w:val="16"/>
              </w:rPr>
            </w:pPr>
            <w:r>
              <w:rPr>
                <w:spacing w:val="-2"/>
                <w:sz w:val="16"/>
              </w:rPr>
              <w:t>5.00%</w:t>
            </w:r>
          </w:p>
        </w:tc>
        <w:tc>
          <w:tcPr>
            <w:tcW w:w="830" w:type="dxa"/>
          </w:tcPr>
          <w:p>
            <w:pPr>
              <w:pStyle w:val="TableParagraph"/>
              <w:spacing w:before="128"/>
              <w:ind w:left="13"/>
              <w:jc w:val="center"/>
              <w:rPr>
                <w:sz w:val="16"/>
              </w:rPr>
            </w:pPr>
            <w:r>
              <w:rPr>
                <w:spacing w:val="-2"/>
                <w:sz w:val="16"/>
              </w:rPr>
              <w:t>8.00%</w:t>
            </w:r>
          </w:p>
        </w:tc>
        <w:tc>
          <w:tcPr>
            <w:tcW w:w="732" w:type="dxa"/>
          </w:tcPr>
          <w:p>
            <w:pPr>
              <w:pStyle w:val="TableParagraph"/>
              <w:spacing w:before="128"/>
              <w:ind w:left="16" w:right="5"/>
              <w:jc w:val="center"/>
              <w:rPr>
                <w:sz w:val="16"/>
              </w:rPr>
            </w:pPr>
            <w:r>
              <w:rPr>
                <w:spacing w:val="-2"/>
                <w:sz w:val="16"/>
              </w:rPr>
              <w:t>12.00%</w:t>
            </w:r>
          </w:p>
        </w:tc>
        <w:tc>
          <w:tcPr>
            <w:tcW w:w="732" w:type="dxa"/>
          </w:tcPr>
          <w:p>
            <w:pPr>
              <w:pStyle w:val="TableParagraph"/>
              <w:spacing w:before="128"/>
              <w:ind w:left="16" w:right="5"/>
              <w:jc w:val="center"/>
              <w:rPr>
                <w:sz w:val="16"/>
              </w:rPr>
            </w:pPr>
            <w:r>
              <w:rPr>
                <w:spacing w:val="-2"/>
                <w:sz w:val="16"/>
              </w:rPr>
              <w:t>17.00%</w:t>
            </w:r>
          </w:p>
        </w:tc>
        <w:tc>
          <w:tcPr>
            <w:tcW w:w="732" w:type="dxa"/>
          </w:tcPr>
          <w:p>
            <w:pPr>
              <w:pStyle w:val="TableParagraph"/>
              <w:spacing w:before="128"/>
              <w:ind w:left="16" w:right="5"/>
              <w:jc w:val="center"/>
              <w:rPr>
                <w:sz w:val="16"/>
              </w:rPr>
            </w:pPr>
            <w:r>
              <w:rPr>
                <w:spacing w:val="-2"/>
                <w:sz w:val="16"/>
              </w:rPr>
              <w:t>23.00%</w:t>
            </w:r>
          </w:p>
        </w:tc>
        <w:tc>
          <w:tcPr>
            <w:tcW w:w="732" w:type="dxa"/>
          </w:tcPr>
          <w:p>
            <w:pPr>
              <w:pStyle w:val="TableParagraph"/>
              <w:spacing w:before="128"/>
              <w:ind w:left="16" w:right="5"/>
              <w:jc w:val="center"/>
              <w:rPr>
                <w:sz w:val="16"/>
              </w:rPr>
            </w:pPr>
            <w:r>
              <w:rPr>
                <w:spacing w:val="-2"/>
                <w:sz w:val="16"/>
              </w:rPr>
              <w:t>30.00%</w:t>
            </w:r>
          </w:p>
        </w:tc>
        <w:tc>
          <w:tcPr>
            <w:tcW w:w="732" w:type="dxa"/>
          </w:tcPr>
          <w:p>
            <w:pPr>
              <w:pStyle w:val="TableParagraph"/>
              <w:spacing w:before="128"/>
              <w:ind w:left="16" w:right="5"/>
              <w:jc w:val="center"/>
              <w:rPr>
                <w:sz w:val="16"/>
              </w:rPr>
            </w:pPr>
            <w:r>
              <w:rPr>
                <w:spacing w:val="-2"/>
                <w:sz w:val="16"/>
              </w:rPr>
              <w:t>38.00%</w:t>
            </w:r>
          </w:p>
        </w:tc>
        <w:tc>
          <w:tcPr>
            <w:tcW w:w="733" w:type="dxa"/>
          </w:tcPr>
          <w:p>
            <w:pPr>
              <w:pStyle w:val="TableParagraph"/>
              <w:spacing w:before="128"/>
              <w:ind w:left="15" w:right="5"/>
              <w:jc w:val="center"/>
              <w:rPr>
                <w:sz w:val="16"/>
              </w:rPr>
            </w:pPr>
            <w:r>
              <w:rPr>
                <w:spacing w:val="-2"/>
                <w:sz w:val="16"/>
              </w:rPr>
              <w:t>47.00%</w:t>
            </w:r>
          </w:p>
        </w:tc>
        <w:tc>
          <w:tcPr>
            <w:tcW w:w="732" w:type="dxa"/>
          </w:tcPr>
          <w:p>
            <w:pPr>
              <w:pStyle w:val="TableParagraph"/>
              <w:spacing w:before="128"/>
              <w:ind w:left="16" w:right="5"/>
              <w:jc w:val="center"/>
              <w:rPr>
                <w:sz w:val="16"/>
              </w:rPr>
            </w:pPr>
            <w:r>
              <w:rPr>
                <w:spacing w:val="-2"/>
                <w:sz w:val="16"/>
              </w:rPr>
              <w:t>57.00%</w:t>
            </w:r>
          </w:p>
        </w:tc>
      </w:tr>
      <w:tr>
        <w:trPr>
          <w:trHeight w:val="570" w:hRule="atLeast"/>
        </w:trPr>
        <w:tc>
          <w:tcPr>
            <w:tcW w:w="986"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825" w:type="dxa"/>
            <w:shd w:val="clear" w:color="auto" w:fill="C8C8C8"/>
          </w:tcPr>
          <w:p>
            <w:pPr>
              <w:pStyle w:val="TableParagraph"/>
              <w:rPr>
                <w:rFonts w:ascii="Times New Roman"/>
                <w:sz w:val="20"/>
              </w:rPr>
            </w:pPr>
          </w:p>
        </w:tc>
        <w:tc>
          <w:tcPr>
            <w:tcW w:w="732" w:type="dxa"/>
          </w:tcPr>
          <w:p>
            <w:pPr>
              <w:pStyle w:val="TableParagraph"/>
              <w:spacing w:before="13"/>
              <w:rPr>
                <w:sz w:val="16"/>
              </w:rPr>
            </w:pPr>
          </w:p>
          <w:p>
            <w:pPr>
              <w:pStyle w:val="TableParagraph"/>
              <w:ind w:left="16" w:right="7"/>
              <w:jc w:val="center"/>
              <w:rPr>
                <w:sz w:val="16"/>
              </w:rPr>
            </w:pPr>
            <w:r>
              <w:rPr>
                <w:spacing w:val="-2"/>
                <w:sz w:val="16"/>
              </w:rPr>
              <w:t>32.41%</w:t>
            </w:r>
          </w:p>
        </w:tc>
        <w:tc>
          <w:tcPr>
            <w:tcW w:w="830" w:type="dxa"/>
          </w:tcPr>
          <w:p>
            <w:pPr>
              <w:pStyle w:val="TableParagraph"/>
              <w:spacing w:before="13"/>
              <w:rPr>
                <w:sz w:val="16"/>
              </w:rPr>
            </w:pPr>
          </w:p>
          <w:p>
            <w:pPr>
              <w:pStyle w:val="TableParagraph"/>
              <w:ind w:left="13"/>
              <w:jc w:val="center"/>
              <w:rPr>
                <w:sz w:val="16"/>
              </w:rPr>
            </w:pPr>
            <w:r>
              <w:rPr>
                <w:spacing w:val="-2"/>
                <w:sz w:val="16"/>
              </w:rPr>
              <w:t>92.92%</w:t>
            </w: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3"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r>
      <w:tr>
        <w:trPr>
          <w:trHeight w:val="570" w:hRule="atLeast"/>
        </w:trPr>
        <w:tc>
          <w:tcPr>
            <w:tcW w:w="986" w:type="dxa"/>
            <w:shd w:val="clear" w:color="auto" w:fill="44536A"/>
          </w:tcPr>
          <w:p>
            <w:pPr>
              <w:pStyle w:val="TableParagraph"/>
              <w:spacing w:line="240" w:lineRule="atLeast" w:before="30"/>
              <w:ind w:left="69" w:right="249"/>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825" w:type="dxa"/>
            <w:shd w:val="clear" w:color="auto" w:fill="C8C8C8"/>
          </w:tcPr>
          <w:p>
            <w:pPr>
              <w:pStyle w:val="TableParagraph"/>
              <w:rPr>
                <w:rFonts w:ascii="Times New Roman"/>
                <w:sz w:val="20"/>
              </w:rPr>
            </w:pPr>
          </w:p>
        </w:tc>
        <w:tc>
          <w:tcPr>
            <w:tcW w:w="732" w:type="dxa"/>
          </w:tcPr>
          <w:p>
            <w:pPr>
              <w:pStyle w:val="TableParagraph"/>
              <w:spacing w:before="11"/>
              <w:rPr>
                <w:sz w:val="16"/>
              </w:rPr>
            </w:pPr>
          </w:p>
          <w:p>
            <w:pPr>
              <w:pStyle w:val="TableParagraph"/>
              <w:ind w:left="16" w:right="7"/>
              <w:jc w:val="center"/>
              <w:rPr>
                <w:sz w:val="16"/>
              </w:rPr>
            </w:pPr>
            <w:r>
              <w:rPr>
                <w:spacing w:val="-2"/>
                <w:sz w:val="16"/>
              </w:rPr>
              <w:t>648.2%</w:t>
            </w:r>
          </w:p>
        </w:tc>
        <w:tc>
          <w:tcPr>
            <w:tcW w:w="830" w:type="dxa"/>
          </w:tcPr>
          <w:p>
            <w:pPr>
              <w:pStyle w:val="TableParagraph"/>
              <w:spacing w:before="11"/>
              <w:rPr>
                <w:sz w:val="16"/>
              </w:rPr>
            </w:pPr>
          </w:p>
          <w:p>
            <w:pPr>
              <w:pStyle w:val="TableParagraph"/>
              <w:ind w:left="13"/>
              <w:jc w:val="center"/>
              <w:rPr>
                <w:sz w:val="16"/>
              </w:rPr>
            </w:pPr>
            <w:r>
              <w:rPr>
                <w:spacing w:val="-2"/>
                <w:sz w:val="16"/>
              </w:rPr>
              <w:t>1161.5%</w:t>
            </w: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c>
          <w:tcPr>
            <w:tcW w:w="733" w:type="dxa"/>
            <w:shd w:val="clear" w:color="auto" w:fill="C8C8C8"/>
          </w:tcPr>
          <w:p>
            <w:pPr>
              <w:pStyle w:val="TableParagraph"/>
              <w:rPr>
                <w:rFonts w:ascii="Times New Roman"/>
                <w:sz w:val="20"/>
              </w:rPr>
            </w:pPr>
          </w:p>
        </w:tc>
        <w:tc>
          <w:tcPr>
            <w:tcW w:w="732" w:type="dxa"/>
            <w:shd w:val="clear" w:color="auto" w:fill="C8C8C8"/>
          </w:tcPr>
          <w:p>
            <w:pPr>
              <w:pStyle w:val="TableParagraph"/>
              <w:rPr>
                <w:rFonts w:ascii="Times New Roman"/>
                <w:sz w:val="20"/>
              </w:rPr>
            </w:pPr>
          </w:p>
        </w:tc>
      </w:tr>
    </w:tbl>
    <w:p>
      <w:pPr>
        <w:pStyle w:val="BodyText"/>
        <w:spacing w:before="37"/>
        <w:rPr>
          <w:sz w:val="22"/>
        </w:rPr>
      </w:pPr>
    </w:p>
    <w:p>
      <w:pPr>
        <w:spacing w:line="307" w:lineRule="auto" w:before="1"/>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8"/>
        <w:rPr>
          <w:sz w:val="18"/>
        </w:rPr>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7" w:lineRule="auto" w:before="232"/>
        <w:ind w:left="143" w:right="705"/>
        <w:jc w:val="both"/>
      </w:pPr>
      <w:r>
        <w:rPr/>
        <w:t>El indicador de calidad identifica que el 92.9% de las acciones informativas desarrolladas por el Programa AURORA con población de zonas urbanas y rurales, usaron materiales con contenidos validados y con enfoque</w:t>
      </w:r>
      <w:r>
        <w:rPr>
          <w:spacing w:val="-2"/>
        </w:rPr>
        <w:t> </w:t>
      </w:r>
      <w:r>
        <w:rPr/>
        <w:t>de género</w:t>
      </w:r>
      <w:r>
        <w:rPr>
          <w:spacing w:val="-1"/>
        </w:rPr>
        <w:t> </w:t>
      </w:r>
      <w:r>
        <w:rPr/>
        <w:t>e interculturalidad, por lo que ha superado la meta programada para el 2030 (57.0%).</w:t>
      </w:r>
      <w:r>
        <w:rPr>
          <w:spacing w:val="-7"/>
        </w:rPr>
        <w:t> </w:t>
      </w:r>
      <w:r>
        <w:rPr/>
        <w:t>Cabe</w:t>
      </w:r>
      <w:r>
        <w:rPr>
          <w:spacing w:val="-9"/>
        </w:rPr>
        <w:t> </w:t>
      </w:r>
      <w:r>
        <w:rPr/>
        <w:t>precisar</w:t>
      </w:r>
      <w:r>
        <w:rPr>
          <w:spacing w:val="-9"/>
        </w:rPr>
        <w:t> </w:t>
      </w:r>
      <w:r>
        <w:rPr/>
        <w:t>que</w:t>
      </w:r>
      <w:r>
        <w:rPr>
          <w:spacing w:val="-9"/>
        </w:rPr>
        <w:t> </w:t>
      </w:r>
      <w:r>
        <w:rPr/>
        <w:t>el</w:t>
      </w:r>
      <w:r>
        <w:rPr>
          <w:spacing w:val="-9"/>
        </w:rPr>
        <w:t> </w:t>
      </w:r>
      <w:r>
        <w:rPr/>
        <w:t>Programa</w:t>
      </w:r>
      <w:r>
        <w:rPr>
          <w:spacing w:val="-8"/>
        </w:rPr>
        <w:t> </w:t>
      </w:r>
      <w:r>
        <w:rPr/>
        <w:t>AURORA</w:t>
      </w:r>
      <w:r>
        <w:rPr>
          <w:spacing w:val="-7"/>
        </w:rPr>
        <w:t> </w:t>
      </w:r>
      <w:r>
        <w:rPr/>
        <w:t>no</w:t>
      </w:r>
      <w:r>
        <w:rPr>
          <w:spacing w:val="-7"/>
        </w:rPr>
        <w:t> </w:t>
      </w:r>
      <w:r>
        <w:rPr/>
        <w:t>ha</w:t>
      </w:r>
      <w:r>
        <w:rPr>
          <w:spacing w:val="-7"/>
        </w:rPr>
        <w:t> </w:t>
      </w:r>
      <w:r>
        <w:rPr/>
        <w:t>remitido</w:t>
      </w:r>
      <w:r>
        <w:rPr>
          <w:spacing w:val="-9"/>
        </w:rPr>
        <w:t> </w:t>
      </w:r>
      <w:r>
        <w:rPr/>
        <w:t>base</w:t>
      </w:r>
      <w:r>
        <w:rPr>
          <w:spacing w:val="-7"/>
        </w:rPr>
        <w:t> </w:t>
      </w:r>
      <w:r>
        <w:rPr/>
        <w:t>de</w:t>
      </w:r>
      <w:r>
        <w:rPr>
          <w:spacing w:val="-9"/>
        </w:rPr>
        <w:t> </w:t>
      </w:r>
      <w:r>
        <w:rPr/>
        <w:t>datos que permita la validación de su reporte.</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4"/>
        <w:jc w:val="both"/>
      </w:pPr>
      <w:r>
        <w:rPr/>
        <w:t>Respecto a ello, se reportó que la mejora en la programación y planificación, recursos humanos adecuados y trabajo en equipo contribuyó a la eficacia del servicio.</w:t>
      </w:r>
      <w:r>
        <w:rPr>
          <w:spacing w:val="-17"/>
        </w:rPr>
        <w:t> </w:t>
      </w:r>
      <w:r>
        <w:rPr/>
        <w:t>En</w:t>
      </w:r>
      <w:r>
        <w:rPr>
          <w:spacing w:val="-17"/>
        </w:rPr>
        <w:t> </w:t>
      </w:r>
      <w:r>
        <w:rPr/>
        <w:t>ese</w:t>
      </w:r>
      <w:r>
        <w:rPr>
          <w:spacing w:val="-16"/>
        </w:rPr>
        <w:t> </w:t>
      </w:r>
      <w:r>
        <w:rPr/>
        <w:t>sentido,</w:t>
      </w:r>
      <w:r>
        <w:rPr>
          <w:spacing w:val="-17"/>
        </w:rPr>
        <w:t> </w:t>
      </w:r>
      <w:r>
        <w:rPr/>
        <w:t>es</w:t>
      </w:r>
      <w:r>
        <w:rPr>
          <w:spacing w:val="-17"/>
        </w:rPr>
        <w:t> </w:t>
      </w:r>
      <w:r>
        <w:rPr/>
        <w:t>posible</w:t>
      </w:r>
      <w:r>
        <w:rPr>
          <w:spacing w:val="-17"/>
        </w:rPr>
        <w:t> </w:t>
      </w:r>
      <w:r>
        <w:rPr/>
        <w:t>que</w:t>
      </w:r>
      <w:r>
        <w:rPr>
          <w:spacing w:val="-16"/>
        </w:rPr>
        <w:t> </w:t>
      </w:r>
      <w:r>
        <w:rPr/>
        <w:t>las</w:t>
      </w:r>
      <w:r>
        <w:rPr>
          <w:spacing w:val="-17"/>
        </w:rPr>
        <w:t> </w:t>
      </w:r>
      <w:r>
        <w:rPr/>
        <w:t>condiciones</w:t>
      </w:r>
      <w:r>
        <w:rPr>
          <w:spacing w:val="-17"/>
        </w:rPr>
        <w:t> </w:t>
      </w:r>
      <w:r>
        <w:rPr/>
        <w:t>del</w:t>
      </w:r>
      <w:r>
        <w:rPr>
          <w:spacing w:val="-16"/>
        </w:rPr>
        <w:t> </w:t>
      </w:r>
      <w:r>
        <w:rPr/>
        <w:t>servicio</w:t>
      </w:r>
      <w:r>
        <w:rPr>
          <w:spacing w:val="-17"/>
        </w:rPr>
        <w:t> </w:t>
      </w:r>
      <w:r>
        <w:rPr/>
        <w:t>sean</w:t>
      </w:r>
      <w:r>
        <w:rPr>
          <w:spacing w:val="-17"/>
        </w:rPr>
        <w:t> </w:t>
      </w:r>
      <w:r>
        <w:rPr/>
        <w:t>mejores a</w:t>
      </w:r>
      <w:r>
        <w:rPr>
          <w:spacing w:val="-8"/>
        </w:rPr>
        <w:t> </w:t>
      </w:r>
      <w:r>
        <w:rPr/>
        <w:t>las</w:t>
      </w:r>
      <w:r>
        <w:rPr>
          <w:spacing w:val="-8"/>
        </w:rPr>
        <w:t> </w:t>
      </w:r>
      <w:r>
        <w:rPr/>
        <w:t>consideradas</w:t>
      </w:r>
      <w:r>
        <w:rPr>
          <w:spacing w:val="-8"/>
        </w:rPr>
        <w:t> </w:t>
      </w:r>
      <w:r>
        <w:rPr/>
        <w:t>al</w:t>
      </w:r>
      <w:r>
        <w:rPr>
          <w:spacing w:val="-10"/>
        </w:rPr>
        <w:t> </w:t>
      </w:r>
      <w:r>
        <w:rPr/>
        <w:t>momento</w:t>
      </w:r>
      <w:r>
        <w:rPr>
          <w:spacing w:val="-8"/>
        </w:rPr>
        <w:t> </w:t>
      </w:r>
      <w:r>
        <w:rPr/>
        <w:t>de</w:t>
      </w:r>
      <w:r>
        <w:rPr>
          <w:spacing w:val="-8"/>
        </w:rPr>
        <w:t> </w:t>
      </w:r>
      <w:r>
        <w:rPr/>
        <w:t>la</w:t>
      </w:r>
      <w:r>
        <w:rPr>
          <w:spacing w:val="-11"/>
        </w:rPr>
        <w:t> </w:t>
      </w:r>
      <w:r>
        <w:rPr/>
        <w:t>proyección</w:t>
      </w:r>
      <w:r>
        <w:rPr>
          <w:spacing w:val="-11"/>
        </w:rPr>
        <w:t> </w:t>
      </w:r>
      <w:r>
        <w:rPr/>
        <w:t>de</w:t>
      </w:r>
      <w:r>
        <w:rPr>
          <w:spacing w:val="-8"/>
        </w:rPr>
        <w:t> </w:t>
      </w:r>
      <w:r>
        <w:rPr/>
        <w:t>metas</w:t>
      </w:r>
      <w:r>
        <w:rPr>
          <w:spacing w:val="-8"/>
        </w:rPr>
        <w:t> </w:t>
      </w:r>
      <w:r>
        <w:rPr/>
        <w:t>y</w:t>
      </w:r>
      <w:r>
        <w:rPr>
          <w:spacing w:val="-8"/>
        </w:rPr>
        <w:t> </w:t>
      </w:r>
      <w:r>
        <w:rPr/>
        <w:t>se</w:t>
      </w:r>
      <w:r>
        <w:rPr>
          <w:spacing w:val="-8"/>
        </w:rPr>
        <w:t> </w:t>
      </w:r>
      <w:r>
        <w:rPr/>
        <w:t>subestimaran</w:t>
      </w:r>
      <w:r>
        <w:rPr>
          <w:spacing w:val="-8"/>
        </w:rPr>
        <w:t> </w:t>
      </w:r>
      <w:r>
        <w:rPr/>
        <w:t>los resultados de la implementación del servicio.</w:t>
      </w:r>
    </w:p>
    <w:p>
      <w:pPr>
        <w:pStyle w:val="BodyText"/>
        <w:spacing w:line="307" w:lineRule="auto" w:before="156"/>
        <w:ind w:left="143" w:right="707"/>
        <w:jc w:val="both"/>
      </w:pPr>
      <w:r>
        <w:rPr/>
        <w:t>No obstante, es importante tener en cuenta que, según lo reportado por el servicio, el proceso para definir si una acción utiliza contenidos validados no se encuentra estandarizado por lo que no es posible verificar las características que deben cumplir los instrumentos informativos. En esa línea, tampoco se puede identificar las características de las que carecen los instrumentos informativos con contenidos no validados. Esto dificulta la interpretación de los resultados de los indicadores antes descritos, corriendo el riesgo de sobrestimar los resultados.</w:t>
      </w:r>
    </w:p>
    <w:p>
      <w:pPr>
        <w:pStyle w:val="BodyText"/>
        <w:spacing w:line="307" w:lineRule="auto" w:before="156"/>
        <w:ind w:left="143" w:right="712"/>
        <w:jc w:val="both"/>
      </w:pPr>
      <w:r>
        <w:rPr/>
        <w:t>Adicionalmente, no queda clara la periodicidad con la que se renuevan los contenidos a ser distribuidos. En caso de que la renovación ocurra en un periodo mayor a dos años, existe el riesgo de mantener una falla de planeamiento por varios periodos.</w:t>
      </w:r>
    </w:p>
    <w:p>
      <w:pPr>
        <w:pStyle w:val="BodyText"/>
        <w:spacing w:line="307" w:lineRule="auto" w:before="159"/>
        <w:ind w:left="143" w:right="703"/>
        <w:jc w:val="both"/>
      </w:pPr>
      <w:r>
        <w:rPr/>
        <w:t>Por otro lado, que existen indicios de desconocimiento de la situación previo al establecimiento de metas debido a que el indicador de calidad no cuenta con línea base.</w:t>
      </w:r>
    </w:p>
    <w:p>
      <w:pPr>
        <w:pStyle w:val="BodyText"/>
        <w:spacing w:line="307" w:lineRule="auto" w:before="157"/>
        <w:ind w:left="143" w:right="704"/>
        <w:jc w:val="both"/>
      </w:pPr>
      <w:r>
        <w:rPr/>
        <w:t>En ese sentido, adicional a que el indicador es afectado por el contexto señalado, existe una necesidad urgente de mejorar la descripción de las especificaciones técnicas del indicador, en el sentido de establecer criterios claros que permitan verificar el estándar de contenidos con enfoque de género e interculturalidad en los materiales utilizados.</w:t>
      </w:r>
    </w:p>
    <w:p>
      <w:pPr>
        <w:pStyle w:val="ListParagraph"/>
        <w:numPr>
          <w:ilvl w:val="2"/>
          <w:numId w:val="3"/>
        </w:numPr>
        <w:tabs>
          <w:tab w:pos="1222" w:val="left" w:leader="none"/>
        </w:tabs>
        <w:spacing w:line="307" w:lineRule="auto" w:before="159" w:after="0"/>
        <w:ind w:left="1222" w:right="711" w:hanging="720"/>
        <w:jc w:val="both"/>
        <w:rPr>
          <w:sz w:val="24"/>
        </w:rPr>
      </w:pPr>
      <w:r>
        <w:rPr>
          <w:color w:val="2E5395"/>
          <w:sz w:val="24"/>
        </w:rPr>
        <w:t>Servicio 03.01.02 Formación y asistencia técnica a organizaciones sociales y políticas para el fortalecimiento de la participación política de las mujeres, sin discriminación y sin acoso político.</w:t>
      </w:r>
    </w:p>
    <w:p>
      <w:pPr>
        <w:pStyle w:val="BodyText"/>
        <w:spacing w:before="173"/>
      </w:pPr>
    </w:p>
    <w:p>
      <w:pPr>
        <w:pStyle w:val="ListParagraph"/>
        <w:numPr>
          <w:ilvl w:val="3"/>
          <w:numId w:val="3"/>
        </w:numPr>
        <w:tabs>
          <w:tab w:pos="862" w:val="left" w:leader="none"/>
        </w:tabs>
        <w:spacing w:line="240" w:lineRule="auto" w:before="1"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line="307" w:lineRule="auto" w:before="234"/>
        <w:ind w:left="143" w:right="703"/>
        <w:jc w:val="both"/>
      </w:pPr>
      <w:r>
        <w:rPr/>
        <w:t>El servicio consiste en la incorporación del enfoque de igualdad de género y derechos humanos en el diseño e implementación de instrumentos de formación y asistencia técnica, dirigidas a personas integrantes de organizaciones</w:t>
      </w:r>
      <w:r>
        <w:rPr>
          <w:spacing w:val="-9"/>
        </w:rPr>
        <w:t> </w:t>
      </w:r>
      <w:r>
        <w:rPr/>
        <w:t>políticas</w:t>
      </w:r>
      <w:r>
        <w:rPr>
          <w:spacing w:val="-7"/>
        </w:rPr>
        <w:t> </w:t>
      </w:r>
      <w:r>
        <w:rPr/>
        <w:t>y</w:t>
      </w:r>
      <w:r>
        <w:rPr>
          <w:spacing w:val="-8"/>
        </w:rPr>
        <w:t> </w:t>
      </w:r>
      <w:r>
        <w:rPr/>
        <w:t>personas</w:t>
      </w:r>
      <w:r>
        <w:rPr>
          <w:spacing w:val="-7"/>
        </w:rPr>
        <w:t> </w:t>
      </w:r>
      <w:r>
        <w:rPr/>
        <w:t>integrantes</w:t>
      </w:r>
      <w:r>
        <w:rPr>
          <w:spacing w:val="-7"/>
        </w:rPr>
        <w:t> </w:t>
      </w:r>
      <w:r>
        <w:rPr/>
        <w:t>de</w:t>
      </w:r>
      <w:r>
        <w:rPr>
          <w:spacing w:val="-10"/>
        </w:rPr>
        <w:t> </w:t>
      </w:r>
      <w:r>
        <w:rPr/>
        <w:t>organizaciones</w:t>
      </w:r>
      <w:r>
        <w:rPr>
          <w:spacing w:val="-7"/>
        </w:rPr>
        <w:t> </w:t>
      </w:r>
      <w:r>
        <w:rPr/>
        <w:t>sociales, con énfasis</w:t>
      </w:r>
      <w:r>
        <w:rPr>
          <w:spacing w:val="-2"/>
        </w:rPr>
        <w:t> </w:t>
      </w:r>
      <w:r>
        <w:rPr/>
        <w:t>en</w:t>
      </w:r>
      <w:r>
        <w:rPr>
          <w:spacing w:val="-3"/>
        </w:rPr>
        <w:t> </w:t>
      </w:r>
      <w:r>
        <w:rPr/>
        <w:t>sus</w:t>
      </w:r>
      <w:r>
        <w:rPr>
          <w:spacing w:val="-2"/>
        </w:rPr>
        <w:t> </w:t>
      </w:r>
      <w:r>
        <w:rPr/>
        <w:t>lideresas orientadas</w:t>
      </w:r>
      <w:r>
        <w:rPr>
          <w:spacing w:val="-2"/>
        </w:rPr>
        <w:t> </w:t>
      </w:r>
      <w:r>
        <w:rPr/>
        <w:t>a</w:t>
      </w:r>
      <w:r>
        <w:rPr>
          <w:spacing w:val="-1"/>
        </w:rPr>
        <w:t> </w:t>
      </w:r>
      <w:r>
        <w:rPr/>
        <w:t>generar</w:t>
      </w:r>
      <w:r>
        <w:rPr>
          <w:spacing w:val="-3"/>
        </w:rPr>
        <w:t> </w:t>
      </w:r>
      <w:r>
        <w:rPr/>
        <w:t>capacidades</w:t>
      </w:r>
      <w:r>
        <w:rPr>
          <w:spacing w:val="-2"/>
        </w:rPr>
        <w:t> </w:t>
      </w:r>
      <w:r>
        <w:rPr/>
        <w:t>para</w:t>
      </w:r>
      <w:r>
        <w:rPr>
          <w:spacing w:val="-3"/>
        </w:rPr>
        <w:t> </w:t>
      </w:r>
      <w:r>
        <w:rPr/>
        <w:t>la competencia política</w:t>
      </w:r>
      <w:r>
        <w:rPr>
          <w:spacing w:val="80"/>
        </w:rPr>
        <w:t> </w:t>
      </w:r>
      <w:r>
        <w:rPr/>
        <w:t>que</w:t>
      </w:r>
      <w:r>
        <w:rPr>
          <w:spacing w:val="80"/>
        </w:rPr>
        <w:t> </w:t>
      </w:r>
      <w:r>
        <w:rPr/>
        <w:t>contribuyan</w:t>
      </w:r>
      <w:r>
        <w:rPr>
          <w:spacing w:val="80"/>
        </w:rPr>
        <w:t> </w:t>
      </w:r>
      <w:r>
        <w:rPr/>
        <w:t>a</w:t>
      </w:r>
      <w:r>
        <w:rPr>
          <w:spacing w:val="80"/>
        </w:rPr>
        <w:t> </w:t>
      </w:r>
      <w:r>
        <w:rPr/>
        <w:t>mejorar</w:t>
      </w:r>
      <w:r>
        <w:rPr>
          <w:spacing w:val="80"/>
        </w:rPr>
        <w:t> </w:t>
      </w:r>
      <w:r>
        <w:rPr/>
        <w:t>la</w:t>
      </w:r>
      <w:r>
        <w:rPr>
          <w:spacing w:val="80"/>
        </w:rPr>
        <w:t> </w:t>
      </w:r>
      <w:r>
        <w:rPr/>
        <w:t>calidad</w:t>
      </w:r>
      <w:r>
        <w:rPr>
          <w:spacing w:val="80"/>
        </w:rPr>
        <w:t> </w:t>
      </w:r>
      <w:r>
        <w:rPr/>
        <w:t>del</w:t>
      </w:r>
      <w:r>
        <w:rPr>
          <w:spacing w:val="80"/>
        </w:rPr>
        <w:t> </w:t>
      </w:r>
      <w:r>
        <w:rPr/>
        <w:t>sistema</w:t>
      </w:r>
      <w:r>
        <w:rPr>
          <w:spacing w:val="68"/>
          <w:w w:val="150"/>
        </w:rPr>
        <w:t> </w:t>
      </w:r>
      <w:r>
        <w:rPr/>
        <w:t>democrático</w:t>
      </w:r>
      <w:r>
        <w:rPr>
          <w:spacing w:val="80"/>
        </w:rPr>
        <w:t> </w:t>
      </w:r>
      <w:r>
        <w:rPr/>
        <w:t>y</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6"/>
        <w:jc w:val="both"/>
      </w:pPr>
      <w:r>
        <w:rPr/>
        <w:t>fortalecer la participación igualitaria de las mujeres sin acoso político. Entre los componentes se encuentran: programas formativos (capacitaciones, talleres y jornadas de aprendizajes, entre otros) y la asistencia técnica política electoral.</w:t>
      </w:r>
    </w:p>
    <w:p>
      <w:pPr>
        <w:pStyle w:val="BodyText"/>
        <w:spacing w:line="307" w:lineRule="auto" w:before="157"/>
        <w:ind w:left="143" w:right="703"/>
        <w:jc w:val="both"/>
      </w:pPr>
      <w:r>
        <w:rPr>
          <w:spacing w:val="-2"/>
        </w:rPr>
        <w:t>El</w:t>
      </w:r>
      <w:r>
        <w:rPr>
          <w:spacing w:val="-15"/>
        </w:rPr>
        <w:t> </w:t>
      </w:r>
      <w:r>
        <w:rPr>
          <w:spacing w:val="-2"/>
        </w:rPr>
        <w:t>servicio</w:t>
      </w:r>
      <w:r>
        <w:rPr>
          <w:spacing w:val="-15"/>
        </w:rPr>
        <w:t> </w:t>
      </w:r>
      <w:r>
        <w:rPr>
          <w:spacing w:val="-2"/>
        </w:rPr>
        <w:t>está</w:t>
      </w:r>
      <w:r>
        <w:rPr>
          <w:spacing w:val="-14"/>
        </w:rPr>
        <w:t> </w:t>
      </w:r>
      <w:r>
        <w:rPr>
          <w:spacing w:val="-2"/>
        </w:rPr>
        <w:t>a</w:t>
      </w:r>
      <w:r>
        <w:rPr>
          <w:spacing w:val="-15"/>
        </w:rPr>
        <w:t> </w:t>
      </w:r>
      <w:r>
        <w:rPr>
          <w:spacing w:val="-2"/>
        </w:rPr>
        <w:t>cargo</w:t>
      </w:r>
      <w:r>
        <w:rPr>
          <w:spacing w:val="-15"/>
        </w:rPr>
        <w:t> </w:t>
      </w:r>
      <w:r>
        <w:rPr>
          <w:spacing w:val="-2"/>
        </w:rPr>
        <w:t>del</w:t>
      </w:r>
      <w:r>
        <w:rPr>
          <w:spacing w:val="-12"/>
        </w:rPr>
        <w:t> </w:t>
      </w:r>
      <w:r>
        <w:rPr>
          <w:spacing w:val="-2"/>
        </w:rPr>
        <w:t>Jurado</w:t>
      </w:r>
      <w:r>
        <w:rPr>
          <w:spacing w:val="-15"/>
        </w:rPr>
        <w:t> </w:t>
      </w:r>
      <w:r>
        <w:rPr>
          <w:spacing w:val="-2"/>
        </w:rPr>
        <w:t>Nacional</w:t>
      </w:r>
      <w:r>
        <w:rPr>
          <w:spacing w:val="-15"/>
        </w:rPr>
        <w:t> </w:t>
      </w:r>
      <w:r>
        <w:rPr>
          <w:spacing w:val="-2"/>
        </w:rPr>
        <w:t>de</w:t>
      </w:r>
      <w:r>
        <w:rPr>
          <w:spacing w:val="-13"/>
        </w:rPr>
        <w:t> </w:t>
      </w:r>
      <w:r>
        <w:rPr>
          <w:spacing w:val="-2"/>
        </w:rPr>
        <w:t>Elecciones</w:t>
      </w:r>
      <w:r>
        <w:rPr>
          <w:spacing w:val="-15"/>
        </w:rPr>
        <w:t> </w:t>
      </w:r>
      <w:r>
        <w:rPr>
          <w:spacing w:val="-2"/>
        </w:rPr>
        <w:t>(JNE)</w:t>
      </w:r>
      <w:r>
        <w:rPr>
          <w:spacing w:val="-12"/>
        </w:rPr>
        <w:t> </w:t>
      </w:r>
      <w:r>
        <w:rPr>
          <w:spacing w:val="-2"/>
        </w:rPr>
        <w:t>y,</w:t>
      </w:r>
      <w:r>
        <w:rPr>
          <w:spacing w:val="-15"/>
        </w:rPr>
        <w:t> </w:t>
      </w:r>
      <w:r>
        <w:rPr>
          <w:spacing w:val="-2"/>
        </w:rPr>
        <w:t>en</w:t>
      </w:r>
      <w:r>
        <w:rPr>
          <w:spacing w:val="-15"/>
        </w:rPr>
        <w:t> </w:t>
      </w:r>
      <w:r>
        <w:rPr>
          <w:spacing w:val="-2"/>
        </w:rPr>
        <w:t>el</w:t>
      </w:r>
      <w:r>
        <w:rPr>
          <w:spacing w:val="-12"/>
        </w:rPr>
        <w:t> </w:t>
      </w:r>
      <w:r>
        <w:rPr>
          <w:spacing w:val="-2"/>
        </w:rPr>
        <w:t>marco</w:t>
      </w:r>
      <w:r>
        <w:rPr>
          <w:spacing w:val="-15"/>
        </w:rPr>
        <w:t> </w:t>
      </w:r>
      <w:r>
        <w:rPr>
          <w:spacing w:val="-2"/>
        </w:rPr>
        <w:t>de </w:t>
      </w:r>
      <w:r>
        <w:rPr/>
        <w:t>la política, la eficacia del servicio es medida a través del indicador “Tasa de paridad entre hombres y mujeres miembros de organizaciones sociales y políticas</w:t>
      </w:r>
      <w:r>
        <w:rPr>
          <w:spacing w:val="-8"/>
        </w:rPr>
        <w:t> </w:t>
      </w:r>
      <w:r>
        <w:rPr/>
        <w:t>que</w:t>
      </w:r>
      <w:r>
        <w:rPr>
          <w:spacing w:val="-6"/>
        </w:rPr>
        <w:t> </w:t>
      </w:r>
      <w:r>
        <w:rPr/>
        <w:t>participan</w:t>
      </w:r>
      <w:r>
        <w:rPr>
          <w:spacing w:val="-6"/>
        </w:rPr>
        <w:t> </w:t>
      </w:r>
      <w:r>
        <w:rPr/>
        <w:t>en</w:t>
      </w:r>
      <w:r>
        <w:rPr>
          <w:spacing w:val="-6"/>
        </w:rPr>
        <w:t> </w:t>
      </w:r>
      <w:r>
        <w:rPr/>
        <w:t>las</w:t>
      </w:r>
      <w:r>
        <w:rPr>
          <w:spacing w:val="-5"/>
        </w:rPr>
        <w:t> </w:t>
      </w:r>
      <w:r>
        <w:rPr/>
        <w:t>actividades</w:t>
      </w:r>
      <w:r>
        <w:rPr>
          <w:spacing w:val="-8"/>
        </w:rPr>
        <w:t> </w:t>
      </w:r>
      <w:r>
        <w:rPr/>
        <w:t>de</w:t>
      </w:r>
      <w:r>
        <w:rPr>
          <w:spacing w:val="-8"/>
        </w:rPr>
        <w:t> </w:t>
      </w:r>
      <w:r>
        <w:rPr/>
        <w:t>formación</w:t>
      </w:r>
      <w:r>
        <w:rPr>
          <w:spacing w:val="-9"/>
        </w:rPr>
        <w:t> </w:t>
      </w:r>
      <w:r>
        <w:rPr/>
        <w:t>y</w:t>
      </w:r>
      <w:r>
        <w:rPr>
          <w:spacing w:val="-6"/>
        </w:rPr>
        <w:t> </w:t>
      </w:r>
      <w:r>
        <w:rPr/>
        <w:t>asistencia</w:t>
      </w:r>
      <w:r>
        <w:rPr>
          <w:spacing w:val="-9"/>
        </w:rPr>
        <w:t> </w:t>
      </w:r>
      <w:r>
        <w:rPr/>
        <w:t>técnica”</w:t>
      </w:r>
      <w:r>
        <w:rPr>
          <w:spacing w:val="-9"/>
        </w:rPr>
        <w:t> </w:t>
      </w:r>
      <w:r>
        <w:rPr/>
        <w:t>y</w:t>
      </w:r>
      <w:r>
        <w:rPr>
          <w:spacing w:val="-8"/>
        </w:rPr>
        <w:t> </w:t>
      </w:r>
      <w:r>
        <w:rPr/>
        <w:t>la calidad a través del indicador “Porcentaje de capacitaciones brindadas con adecuaciones a características específicas de participantes”</w:t>
      </w:r>
    </w:p>
    <w:p>
      <w:pPr>
        <w:pStyle w:val="ListParagraph"/>
        <w:numPr>
          <w:ilvl w:val="3"/>
          <w:numId w:val="3"/>
        </w:numPr>
        <w:tabs>
          <w:tab w:pos="862" w:val="left" w:leader="none"/>
        </w:tabs>
        <w:spacing w:line="240" w:lineRule="auto" w:before="161"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7" w:lineRule="auto" w:before="232"/>
        <w:ind w:left="143" w:right="703"/>
        <w:jc w:val="both"/>
      </w:pPr>
      <w:r>
        <w:rPr>
          <w:u w:val="single"/>
        </w:rPr>
        <w:t>Análisis</w:t>
      </w:r>
      <w:r>
        <w:rPr>
          <w:spacing w:val="-5"/>
          <w:u w:val="single"/>
        </w:rPr>
        <w:t> </w:t>
      </w:r>
      <w:r>
        <w:rPr>
          <w:u w:val="single"/>
        </w:rPr>
        <w:t>de</w:t>
      </w:r>
      <w:r>
        <w:rPr>
          <w:spacing w:val="-5"/>
          <w:u w:val="single"/>
        </w:rPr>
        <w:t> </w:t>
      </w:r>
      <w:r>
        <w:rPr>
          <w:u w:val="single"/>
        </w:rPr>
        <w:t>eficacia:</w:t>
      </w:r>
      <w:r>
        <w:rPr>
          <w:spacing w:val="-8"/>
        </w:rPr>
        <w:t> </w:t>
      </w:r>
      <w:r>
        <w:rPr/>
        <w:t>En</w:t>
      </w:r>
      <w:r>
        <w:rPr>
          <w:spacing w:val="-8"/>
        </w:rPr>
        <w:t> </w:t>
      </w:r>
      <w:r>
        <w:rPr/>
        <w:t>el</w:t>
      </w:r>
      <w:r>
        <w:rPr>
          <w:spacing w:val="-5"/>
        </w:rPr>
        <w:t> </w:t>
      </w:r>
      <w:r>
        <w:rPr/>
        <w:t>año</w:t>
      </w:r>
      <w:r>
        <w:rPr>
          <w:spacing w:val="-5"/>
        </w:rPr>
        <w:t> </w:t>
      </w:r>
      <w:r>
        <w:rPr/>
        <w:t>2023</w:t>
      </w:r>
      <w:r>
        <w:rPr>
          <w:spacing w:val="-6"/>
        </w:rPr>
        <w:t> </w:t>
      </w:r>
      <w:r>
        <w:rPr/>
        <w:t>el</w:t>
      </w:r>
      <w:r>
        <w:rPr>
          <w:spacing w:val="-7"/>
        </w:rPr>
        <w:t> </w:t>
      </w:r>
      <w:r>
        <w:rPr/>
        <w:t>servicio</w:t>
      </w:r>
      <w:r>
        <w:rPr>
          <w:spacing w:val="-5"/>
        </w:rPr>
        <w:t> </w:t>
      </w:r>
      <w:r>
        <w:rPr/>
        <w:t>reportó</w:t>
      </w:r>
      <w:r>
        <w:rPr>
          <w:spacing w:val="-3"/>
        </w:rPr>
        <w:t> </w:t>
      </w:r>
      <w:r>
        <w:rPr/>
        <w:t>una</w:t>
      </w:r>
      <w:r>
        <w:rPr>
          <w:spacing w:val="-8"/>
        </w:rPr>
        <w:t> </w:t>
      </w:r>
      <w:r>
        <w:rPr/>
        <w:t>tasa</w:t>
      </w:r>
      <w:r>
        <w:rPr>
          <w:spacing w:val="-8"/>
        </w:rPr>
        <w:t> </w:t>
      </w:r>
      <w:r>
        <w:rPr/>
        <w:t>de</w:t>
      </w:r>
      <w:r>
        <w:rPr>
          <w:spacing w:val="-5"/>
        </w:rPr>
        <w:t> </w:t>
      </w:r>
      <w:r>
        <w:rPr/>
        <w:t>paridad</w:t>
      </w:r>
      <w:r>
        <w:rPr>
          <w:spacing w:val="-5"/>
        </w:rPr>
        <w:t> </w:t>
      </w:r>
      <w:r>
        <w:rPr/>
        <w:t>entre hombres y mujeres miembros de organizaciones sociales y políticas del 1.35, con lo cual se obtuvo un nivel de avance de 421.9% respecto a la meta programada (0.32) el cual es un indicativo de una posible falla de planeación.</w:t>
      </w:r>
    </w:p>
    <w:p>
      <w:pPr>
        <w:spacing w:before="156"/>
        <w:ind w:left="1362" w:right="0" w:firstLine="0"/>
        <w:jc w:val="both"/>
        <w:rPr>
          <w:sz w:val="22"/>
        </w:rPr>
      </w:pPr>
      <w:r>
        <w:rPr>
          <w:color w:val="44536A"/>
          <w:sz w:val="22"/>
        </w:rPr>
        <w:t>Tabla</w:t>
      </w:r>
      <w:r>
        <w:rPr>
          <w:color w:val="44536A"/>
          <w:spacing w:val="-9"/>
          <w:sz w:val="22"/>
        </w:rPr>
        <w:t> </w:t>
      </w:r>
      <w:r>
        <w:rPr>
          <w:color w:val="44536A"/>
          <w:sz w:val="22"/>
        </w:rPr>
        <w:t>6.</w:t>
      </w:r>
      <w:r>
        <w:rPr>
          <w:color w:val="44536A"/>
          <w:spacing w:val="-10"/>
          <w:sz w:val="22"/>
        </w:rPr>
        <w:t> </w:t>
      </w:r>
      <w:r>
        <w:rPr>
          <w:color w:val="44536A"/>
          <w:sz w:val="22"/>
        </w:rPr>
        <w:t>Análisis</w:t>
      </w:r>
      <w:r>
        <w:rPr>
          <w:color w:val="44536A"/>
          <w:spacing w:val="-10"/>
          <w:sz w:val="22"/>
        </w:rPr>
        <w:t> </w:t>
      </w:r>
      <w:r>
        <w:rPr>
          <w:color w:val="44536A"/>
          <w:sz w:val="22"/>
        </w:rPr>
        <w:t>del</w:t>
      </w:r>
      <w:r>
        <w:rPr>
          <w:color w:val="44536A"/>
          <w:spacing w:val="-12"/>
          <w:sz w:val="22"/>
        </w:rPr>
        <w:t> </w:t>
      </w:r>
      <w:r>
        <w:rPr>
          <w:color w:val="44536A"/>
          <w:sz w:val="22"/>
        </w:rPr>
        <w:t>indicador</w:t>
      </w:r>
      <w:r>
        <w:rPr>
          <w:color w:val="44536A"/>
          <w:spacing w:val="-12"/>
          <w:sz w:val="22"/>
        </w:rPr>
        <w:t> </w:t>
      </w:r>
      <w:r>
        <w:rPr>
          <w:color w:val="44536A"/>
          <w:sz w:val="22"/>
        </w:rPr>
        <w:t>de</w:t>
      </w:r>
      <w:r>
        <w:rPr>
          <w:color w:val="44536A"/>
          <w:spacing w:val="-10"/>
          <w:sz w:val="22"/>
        </w:rPr>
        <w:t> </w:t>
      </w:r>
      <w:r>
        <w:rPr>
          <w:color w:val="44536A"/>
          <w:sz w:val="22"/>
        </w:rPr>
        <w:t>eficacia</w:t>
      </w:r>
      <w:r>
        <w:rPr>
          <w:color w:val="44536A"/>
          <w:spacing w:val="-11"/>
          <w:sz w:val="22"/>
        </w:rPr>
        <w:t> </w:t>
      </w:r>
      <w:r>
        <w:rPr>
          <w:color w:val="44536A"/>
          <w:sz w:val="22"/>
        </w:rPr>
        <w:t>del</w:t>
      </w:r>
      <w:r>
        <w:rPr>
          <w:color w:val="44536A"/>
          <w:spacing w:val="-8"/>
          <w:sz w:val="22"/>
        </w:rPr>
        <w:t> </w:t>
      </w:r>
      <w:r>
        <w:rPr>
          <w:color w:val="44536A"/>
          <w:sz w:val="22"/>
        </w:rPr>
        <w:t>servicio</w:t>
      </w:r>
      <w:r>
        <w:rPr>
          <w:color w:val="44536A"/>
          <w:spacing w:val="-11"/>
          <w:sz w:val="22"/>
        </w:rPr>
        <w:t> </w:t>
      </w:r>
      <w:r>
        <w:rPr>
          <w:color w:val="44536A"/>
          <w:spacing w:val="-2"/>
          <w:sz w:val="22"/>
        </w:rPr>
        <w:t>03.01.02</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22"/>
        <w:gridCol w:w="895"/>
        <w:gridCol w:w="663"/>
        <w:gridCol w:w="763"/>
        <w:gridCol w:w="765"/>
        <w:gridCol w:w="628"/>
        <w:gridCol w:w="626"/>
        <w:gridCol w:w="626"/>
        <w:gridCol w:w="628"/>
        <w:gridCol w:w="626"/>
        <w:gridCol w:w="627"/>
        <w:gridCol w:w="626"/>
      </w:tblGrid>
      <w:tr>
        <w:trPr>
          <w:trHeight w:val="299" w:hRule="atLeast"/>
        </w:trPr>
        <w:tc>
          <w:tcPr>
            <w:tcW w:w="1022" w:type="dxa"/>
            <w:shd w:val="clear" w:color="auto" w:fill="44536A"/>
          </w:tcPr>
          <w:p>
            <w:pPr>
              <w:pStyle w:val="TableParagraph"/>
              <w:spacing w:before="61"/>
              <w:ind w:left="9"/>
              <w:jc w:val="center"/>
              <w:rPr>
                <w:sz w:val="16"/>
              </w:rPr>
            </w:pPr>
            <w:r>
              <w:rPr>
                <w:color w:val="FFFFFF"/>
                <w:spacing w:val="-5"/>
                <w:sz w:val="16"/>
              </w:rPr>
              <w:t>OP</w:t>
            </w:r>
          </w:p>
        </w:tc>
        <w:tc>
          <w:tcPr>
            <w:tcW w:w="7473" w:type="dxa"/>
            <w:gridSpan w:val="11"/>
          </w:tcPr>
          <w:p>
            <w:pPr>
              <w:pStyle w:val="TableParagraph"/>
              <w:spacing w:before="49"/>
              <w:ind w:left="69"/>
              <w:rPr>
                <w:sz w:val="18"/>
              </w:rPr>
            </w:pPr>
            <w:r>
              <w:rPr>
                <w:sz w:val="18"/>
              </w:rPr>
              <w:t>OP.03</w:t>
            </w:r>
            <w:r>
              <w:rPr>
                <w:spacing w:val="-3"/>
                <w:sz w:val="18"/>
              </w:rPr>
              <w:t> </w:t>
            </w:r>
            <w:r>
              <w:rPr>
                <w:sz w:val="18"/>
              </w:rPr>
              <w:t>Garantizar</w:t>
            </w:r>
            <w:r>
              <w:rPr>
                <w:spacing w:val="-7"/>
                <w:sz w:val="18"/>
              </w:rPr>
              <w:t> </w:t>
            </w:r>
            <w:r>
              <w:rPr>
                <w:sz w:val="18"/>
              </w:rPr>
              <w:t>el</w:t>
            </w:r>
            <w:r>
              <w:rPr>
                <w:spacing w:val="-3"/>
                <w:sz w:val="18"/>
              </w:rPr>
              <w:t> </w:t>
            </w:r>
            <w:r>
              <w:rPr>
                <w:sz w:val="18"/>
              </w:rPr>
              <w:t>acceso</w:t>
            </w:r>
            <w:r>
              <w:rPr>
                <w:spacing w:val="-6"/>
                <w:sz w:val="18"/>
              </w:rPr>
              <w:t> </w:t>
            </w:r>
            <w:r>
              <w:rPr>
                <w:sz w:val="18"/>
              </w:rPr>
              <w:t>y</w:t>
            </w:r>
            <w:r>
              <w:rPr>
                <w:spacing w:val="-4"/>
                <w:sz w:val="18"/>
              </w:rPr>
              <w:t> </w:t>
            </w:r>
            <w:r>
              <w:rPr>
                <w:sz w:val="18"/>
              </w:rPr>
              <w:t>participación</w:t>
            </w:r>
            <w:r>
              <w:rPr>
                <w:spacing w:val="-6"/>
                <w:sz w:val="18"/>
              </w:rPr>
              <w:t> </w:t>
            </w:r>
            <w:r>
              <w:rPr>
                <w:sz w:val="18"/>
              </w:rPr>
              <w:t>de</w:t>
            </w:r>
            <w:r>
              <w:rPr>
                <w:spacing w:val="-5"/>
                <w:sz w:val="18"/>
              </w:rPr>
              <w:t> </w:t>
            </w:r>
            <w:r>
              <w:rPr>
                <w:sz w:val="18"/>
              </w:rPr>
              <w:t>las</w:t>
            </w:r>
            <w:r>
              <w:rPr>
                <w:spacing w:val="-4"/>
                <w:sz w:val="18"/>
              </w:rPr>
              <w:t> </w:t>
            </w:r>
            <w:r>
              <w:rPr>
                <w:sz w:val="18"/>
              </w:rPr>
              <w:t>mujeres</w:t>
            </w:r>
            <w:r>
              <w:rPr>
                <w:spacing w:val="-3"/>
                <w:sz w:val="18"/>
              </w:rPr>
              <w:t> </w:t>
            </w:r>
            <w:r>
              <w:rPr>
                <w:sz w:val="18"/>
              </w:rPr>
              <w:t>en</w:t>
            </w:r>
            <w:r>
              <w:rPr>
                <w:spacing w:val="-7"/>
                <w:sz w:val="18"/>
              </w:rPr>
              <w:t> </w:t>
            </w:r>
            <w:r>
              <w:rPr>
                <w:sz w:val="18"/>
              </w:rPr>
              <w:t>espacios</w:t>
            </w:r>
            <w:r>
              <w:rPr>
                <w:spacing w:val="-5"/>
                <w:sz w:val="18"/>
              </w:rPr>
              <w:t> </w:t>
            </w:r>
            <w:r>
              <w:rPr>
                <w:sz w:val="18"/>
              </w:rPr>
              <w:t>de</w:t>
            </w:r>
            <w:r>
              <w:rPr>
                <w:spacing w:val="-4"/>
                <w:sz w:val="18"/>
              </w:rPr>
              <w:t> </w:t>
            </w:r>
            <w:r>
              <w:rPr>
                <w:sz w:val="18"/>
              </w:rPr>
              <w:t>toma</w:t>
            </w:r>
            <w:r>
              <w:rPr>
                <w:spacing w:val="-5"/>
                <w:sz w:val="18"/>
              </w:rPr>
              <w:t> </w:t>
            </w:r>
            <w:r>
              <w:rPr>
                <w:sz w:val="18"/>
              </w:rPr>
              <w:t>de</w:t>
            </w:r>
            <w:r>
              <w:rPr>
                <w:spacing w:val="-5"/>
                <w:sz w:val="18"/>
              </w:rPr>
              <w:t> </w:t>
            </w:r>
            <w:r>
              <w:rPr>
                <w:spacing w:val="-2"/>
                <w:sz w:val="18"/>
              </w:rPr>
              <w:t>decisión</w:t>
            </w:r>
          </w:p>
        </w:tc>
      </w:tr>
      <w:tr>
        <w:trPr>
          <w:trHeight w:val="613" w:hRule="atLeast"/>
        </w:trPr>
        <w:tc>
          <w:tcPr>
            <w:tcW w:w="1022" w:type="dxa"/>
            <w:shd w:val="clear" w:color="auto" w:fill="44536A"/>
          </w:tcPr>
          <w:p>
            <w:pPr>
              <w:pStyle w:val="TableParagraph"/>
              <w:rPr>
                <w:sz w:val="18"/>
              </w:rPr>
            </w:pPr>
          </w:p>
          <w:p>
            <w:pPr>
              <w:pStyle w:val="TableParagraph"/>
              <w:ind w:left="198"/>
              <w:rPr>
                <w:sz w:val="18"/>
              </w:rPr>
            </w:pPr>
            <w:r>
              <w:rPr>
                <w:color w:val="FFFFFF"/>
                <w:spacing w:val="-2"/>
                <w:sz w:val="18"/>
              </w:rPr>
              <w:t>Servicio</w:t>
            </w:r>
          </w:p>
        </w:tc>
        <w:tc>
          <w:tcPr>
            <w:tcW w:w="7473" w:type="dxa"/>
            <w:gridSpan w:val="11"/>
          </w:tcPr>
          <w:p>
            <w:pPr>
              <w:pStyle w:val="TableParagraph"/>
              <w:spacing w:line="283" w:lineRule="auto" w:before="85"/>
              <w:ind w:left="69" w:right="31"/>
              <w:rPr>
                <w:sz w:val="18"/>
              </w:rPr>
            </w:pPr>
            <w:r>
              <w:rPr>
                <w:sz w:val="18"/>
              </w:rPr>
              <w:t>Formación</w:t>
            </w:r>
            <w:r>
              <w:rPr>
                <w:spacing w:val="-5"/>
                <w:sz w:val="18"/>
              </w:rPr>
              <w:t> </w:t>
            </w:r>
            <w:r>
              <w:rPr>
                <w:sz w:val="18"/>
              </w:rPr>
              <w:t>y</w:t>
            </w:r>
            <w:r>
              <w:rPr>
                <w:spacing w:val="-6"/>
                <w:sz w:val="18"/>
              </w:rPr>
              <w:t> </w:t>
            </w:r>
            <w:r>
              <w:rPr>
                <w:sz w:val="18"/>
              </w:rPr>
              <w:t>asistencia</w:t>
            </w:r>
            <w:r>
              <w:rPr>
                <w:spacing w:val="-4"/>
                <w:sz w:val="18"/>
              </w:rPr>
              <w:t> </w:t>
            </w:r>
            <w:r>
              <w:rPr>
                <w:sz w:val="18"/>
              </w:rPr>
              <w:t>técnica</w:t>
            </w:r>
            <w:r>
              <w:rPr>
                <w:spacing w:val="-6"/>
                <w:sz w:val="18"/>
              </w:rPr>
              <w:t> </w:t>
            </w:r>
            <w:r>
              <w:rPr>
                <w:sz w:val="18"/>
              </w:rPr>
              <w:t>a</w:t>
            </w:r>
            <w:r>
              <w:rPr>
                <w:spacing w:val="-4"/>
                <w:sz w:val="18"/>
              </w:rPr>
              <w:t> </w:t>
            </w:r>
            <w:r>
              <w:rPr>
                <w:sz w:val="18"/>
              </w:rPr>
              <w:t>organizaciones</w:t>
            </w:r>
            <w:r>
              <w:rPr>
                <w:spacing w:val="-5"/>
                <w:sz w:val="18"/>
              </w:rPr>
              <w:t> </w:t>
            </w:r>
            <w:r>
              <w:rPr>
                <w:sz w:val="18"/>
              </w:rPr>
              <w:t>sociales</w:t>
            </w:r>
            <w:r>
              <w:rPr>
                <w:spacing w:val="-7"/>
                <w:sz w:val="18"/>
              </w:rPr>
              <w:t> </w:t>
            </w:r>
            <w:r>
              <w:rPr>
                <w:sz w:val="18"/>
              </w:rPr>
              <w:t>y</w:t>
            </w:r>
            <w:r>
              <w:rPr>
                <w:spacing w:val="-6"/>
                <w:sz w:val="18"/>
              </w:rPr>
              <w:t> </w:t>
            </w:r>
            <w:r>
              <w:rPr>
                <w:sz w:val="18"/>
              </w:rPr>
              <w:t>políticas</w:t>
            </w:r>
            <w:r>
              <w:rPr>
                <w:spacing w:val="-7"/>
                <w:sz w:val="18"/>
              </w:rPr>
              <w:t> </w:t>
            </w:r>
            <w:r>
              <w:rPr>
                <w:sz w:val="18"/>
              </w:rPr>
              <w:t>para</w:t>
            </w:r>
            <w:r>
              <w:rPr>
                <w:spacing w:val="-4"/>
                <w:sz w:val="18"/>
              </w:rPr>
              <w:t> </w:t>
            </w:r>
            <w:r>
              <w:rPr>
                <w:sz w:val="18"/>
              </w:rPr>
              <w:t>el</w:t>
            </w:r>
            <w:r>
              <w:rPr>
                <w:spacing w:val="-7"/>
                <w:sz w:val="18"/>
              </w:rPr>
              <w:t> </w:t>
            </w:r>
            <w:r>
              <w:rPr>
                <w:sz w:val="18"/>
              </w:rPr>
              <w:t>fortalecimiento de la participación política de las mujeres, sin discriminación y sin acoso político.</w:t>
            </w:r>
          </w:p>
        </w:tc>
      </w:tr>
      <w:tr>
        <w:trPr>
          <w:trHeight w:val="491" w:hRule="atLeast"/>
        </w:trPr>
        <w:tc>
          <w:tcPr>
            <w:tcW w:w="1022" w:type="dxa"/>
            <w:shd w:val="clear" w:color="auto" w:fill="44536A"/>
          </w:tcPr>
          <w:p>
            <w:pPr>
              <w:pStyle w:val="TableParagraph"/>
              <w:spacing w:before="147"/>
              <w:ind w:left="129"/>
              <w:rPr>
                <w:sz w:val="18"/>
              </w:rPr>
            </w:pPr>
            <w:r>
              <w:rPr>
                <w:color w:val="FFFFFF"/>
                <w:spacing w:val="-2"/>
                <w:w w:val="105"/>
                <w:sz w:val="18"/>
              </w:rPr>
              <w:t>Indicador</w:t>
            </w:r>
          </w:p>
        </w:tc>
        <w:tc>
          <w:tcPr>
            <w:tcW w:w="7473" w:type="dxa"/>
            <w:gridSpan w:val="11"/>
          </w:tcPr>
          <w:p>
            <w:pPr>
              <w:pStyle w:val="TableParagraph"/>
              <w:spacing w:before="25"/>
              <w:ind w:left="69"/>
              <w:rPr>
                <w:sz w:val="18"/>
              </w:rPr>
            </w:pPr>
            <w:r>
              <w:rPr>
                <w:sz w:val="18"/>
              </w:rPr>
              <w:t>Tasa</w:t>
            </w:r>
            <w:r>
              <w:rPr>
                <w:spacing w:val="-1"/>
                <w:sz w:val="18"/>
              </w:rPr>
              <w:t> </w:t>
            </w:r>
            <w:r>
              <w:rPr>
                <w:sz w:val="18"/>
              </w:rPr>
              <w:t>de</w:t>
            </w:r>
            <w:r>
              <w:rPr>
                <w:spacing w:val="-3"/>
                <w:sz w:val="18"/>
              </w:rPr>
              <w:t> </w:t>
            </w:r>
            <w:r>
              <w:rPr>
                <w:sz w:val="18"/>
              </w:rPr>
              <w:t>paridad</w:t>
            </w:r>
            <w:r>
              <w:rPr>
                <w:spacing w:val="-1"/>
                <w:sz w:val="18"/>
              </w:rPr>
              <w:t> </w:t>
            </w:r>
            <w:r>
              <w:rPr>
                <w:sz w:val="18"/>
              </w:rPr>
              <w:t>entre</w:t>
            </w:r>
            <w:r>
              <w:rPr>
                <w:spacing w:val="-1"/>
                <w:sz w:val="18"/>
              </w:rPr>
              <w:t> </w:t>
            </w:r>
            <w:r>
              <w:rPr>
                <w:sz w:val="18"/>
              </w:rPr>
              <w:t>hombres</w:t>
            </w:r>
            <w:r>
              <w:rPr>
                <w:spacing w:val="-2"/>
                <w:sz w:val="18"/>
              </w:rPr>
              <w:t> </w:t>
            </w:r>
            <w:r>
              <w:rPr>
                <w:sz w:val="18"/>
              </w:rPr>
              <w:t>y</w:t>
            </w:r>
            <w:r>
              <w:rPr>
                <w:spacing w:val="-2"/>
                <w:sz w:val="18"/>
              </w:rPr>
              <w:t> </w:t>
            </w:r>
            <w:r>
              <w:rPr>
                <w:sz w:val="18"/>
              </w:rPr>
              <w:t>mujeres</w:t>
            </w:r>
            <w:r>
              <w:rPr>
                <w:spacing w:val="-2"/>
                <w:sz w:val="18"/>
              </w:rPr>
              <w:t> </w:t>
            </w:r>
            <w:r>
              <w:rPr>
                <w:sz w:val="18"/>
              </w:rPr>
              <w:t>miembros</w:t>
            </w:r>
            <w:r>
              <w:rPr>
                <w:spacing w:val="-1"/>
                <w:sz w:val="18"/>
              </w:rPr>
              <w:t> </w:t>
            </w:r>
            <w:r>
              <w:rPr>
                <w:sz w:val="18"/>
              </w:rPr>
              <w:t>de</w:t>
            </w:r>
            <w:r>
              <w:rPr>
                <w:spacing w:val="-1"/>
                <w:sz w:val="18"/>
              </w:rPr>
              <w:t> </w:t>
            </w:r>
            <w:r>
              <w:rPr>
                <w:sz w:val="18"/>
              </w:rPr>
              <w:t>organizaciones</w:t>
            </w:r>
            <w:r>
              <w:rPr>
                <w:spacing w:val="-2"/>
                <w:sz w:val="18"/>
              </w:rPr>
              <w:t> </w:t>
            </w:r>
            <w:r>
              <w:rPr>
                <w:sz w:val="18"/>
              </w:rPr>
              <w:t>sociales</w:t>
            </w:r>
            <w:r>
              <w:rPr>
                <w:spacing w:val="-3"/>
                <w:sz w:val="18"/>
              </w:rPr>
              <w:t> </w:t>
            </w:r>
            <w:r>
              <w:rPr>
                <w:sz w:val="18"/>
              </w:rPr>
              <w:t>y</w:t>
            </w:r>
            <w:r>
              <w:rPr>
                <w:spacing w:val="-3"/>
                <w:sz w:val="18"/>
              </w:rPr>
              <w:t> </w:t>
            </w:r>
            <w:r>
              <w:rPr>
                <w:spacing w:val="-2"/>
                <w:sz w:val="18"/>
              </w:rPr>
              <w:t>políticas</w:t>
            </w:r>
          </w:p>
          <w:p>
            <w:pPr>
              <w:pStyle w:val="TableParagraph"/>
              <w:spacing w:line="201" w:lineRule="exact" w:before="38"/>
              <w:ind w:left="69"/>
              <w:rPr>
                <w:sz w:val="18"/>
              </w:rPr>
            </w:pPr>
            <w:r>
              <w:rPr>
                <w:sz w:val="18"/>
              </w:rPr>
              <w:t>que</w:t>
            </w:r>
            <w:r>
              <w:rPr>
                <w:spacing w:val="-1"/>
                <w:sz w:val="18"/>
              </w:rPr>
              <w:t> </w:t>
            </w:r>
            <w:r>
              <w:rPr>
                <w:sz w:val="18"/>
              </w:rPr>
              <w:t>participan</w:t>
            </w:r>
            <w:r>
              <w:rPr>
                <w:spacing w:val="-1"/>
                <w:sz w:val="18"/>
              </w:rPr>
              <w:t> </w:t>
            </w:r>
            <w:r>
              <w:rPr>
                <w:sz w:val="18"/>
              </w:rPr>
              <w:t>en</w:t>
            </w:r>
            <w:r>
              <w:rPr>
                <w:spacing w:val="-2"/>
                <w:sz w:val="18"/>
              </w:rPr>
              <w:t> </w:t>
            </w:r>
            <w:r>
              <w:rPr>
                <w:sz w:val="18"/>
              </w:rPr>
              <w:t>las</w:t>
            </w:r>
            <w:r>
              <w:rPr>
                <w:spacing w:val="-1"/>
                <w:sz w:val="18"/>
              </w:rPr>
              <w:t> </w:t>
            </w:r>
            <w:r>
              <w:rPr>
                <w:sz w:val="18"/>
              </w:rPr>
              <w:t>actividades de</w:t>
            </w:r>
            <w:r>
              <w:rPr>
                <w:spacing w:val="-3"/>
                <w:sz w:val="18"/>
              </w:rPr>
              <w:t> </w:t>
            </w:r>
            <w:r>
              <w:rPr>
                <w:sz w:val="18"/>
              </w:rPr>
              <w:t>formación</w:t>
            </w:r>
            <w:r>
              <w:rPr>
                <w:spacing w:val="-1"/>
                <w:sz w:val="18"/>
              </w:rPr>
              <w:t> </w:t>
            </w:r>
            <w:r>
              <w:rPr>
                <w:sz w:val="18"/>
              </w:rPr>
              <w:t>y</w:t>
            </w:r>
            <w:r>
              <w:rPr>
                <w:spacing w:val="-4"/>
                <w:sz w:val="18"/>
              </w:rPr>
              <w:t> </w:t>
            </w:r>
            <w:r>
              <w:rPr>
                <w:sz w:val="18"/>
              </w:rPr>
              <w:t>asistencia </w:t>
            </w:r>
            <w:r>
              <w:rPr>
                <w:spacing w:val="-2"/>
                <w:sz w:val="18"/>
              </w:rPr>
              <w:t>técnica.</w:t>
            </w:r>
          </w:p>
        </w:tc>
      </w:tr>
      <w:tr>
        <w:trPr>
          <w:trHeight w:val="300" w:hRule="atLeast"/>
        </w:trPr>
        <w:tc>
          <w:tcPr>
            <w:tcW w:w="1022" w:type="dxa"/>
            <w:shd w:val="clear" w:color="auto" w:fill="808080"/>
          </w:tcPr>
          <w:p>
            <w:pPr>
              <w:pStyle w:val="TableParagraph"/>
              <w:spacing w:before="49"/>
              <w:ind w:left="9" w:right="2"/>
              <w:jc w:val="center"/>
              <w:rPr>
                <w:sz w:val="18"/>
              </w:rPr>
            </w:pPr>
            <w:r>
              <w:rPr>
                <w:color w:val="FFFFFF"/>
                <w:spacing w:val="-5"/>
                <w:sz w:val="18"/>
              </w:rPr>
              <w:t>Año</w:t>
            </w:r>
          </w:p>
        </w:tc>
        <w:tc>
          <w:tcPr>
            <w:tcW w:w="895" w:type="dxa"/>
            <w:shd w:val="clear" w:color="auto" w:fill="808080"/>
          </w:tcPr>
          <w:p>
            <w:pPr>
              <w:pStyle w:val="TableParagraph"/>
              <w:spacing w:before="49"/>
              <w:ind w:left="112"/>
              <w:rPr>
                <w:sz w:val="18"/>
              </w:rPr>
            </w:pPr>
            <w:r>
              <w:rPr>
                <w:color w:val="FFFFFF"/>
                <w:sz w:val="18"/>
              </w:rPr>
              <w:t>Valor</w:t>
            </w:r>
            <w:r>
              <w:rPr>
                <w:color w:val="FFFFFF"/>
                <w:spacing w:val="-12"/>
                <w:sz w:val="18"/>
              </w:rPr>
              <w:t> </w:t>
            </w:r>
            <w:r>
              <w:rPr>
                <w:color w:val="FFFFFF"/>
                <w:spacing w:val="-5"/>
                <w:sz w:val="18"/>
              </w:rPr>
              <w:t>LB</w:t>
            </w:r>
          </w:p>
        </w:tc>
        <w:tc>
          <w:tcPr>
            <w:tcW w:w="663" w:type="dxa"/>
            <w:shd w:val="clear" w:color="auto" w:fill="808080"/>
          </w:tcPr>
          <w:p>
            <w:pPr>
              <w:pStyle w:val="TableParagraph"/>
              <w:spacing w:before="49"/>
              <w:ind w:left="10"/>
              <w:jc w:val="center"/>
              <w:rPr>
                <w:sz w:val="18"/>
              </w:rPr>
            </w:pPr>
            <w:r>
              <w:rPr>
                <w:color w:val="FFFFFF"/>
                <w:spacing w:val="-4"/>
                <w:sz w:val="18"/>
              </w:rPr>
              <w:t>2021</w:t>
            </w:r>
          </w:p>
        </w:tc>
        <w:tc>
          <w:tcPr>
            <w:tcW w:w="763" w:type="dxa"/>
            <w:shd w:val="clear" w:color="auto" w:fill="808080"/>
          </w:tcPr>
          <w:p>
            <w:pPr>
              <w:pStyle w:val="TableParagraph"/>
              <w:spacing w:before="49"/>
              <w:ind w:left="12" w:right="2"/>
              <w:jc w:val="center"/>
              <w:rPr>
                <w:sz w:val="18"/>
              </w:rPr>
            </w:pPr>
            <w:r>
              <w:rPr>
                <w:color w:val="FFFFFF"/>
                <w:spacing w:val="-4"/>
                <w:sz w:val="18"/>
              </w:rPr>
              <w:t>2022</w:t>
            </w:r>
          </w:p>
        </w:tc>
        <w:tc>
          <w:tcPr>
            <w:tcW w:w="765" w:type="dxa"/>
            <w:shd w:val="clear" w:color="auto" w:fill="808080"/>
          </w:tcPr>
          <w:p>
            <w:pPr>
              <w:pStyle w:val="TableParagraph"/>
              <w:spacing w:before="49"/>
              <w:ind w:left="9"/>
              <w:jc w:val="center"/>
              <w:rPr>
                <w:sz w:val="18"/>
              </w:rPr>
            </w:pPr>
            <w:r>
              <w:rPr>
                <w:color w:val="FFFFFF"/>
                <w:spacing w:val="-4"/>
                <w:sz w:val="18"/>
              </w:rPr>
              <w:t>2023</w:t>
            </w:r>
          </w:p>
        </w:tc>
        <w:tc>
          <w:tcPr>
            <w:tcW w:w="628" w:type="dxa"/>
            <w:shd w:val="clear" w:color="auto" w:fill="808080"/>
          </w:tcPr>
          <w:p>
            <w:pPr>
              <w:pStyle w:val="TableParagraph"/>
              <w:spacing w:before="49"/>
              <w:ind w:left="17" w:right="4"/>
              <w:jc w:val="center"/>
              <w:rPr>
                <w:sz w:val="18"/>
              </w:rPr>
            </w:pPr>
            <w:r>
              <w:rPr>
                <w:color w:val="FFFFFF"/>
                <w:spacing w:val="-4"/>
                <w:sz w:val="18"/>
              </w:rPr>
              <w:t>2024</w:t>
            </w:r>
          </w:p>
        </w:tc>
        <w:tc>
          <w:tcPr>
            <w:tcW w:w="626" w:type="dxa"/>
            <w:shd w:val="clear" w:color="auto" w:fill="808080"/>
          </w:tcPr>
          <w:p>
            <w:pPr>
              <w:pStyle w:val="TableParagraph"/>
              <w:spacing w:before="49"/>
              <w:ind w:left="21" w:right="5"/>
              <w:jc w:val="center"/>
              <w:rPr>
                <w:sz w:val="18"/>
              </w:rPr>
            </w:pPr>
            <w:r>
              <w:rPr>
                <w:color w:val="FFFFFF"/>
                <w:spacing w:val="-4"/>
                <w:sz w:val="18"/>
              </w:rPr>
              <w:t>2025</w:t>
            </w:r>
          </w:p>
        </w:tc>
        <w:tc>
          <w:tcPr>
            <w:tcW w:w="626" w:type="dxa"/>
            <w:shd w:val="clear" w:color="auto" w:fill="808080"/>
          </w:tcPr>
          <w:p>
            <w:pPr>
              <w:pStyle w:val="TableParagraph"/>
              <w:spacing w:before="49"/>
              <w:ind w:left="21" w:right="3"/>
              <w:jc w:val="center"/>
              <w:rPr>
                <w:sz w:val="18"/>
              </w:rPr>
            </w:pPr>
            <w:r>
              <w:rPr>
                <w:color w:val="FFFFFF"/>
                <w:spacing w:val="-4"/>
                <w:sz w:val="18"/>
              </w:rPr>
              <w:t>2026</w:t>
            </w:r>
          </w:p>
        </w:tc>
        <w:tc>
          <w:tcPr>
            <w:tcW w:w="628" w:type="dxa"/>
            <w:shd w:val="clear" w:color="auto" w:fill="808080"/>
          </w:tcPr>
          <w:p>
            <w:pPr>
              <w:pStyle w:val="TableParagraph"/>
              <w:spacing w:before="49"/>
              <w:ind w:left="17"/>
              <w:jc w:val="center"/>
              <w:rPr>
                <w:sz w:val="18"/>
              </w:rPr>
            </w:pPr>
            <w:r>
              <w:rPr>
                <w:color w:val="FFFFFF"/>
                <w:spacing w:val="-4"/>
                <w:sz w:val="18"/>
              </w:rPr>
              <w:t>2027</w:t>
            </w:r>
          </w:p>
        </w:tc>
        <w:tc>
          <w:tcPr>
            <w:tcW w:w="626" w:type="dxa"/>
            <w:shd w:val="clear" w:color="auto" w:fill="808080"/>
          </w:tcPr>
          <w:p>
            <w:pPr>
              <w:pStyle w:val="TableParagraph"/>
              <w:spacing w:before="49"/>
              <w:ind w:left="21" w:right="6"/>
              <w:jc w:val="center"/>
              <w:rPr>
                <w:sz w:val="18"/>
              </w:rPr>
            </w:pPr>
            <w:r>
              <w:rPr>
                <w:color w:val="FFFFFF"/>
                <w:spacing w:val="-4"/>
                <w:sz w:val="18"/>
              </w:rPr>
              <w:t>2028</w:t>
            </w:r>
          </w:p>
        </w:tc>
        <w:tc>
          <w:tcPr>
            <w:tcW w:w="627" w:type="dxa"/>
            <w:shd w:val="clear" w:color="auto" w:fill="808080"/>
          </w:tcPr>
          <w:p>
            <w:pPr>
              <w:pStyle w:val="TableParagraph"/>
              <w:spacing w:before="49"/>
              <w:ind w:left="20"/>
              <w:jc w:val="center"/>
              <w:rPr>
                <w:sz w:val="18"/>
              </w:rPr>
            </w:pPr>
            <w:r>
              <w:rPr>
                <w:color w:val="FFFFFF"/>
                <w:spacing w:val="-4"/>
                <w:sz w:val="18"/>
              </w:rPr>
              <w:t>2029</w:t>
            </w:r>
          </w:p>
        </w:tc>
        <w:tc>
          <w:tcPr>
            <w:tcW w:w="626" w:type="dxa"/>
            <w:shd w:val="clear" w:color="auto" w:fill="808080"/>
          </w:tcPr>
          <w:p>
            <w:pPr>
              <w:pStyle w:val="TableParagraph"/>
              <w:spacing w:before="49"/>
              <w:ind w:left="21"/>
              <w:jc w:val="center"/>
              <w:rPr>
                <w:sz w:val="18"/>
              </w:rPr>
            </w:pPr>
            <w:r>
              <w:rPr>
                <w:color w:val="FFFFFF"/>
                <w:spacing w:val="-4"/>
                <w:sz w:val="18"/>
              </w:rPr>
              <w:t>2030</w:t>
            </w:r>
          </w:p>
        </w:tc>
      </w:tr>
      <w:tr>
        <w:trPr>
          <w:trHeight w:val="436" w:hRule="atLeast"/>
        </w:trPr>
        <w:tc>
          <w:tcPr>
            <w:tcW w:w="1022" w:type="dxa"/>
            <w:shd w:val="clear" w:color="auto" w:fill="44536A"/>
          </w:tcPr>
          <w:p>
            <w:pPr>
              <w:pStyle w:val="TableParagraph"/>
              <w:spacing w:before="119"/>
              <w:ind w:left="69"/>
              <w:rPr>
                <w:sz w:val="18"/>
              </w:rPr>
            </w:pPr>
            <w:r>
              <w:rPr>
                <w:color w:val="FFFFFF"/>
                <w:spacing w:val="-2"/>
                <w:sz w:val="18"/>
              </w:rPr>
              <w:t>Metas</w:t>
            </w:r>
          </w:p>
        </w:tc>
        <w:tc>
          <w:tcPr>
            <w:tcW w:w="895" w:type="dxa"/>
          </w:tcPr>
          <w:p>
            <w:pPr>
              <w:pStyle w:val="TableParagraph"/>
              <w:spacing w:before="20"/>
              <w:ind w:left="10"/>
              <w:jc w:val="center"/>
              <w:rPr>
                <w:sz w:val="16"/>
              </w:rPr>
            </w:pPr>
            <w:r>
              <w:rPr>
                <w:spacing w:val="-5"/>
                <w:sz w:val="16"/>
              </w:rPr>
              <w:t>No</w:t>
            </w:r>
          </w:p>
          <w:p>
            <w:pPr>
              <w:pStyle w:val="TableParagraph"/>
              <w:spacing w:line="178" w:lineRule="exact" w:before="34"/>
              <w:ind w:left="10"/>
              <w:jc w:val="center"/>
              <w:rPr>
                <w:sz w:val="16"/>
              </w:rPr>
            </w:pPr>
            <w:r>
              <w:rPr>
                <w:spacing w:val="-2"/>
                <w:w w:val="105"/>
                <w:sz w:val="16"/>
              </w:rPr>
              <w:t>definido</w:t>
            </w:r>
          </w:p>
        </w:tc>
        <w:tc>
          <w:tcPr>
            <w:tcW w:w="663" w:type="dxa"/>
          </w:tcPr>
          <w:p>
            <w:pPr>
              <w:pStyle w:val="TableParagraph"/>
              <w:spacing w:before="128"/>
              <w:ind w:left="10"/>
              <w:jc w:val="center"/>
              <w:rPr>
                <w:sz w:val="16"/>
              </w:rPr>
            </w:pPr>
            <w:r>
              <w:rPr>
                <w:spacing w:val="-4"/>
                <w:sz w:val="16"/>
              </w:rPr>
              <w:t>0.30</w:t>
            </w:r>
          </w:p>
        </w:tc>
        <w:tc>
          <w:tcPr>
            <w:tcW w:w="763" w:type="dxa"/>
          </w:tcPr>
          <w:p>
            <w:pPr>
              <w:pStyle w:val="TableParagraph"/>
              <w:spacing w:before="128"/>
              <w:ind w:left="12" w:right="1"/>
              <w:jc w:val="center"/>
              <w:rPr>
                <w:sz w:val="16"/>
              </w:rPr>
            </w:pPr>
            <w:r>
              <w:rPr>
                <w:spacing w:val="-4"/>
                <w:sz w:val="16"/>
              </w:rPr>
              <w:t>0.32</w:t>
            </w:r>
          </w:p>
        </w:tc>
        <w:tc>
          <w:tcPr>
            <w:tcW w:w="765" w:type="dxa"/>
          </w:tcPr>
          <w:p>
            <w:pPr>
              <w:pStyle w:val="TableParagraph"/>
              <w:spacing w:before="128"/>
              <w:ind w:left="9"/>
              <w:jc w:val="center"/>
              <w:rPr>
                <w:sz w:val="16"/>
              </w:rPr>
            </w:pPr>
            <w:r>
              <w:rPr>
                <w:spacing w:val="-4"/>
                <w:sz w:val="16"/>
              </w:rPr>
              <w:t>0.32</w:t>
            </w:r>
          </w:p>
        </w:tc>
        <w:tc>
          <w:tcPr>
            <w:tcW w:w="628" w:type="dxa"/>
          </w:tcPr>
          <w:p>
            <w:pPr>
              <w:pStyle w:val="TableParagraph"/>
              <w:spacing w:before="128"/>
              <w:ind w:left="17" w:right="9"/>
              <w:jc w:val="center"/>
              <w:rPr>
                <w:sz w:val="16"/>
              </w:rPr>
            </w:pPr>
            <w:r>
              <w:rPr>
                <w:spacing w:val="-4"/>
                <w:sz w:val="16"/>
              </w:rPr>
              <w:t>0.40</w:t>
            </w:r>
          </w:p>
        </w:tc>
        <w:tc>
          <w:tcPr>
            <w:tcW w:w="626" w:type="dxa"/>
          </w:tcPr>
          <w:p>
            <w:pPr>
              <w:pStyle w:val="TableParagraph"/>
              <w:spacing w:before="128"/>
              <w:ind w:left="21" w:right="9"/>
              <w:jc w:val="center"/>
              <w:rPr>
                <w:sz w:val="16"/>
              </w:rPr>
            </w:pPr>
            <w:r>
              <w:rPr>
                <w:spacing w:val="-4"/>
                <w:sz w:val="16"/>
              </w:rPr>
              <w:t>0.40</w:t>
            </w:r>
          </w:p>
        </w:tc>
        <w:tc>
          <w:tcPr>
            <w:tcW w:w="626" w:type="dxa"/>
          </w:tcPr>
          <w:p>
            <w:pPr>
              <w:pStyle w:val="TableParagraph"/>
              <w:spacing w:before="128"/>
              <w:ind w:left="21" w:right="7"/>
              <w:jc w:val="center"/>
              <w:rPr>
                <w:sz w:val="16"/>
              </w:rPr>
            </w:pPr>
            <w:r>
              <w:rPr>
                <w:spacing w:val="-4"/>
                <w:sz w:val="16"/>
              </w:rPr>
              <w:t>0.40</w:t>
            </w:r>
          </w:p>
        </w:tc>
        <w:tc>
          <w:tcPr>
            <w:tcW w:w="628" w:type="dxa"/>
          </w:tcPr>
          <w:p>
            <w:pPr>
              <w:pStyle w:val="TableParagraph"/>
              <w:spacing w:before="128"/>
              <w:ind w:left="17" w:right="5"/>
              <w:jc w:val="center"/>
              <w:rPr>
                <w:sz w:val="16"/>
              </w:rPr>
            </w:pPr>
            <w:r>
              <w:rPr>
                <w:spacing w:val="-4"/>
                <w:sz w:val="16"/>
              </w:rPr>
              <w:t>0.40</w:t>
            </w:r>
          </w:p>
        </w:tc>
        <w:tc>
          <w:tcPr>
            <w:tcW w:w="626" w:type="dxa"/>
          </w:tcPr>
          <w:p>
            <w:pPr>
              <w:pStyle w:val="TableParagraph"/>
              <w:spacing w:before="128"/>
              <w:ind w:left="21" w:right="10"/>
              <w:jc w:val="center"/>
              <w:rPr>
                <w:sz w:val="16"/>
              </w:rPr>
            </w:pPr>
            <w:r>
              <w:rPr>
                <w:spacing w:val="-4"/>
                <w:sz w:val="16"/>
              </w:rPr>
              <w:t>0.40</w:t>
            </w:r>
          </w:p>
        </w:tc>
        <w:tc>
          <w:tcPr>
            <w:tcW w:w="627" w:type="dxa"/>
          </w:tcPr>
          <w:p>
            <w:pPr>
              <w:pStyle w:val="TableParagraph"/>
              <w:spacing w:before="128"/>
              <w:ind w:left="20" w:right="4"/>
              <w:jc w:val="center"/>
              <w:rPr>
                <w:sz w:val="16"/>
              </w:rPr>
            </w:pPr>
            <w:r>
              <w:rPr>
                <w:spacing w:val="-4"/>
                <w:sz w:val="16"/>
              </w:rPr>
              <w:t>0.40</w:t>
            </w:r>
          </w:p>
        </w:tc>
        <w:tc>
          <w:tcPr>
            <w:tcW w:w="626" w:type="dxa"/>
          </w:tcPr>
          <w:p>
            <w:pPr>
              <w:pStyle w:val="TableParagraph"/>
              <w:spacing w:before="128"/>
              <w:ind w:left="21" w:right="4"/>
              <w:jc w:val="center"/>
              <w:rPr>
                <w:sz w:val="16"/>
              </w:rPr>
            </w:pPr>
            <w:r>
              <w:rPr>
                <w:spacing w:val="-4"/>
                <w:sz w:val="16"/>
              </w:rPr>
              <w:t>0.50</w:t>
            </w:r>
          </w:p>
        </w:tc>
      </w:tr>
      <w:tr>
        <w:trPr>
          <w:trHeight w:val="568" w:hRule="atLeast"/>
        </w:trPr>
        <w:tc>
          <w:tcPr>
            <w:tcW w:w="1022"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895" w:type="dxa"/>
            <w:shd w:val="clear" w:color="auto" w:fill="C8C8C8"/>
          </w:tcPr>
          <w:p>
            <w:pPr>
              <w:pStyle w:val="TableParagraph"/>
              <w:rPr>
                <w:rFonts w:ascii="Times New Roman"/>
                <w:sz w:val="20"/>
              </w:rPr>
            </w:pPr>
          </w:p>
        </w:tc>
        <w:tc>
          <w:tcPr>
            <w:tcW w:w="663" w:type="dxa"/>
          </w:tcPr>
          <w:p>
            <w:pPr>
              <w:pStyle w:val="TableParagraph"/>
              <w:spacing w:before="11"/>
              <w:rPr>
                <w:sz w:val="16"/>
              </w:rPr>
            </w:pPr>
          </w:p>
          <w:p>
            <w:pPr>
              <w:pStyle w:val="TableParagraph"/>
              <w:ind w:left="10"/>
              <w:jc w:val="center"/>
              <w:rPr>
                <w:sz w:val="16"/>
              </w:rPr>
            </w:pPr>
            <w:r>
              <w:rPr>
                <w:spacing w:val="-4"/>
                <w:sz w:val="16"/>
              </w:rPr>
              <w:t>0.14</w:t>
            </w:r>
          </w:p>
        </w:tc>
        <w:tc>
          <w:tcPr>
            <w:tcW w:w="763" w:type="dxa"/>
          </w:tcPr>
          <w:p>
            <w:pPr>
              <w:pStyle w:val="TableParagraph"/>
              <w:spacing w:before="11"/>
              <w:rPr>
                <w:sz w:val="16"/>
              </w:rPr>
            </w:pPr>
          </w:p>
          <w:p>
            <w:pPr>
              <w:pStyle w:val="TableParagraph"/>
              <w:ind w:left="12" w:right="1"/>
              <w:jc w:val="center"/>
              <w:rPr>
                <w:sz w:val="16"/>
              </w:rPr>
            </w:pPr>
            <w:r>
              <w:rPr>
                <w:spacing w:val="-4"/>
                <w:sz w:val="16"/>
              </w:rPr>
              <w:t>1.13</w:t>
            </w:r>
          </w:p>
        </w:tc>
        <w:tc>
          <w:tcPr>
            <w:tcW w:w="765" w:type="dxa"/>
          </w:tcPr>
          <w:p>
            <w:pPr>
              <w:pStyle w:val="TableParagraph"/>
              <w:spacing w:before="11"/>
              <w:rPr>
                <w:sz w:val="16"/>
              </w:rPr>
            </w:pPr>
          </w:p>
          <w:p>
            <w:pPr>
              <w:pStyle w:val="TableParagraph"/>
              <w:ind w:left="9"/>
              <w:jc w:val="center"/>
              <w:rPr>
                <w:sz w:val="16"/>
              </w:rPr>
            </w:pPr>
            <w:r>
              <w:rPr>
                <w:spacing w:val="-4"/>
                <w:sz w:val="16"/>
              </w:rPr>
              <w:t>1.35</w:t>
            </w:r>
          </w:p>
        </w:tc>
        <w:tc>
          <w:tcPr>
            <w:tcW w:w="628"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c>
          <w:tcPr>
            <w:tcW w:w="628"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c>
          <w:tcPr>
            <w:tcW w:w="627"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r>
      <w:tr>
        <w:trPr>
          <w:trHeight w:val="570" w:hRule="atLeast"/>
        </w:trPr>
        <w:tc>
          <w:tcPr>
            <w:tcW w:w="1022" w:type="dxa"/>
            <w:shd w:val="clear" w:color="auto" w:fill="44536A"/>
          </w:tcPr>
          <w:p>
            <w:pPr>
              <w:pStyle w:val="TableParagraph"/>
              <w:spacing w:line="240" w:lineRule="atLeast" w:before="30"/>
              <w:ind w:left="69" w:right="285"/>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895" w:type="dxa"/>
            <w:shd w:val="clear" w:color="auto" w:fill="C8C8C8"/>
          </w:tcPr>
          <w:p>
            <w:pPr>
              <w:pStyle w:val="TableParagraph"/>
              <w:rPr>
                <w:rFonts w:ascii="Times New Roman"/>
                <w:sz w:val="20"/>
              </w:rPr>
            </w:pPr>
          </w:p>
        </w:tc>
        <w:tc>
          <w:tcPr>
            <w:tcW w:w="663" w:type="dxa"/>
          </w:tcPr>
          <w:p>
            <w:pPr>
              <w:pStyle w:val="TableParagraph"/>
              <w:spacing w:before="13"/>
              <w:rPr>
                <w:sz w:val="16"/>
              </w:rPr>
            </w:pPr>
          </w:p>
          <w:p>
            <w:pPr>
              <w:pStyle w:val="TableParagraph"/>
              <w:ind w:left="10"/>
              <w:jc w:val="center"/>
              <w:rPr>
                <w:sz w:val="16"/>
              </w:rPr>
            </w:pPr>
            <w:r>
              <w:rPr>
                <w:spacing w:val="-2"/>
                <w:sz w:val="16"/>
              </w:rPr>
              <w:t>47.7%</w:t>
            </w:r>
          </w:p>
        </w:tc>
        <w:tc>
          <w:tcPr>
            <w:tcW w:w="763" w:type="dxa"/>
          </w:tcPr>
          <w:p>
            <w:pPr>
              <w:pStyle w:val="TableParagraph"/>
              <w:spacing w:before="13"/>
              <w:rPr>
                <w:sz w:val="16"/>
              </w:rPr>
            </w:pPr>
          </w:p>
          <w:p>
            <w:pPr>
              <w:pStyle w:val="TableParagraph"/>
              <w:ind w:left="12" w:right="2"/>
              <w:jc w:val="center"/>
              <w:rPr>
                <w:sz w:val="16"/>
              </w:rPr>
            </w:pPr>
            <w:r>
              <w:rPr>
                <w:spacing w:val="-2"/>
                <w:sz w:val="16"/>
              </w:rPr>
              <w:t>353.6%</w:t>
            </w:r>
          </w:p>
        </w:tc>
        <w:tc>
          <w:tcPr>
            <w:tcW w:w="765" w:type="dxa"/>
          </w:tcPr>
          <w:p>
            <w:pPr>
              <w:pStyle w:val="TableParagraph"/>
              <w:spacing w:before="13"/>
              <w:rPr>
                <w:sz w:val="16"/>
              </w:rPr>
            </w:pPr>
          </w:p>
          <w:p>
            <w:pPr>
              <w:pStyle w:val="TableParagraph"/>
              <w:ind w:left="9"/>
              <w:jc w:val="center"/>
              <w:rPr>
                <w:sz w:val="16"/>
              </w:rPr>
            </w:pPr>
            <w:r>
              <w:rPr>
                <w:spacing w:val="-2"/>
                <w:sz w:val="16"/>
              </w:rPr>
              <w:t>421.9%</w:t>
            </w:r>
          </w:p>
        </w:tc>
        <w:tc>
          <w:tcPr>
            <w:tcW w:w="628"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c>
          <w:tcPr>
            <w:tcW w:w="628"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c>
          <w:tcPr>
            <w:tcW w:w="627" w:type="dxa"/>
            <w:shd w:val="clear" w:color="auto" w:fill="C8C8C8"/>
          </w:tcPr>
          <w:p>
            <w:pPr>
              <w:pStyle w:val="TableParagraph"/>
              <w:rPr>
                <w:rFonts w:ascii="Times New Roman"/>
                <w:sz w:val="20"/>
              </w:rPr>
            </w:pPr>
          </w:p>
        </w:tc>
        <w:tc>
          <w:tcPr>
            <w:tcW w:w="626" w:type="dxa"/>
            <w:shd w:val="clear" w:color="auto" w:fill="C8C8C8"/>
          </w:tcPr>
          <w:p>
            <w:pPr>
              <w:pStyle w:val="TableParagraph"/>
              <w:rPr>
                <w:rFonts w:ascii="Times New Roman"/>
                <w:sz w:val="20"/>
              </w:rPr>
            </w:pPr>
          </w:p>
        </w:tc>
      </w:tr>
    </w:tbl>
    <w:p>
      <w:pPr>
        <w:pStyle w:val="BodyText"/>
        <w:spacing w:before="37"/>
        <w:rPr>
          <w:sz w:val="22"/>
        </w:rPr>
      </w:pPr>
    </w:p>
    <w:p>
      <w:pPr>
        <w:spacing w:line="309" w:lineRule="auto" w:before="0"/>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2"/>
        <w:rPr>
          <w:sz w:val="18"/>
        </w:rPr>
      </w:pPr>
    </w:p>
    <w:p>
      <w:pPr>
        <w:pStyle w:val="BodyText"/>
        <w:spacing w:line="307" w:lineRule="auto"/>
        <w:ind w:left="143" w:right="724"/>
      </w:pPr>
      <w:r>
        <w:rPr>
          <w:u w:val="single"/>
        </w:rPr>
        <w:t>Análisis</w:t>
      </w:r>
      <w:r>
        <w:rPr>
          <w:spacing w:val="-2"/>
          <w:u w:val="single"/>
        </w:rPr>
        <w:t> </w:t>
      </w:r>
      <w:r>
        <w:rPr>
          <w:u w:val="single"/>
        </w:rPr>
        <w:t>de</w:t>
      </w:r>
      <w:r>
        <w:rPr>
          <w:spacing w:val="-1"/>
          <w:u w:val="single"/>
        </w:rPr>
        <w:t> </w:t>
      </w:r>
      <w:r>
        <w:rPr>
          <w:u w:val="single"/>
        </w:rPr>
        <w:t>calidad:</w:t>
      </w:r>
      <w:r>
        <w:rPr/>
        <w:t> En</w:t>
      </w:r>
      <w:r>
        <w:rPr>
          <w:spacing w:val="-4"/>
        </w:rPr>
        <w:t> </w:t>
      </w:r>
      <w:r>
        <w:rPr/>
        <w:t>el año 2023 el</w:t>
      </w:r>
      <w:r>
        <w:rPr>
          <w:spacing w:val="-2"/>
        </w:rPr>
        <w:t> </w:t>
      </w:r>
      <w:r>
        <w:rPr/>
        <w:t>porcentaje</w:t>
      </w:r>
      <w:r>
        <w:rPr>
          <w:spacing w:val="-1"/>
        </w:rPr>
        <w:t> </w:t>
      </w:r>
      <w:r>
        <w:rPr/>
        <w:t>de</w:t>
      </w:r>
      <w:r>
        <w:rPr>
          <w:spacing w:val="-3"/>
        </w:rPr>
        <w:t> </w:t>
      </w:r>
      <w:r>
        <w:rPr/>
        <w:t>capacitaciones</w:t>
      </w:r>
      <w:r>
        <w:rPr>
          <w:spacing w:val="-2"/>
        </w:rPr>
        <w:t> </w:t>
      </w:r>
      <w:r>
        <w:rPr/>
        <w:t>brindadas con adecuaciones a características específicas de participantes fue de 75%, con lo cual se obtuvo un nivel de avance de 937.5% respecto a la meta programada</w:t>
      </w:r>
      <w:r>
        <w:rPr>
          <w:spacing w:val="-4"/>
        </w:rPr>
        <w:t> </w:t>
      </w:r>
      <w:r>
        <w:rPr/>
        <w:t>(8.0%)</w:t>
      </w:r>
      <w:r>
        <w:rPr>
          <w:spacing w:val="-4"/>
        </w:rPr>
        <w:t> </w:t>
      </w:r>
      <w:r>
        <w:rPr/>
        <w:t>el</w:t>
      </w:r>
      <w:r>
        <w:rPr>
          <w:spacing w:val="-5"/>
        </w:rPr>
        <w:t> </w:t>
      </w:r>
      <w:r>
        <w:rPr/>
        <w:t>cual</w:t>
      </w:r>
      <w:r>
        <w:rPr>
          <w:spacing w:val="-1"/>
        </w:rPr>
        <w:t> </w:t>
      </w:r>
      <w:r>
        <w:rPr/>
        <w:t>es</w:t>
      </w:r>
      <w:r>
        <w:rPr>
          <w:spacing w:val="-2"/>
        </w:rPr>
        <w:t> </w:t>
      </w:r>
      <w:r>
        <w:rPr/>
        <w:t>un</w:t>
      </w:r>
      <w:r>
        <w:rPr>
          <w:spacing w:val="-6"/>
        </w:rPr>
        <w:t> </w:t>
      </w:r>
      <w:r>
        <w:rPr/>
        <w:t>indicativo</w:t>
      </w:r>
      <w:r>
        <w:rPr>
          <w:spacing w:val="-2"/>
        </w:rPr>
        <w:t> </w:t>
      </w:r>
      <w:r>
        <w:rPr/>
        <w:t>de</w:t>
      </w:r>
      <w:r>
        <w:rPr>
          <w:spacing w:val="-4"/>
        </w:rPr>
        <w:t> </w:t>
      </w:r>
      <w:r>
        <w:rPr/>
        <w:t>una</w:t>
      </w:r>
      <w:r>
        <w:rPr>
          <w:spacing w:val="-4"/>
        </w:rPr>
        <w:t> </w:t>
      </w:r>
      <w:r>
        <w:rPr/>
        <w:t>posible</w:t>
      </w:r>
      <w:r>
        <w:rPr>
          <w:spacing w:val="-4"/>
        </w:rPr>
        <w:t> </w:t>
      </w:r>
      <w:r>
        <w:rPr/>
        <w:t>falla</w:t>
      </w:r>
      <w:r>
        <w:rPr>
          <w:spacing w:val="-4"/>
        </w:rPr>
        <w:t> </w:t>
      </w:r>
      <w:r>
        <w:rPr/>
        <w:t>de</w:t>
      </w:r>
      <w:r>
        <w:rPr>
          <w:spacing w:val="-6"/>
        </w:rPr>
        <w:t> </w:t>
      </w:r>
      <w:r>
        <w:rPr/>
        <w:t>planeación.</w:t>
      </w:r>
    </w:p>
    <w:p>
      <w:pPr>
        <w:pStyle w:val="BodyText"/>
        <w:spacing w:before="73"/>
      </w:pPr>
    </w:p>
    <w:p>
      <w:pPr>
        <w:spacing w:before="0"/>
        <w:ind w:left="1376" w:right="0" w:firstLine="0"/>
        <w:jc w:val="both"/>
        <w:rPr>
          <w:sz w:val="22"/>
        </w:rPr>
      </w:pPr>
      <w:r>
        <w:rPr>
          <w:color w:val="44536A"/>
          <w:sz w:val="22"/>
        </w:rPr>
        <w:t>Tabla</w:t>
      </w:r>
      <w:r>
        <w:rPr>
          <w:color w:val="44536A"/>
          <w:spacing w:val="-8"/>
          <w:sz w:val="22"/>
        </w:rPr>
        <w:t> </w:t>
      </w:r>
      <w:r>
        <w:rPr>
          <w:color w:val="44536A"/>
          <w:sz w:val="22"/>
        </w:rPr>
        <w:t>7.</w:t>
      </w:r>
      <w:r>
        <w:rPr>
          <w:color w:val="44536A"/>
          <w:spacing w:val="-8"/>
          <w:sz w:val="22"/>
        </w:rPr>
        <w:t> </w:t>
      </w:r>
      <w:r>
        <w:rPr>
          <w:color w:val="44536A"/>
          <w:sz w:val="22"/>
        </w:rPr>
        <w:t>Análisis</w:t>
      </w:r>
      <w:r>
        <w:rPr>
          <w:color w:val="44536A"/>
          <w:spacing w:val="-8"/>
          <w:sz w:val="22"/>
        </w:rPr>
        <w:t> </w:t>
      </w:r>
      <w:r>
        <w:rPr>
          <w:color w:val="44536A"/>
          <w:sz w:val="22"/>
        </w:rPr>
        <w:t>del</w:t>
      </w:r>
      <w:r>
        <w:rPr>
          <w:color w:val="44536A"/>
          <w:spacing w:val="-10"/>
          <w:sz w:val="22"/>
        </w:rPr>
        <w:t> </w:t>
      </w:r>
      <w:r>
        <w:rPr>
          <w:color w:val="44536A"/>
          <w:sz w:val="22"/>
        </w:rPr>
        <w:t>indicador</w:t>
      </w:r>
      <w:r>
        <w:rPr>
          <w:color w:val="44536A"/>
          <w:spacing w:val="-10"/>
          <w:sz w:val="22"/>
        </w:rPr>
        <w:t> </w:t>
      </w:r>
      <w:r>
        <w:rPr>
          <w:color w:val="44536A"/>
          <w:sz w:val="22"/>
        </w:rPr>
        <w:t>de</w:t>
      </w:r>
      <w:r>
        <w:rPr>
          <w:color w:val="44536A"/>
          <w:spacing w:val="-7"/>
          <w:sz w:val="22"/>
        </w:rPr>
        <w:t> </w:t>
      </w:r>
      <w:r>
        <w:rPr>
          <w:color w:val="44536A"/>
          <w:sz w:val="22"/>
        </w:rPr>
        <w:t>calidad</w:t>
      </w:r>
      <w:r>
        <w:rPr>
          <w:color w:val="44536A"/>
          <w:spacing w:val="-5"/>
          <w:sz w:val="22"/>
        </w:rPr>
        <w:t> </w:t>
      </w:r>
      <w:r>
        <w:rPr>
          <w:color w:val="44536A"/>
          <w:sz w:val="22"/>
        </w:rPr>
        <w:t>del</w:t>
      </w:r>
      <w:r>
        <w:rPr>
          <w:color w:val="44536A"/>
          <w:spacing w:val="-10"/>
          <w:sz w:val="22"/>
        </w:rPr>
        <w:t> </w:t>
      </w:r>
      <w:r>
        <w:rPr>
          <w:color w:val="44536A"/>
          <w:sz w:val="22"/>
        </w:rPr>
        <w:t>servicio</w:t>
      </w:r>
      <w:r>
        <w:rPr>
          <w:color w:val="44536A"/>
          <w:spacing w:val="-9"/>
          <w:sz w:val="22"/>
        </w:rPr>
        <w:t> </w:t>
      </w:r>
      <w:r>
        <w:rPr>
          <w:color w:val="44536A"/>
          <w:spacing w:val="-2"/>
          <w:sz w:val="22"/>
        </w:rPr>
        <w:t>03.01.02</w:t>
      </w:r>
    </w:p>
    <w:p>
      <w:pPr>
        <w:pStyle w:val="BodyText"/>
        <w:spacing w:before="10"/>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6"/>
        <w:gridCol w:w="7495"/>
      </w:tblGrid>
      <w:tr>
        <w:trPr>
          <w:trHeight w:val="299" w:hRule="atLeast"/>
        </w:trPr>
        <w:tc>
          <w:tcPr>
            <w:tcW w:w="1006" w:type="dxa"/>
            <w:shd w:val="clear" w:color="auto" w:fill="44536A"/>
          </w:tcPr>
          <w:p>
            <w:pPr>
              <w:pStyle w:val="TableParagraph"/>
              <w:spacing w:before="61"/>
              <w:ind w:left="10" w:right="4"/>
              <w:jc w:val="center"/>
              <w:rPr>
                <w:sz w:val="16"/>
              </w:rPr>
            </w:pPr>
            <w:r>
              <w:rPr>
                <w:color w:val="FFFFFF"/>
                <w:spacing w:val="-5"/>
                <w:sz w:val="16"/>
              </w:rPr>
              <w:t>OP</w:t>
            </w:r>
          </w:p>
        </w:tc>
        <w:tc>
          <w:tcPr>
            <w:tcW w:w="7495" w:type="dxa"/>
          </w:tcPr>
          <w:p>
            <w:pPr>
              <w:pStyle w:val="TableParagraph"/>
              <w:spacing w:before="61"/>
              <w:ind w:left="68"/>
              <w:rPr>
                <w:sz w:val="16"/>
              </w:rPr>
            </w:pPr>
            <w:r>
              <w:rPr>
                <w:sz w:val="16"/>
              </w:rPr>
              <w:t>OP.03</w:t>
            </w:r>
            <w:r>
              <w:rPr>
                <w:spacing w:val="-6"/>
                <w:sz w:val="16"/>
              </w:rPr>
              <w:t> </w:t>
            </w:r>
            <w:r>
              <w:rPr>
                <w:sz w:val="16"/>
              </w:rPr>
              <w:t>Garantizar</w:t>
            </w:r>
            <w:r>
              <w:rPr>
                <w:spacing w:val="-4"/>
                <w:sz w:val="16"/>
              </w:rPr>
              <w:t> </w:t>
            </w:r>
            <w:r>
              <w:rPr>
                <w:sz w:val="16"/>
              </w:rPr>
              <w:t>el</w:t>
            </w:r>
            <w:r>
              <w:rPr>
                <w:spacing w:val="-7"/>
                <w:sz w:val="16"/>
              </w:rPr>
              <w:t> </w:t>
            </w:r>
            <w:r>
              <w:rPr>
                <w:sz w:val="16"/>
              </w:rPr>
              <w:t>acceso</w:t>
            </w:r>
            <w:r>
              <w:rPr>
                <w:spacing w:val="-6"/>
                <w:sz w:val="16"/>
              </w:rPr>
              <w:t> </w:t>
            </w:r>
            <w:r>
              <w:rPr>
                <w:sz w:val="16"/>
              </w:rPr>
              <w:t>y</w:t>
            </w:r>
            <w:r>
              <w:rPr>
                <w:spacing w:val="-4"/>
                <w:sz w:val="16"/>
              </w:rPr>
              <w:t> </w:t>
            </w:r>
            <w:r>
              <w:rPr>
                <w:sz w:val="16"/>
              </w:rPr>
              <w:t>participación</w:t>
            </w:r>
            <w:r>
              <w:rPr>
                <w:spacing w:val="-3"/>
                <w:sz w:val="16"/>
              </w:rPr>
              <w:t> </w:t>
            </w:r>
            <w:r>
              <w:rPr>
                <w:sz w:val="16"/>
              </w:rPr>
              <w:t>de</w:t>
            </w:r>
            <w:r>
              <w:rPr>
                <w:spacing w:val="-5"/>
                <w:sz w:val="16"/>
              </w:rPr>
              <w:t> </w:t>
            </w:r>
            <w:r>
              <w:rPr>
                <w:sz w:val="16"/>
              </w:rPr>
              <w:t>las</w:t>
            </w:r>
            <w:r>
              <w:rPr>
                <w:spacing w:val="-5"/>
                <w:sz w:val="16"/>
              </w:rPr>
              <w:t> </w:t>
            </w:r>
            <w:r>
              <w:rPr>
                <w:sz w:val="16"/>
              </w:rPr>
              <w:t>mujeres</w:t>
            </w:r>
            <w:r>
              <w:rPr>
                <w:spacing w:val="-4"/>
                <w:sz w:val="16"/>
              </w:rPr>
              <w:t> </w:t>
            </w:r>
            <w:r>
              <w:rPr>
                <w:sz w:val="16"/>
              </w:rPr>
              <w:t>en</w:t>
            </w:r>
            <w:r>
              <w:rPr>
                <w:spacing w:val="-3"/>
                <w:sz w:val="16"/>
              </w:rPr>
              <w:t> </w:t>
            </w:r>
            <w:r>
              <w:rPr>
                <w:sz w:val="16"/>
              </w:rPr>
              <w:t>espacios</w:t>
            </w:r>
            <w:r>
              <w:rPr>
                <w:spacing w:val="-6"/>
                <w:sz w:val="16"/>
              </w:rPr>
              <w:t> </w:t>
            </w:r>
            <w:r>
              <w:rPr>
                <w:sz w:val="16"/>
              </w:rPr>
              <w:t>de</w:t>
            </w:r>
            <w:r>
              <w:rPr>
                <w:spacing w:val="-3"/>
                <w:sz w:val="16"/>
              </w:rPr>
              <w:t> </w:t>
            </w:r>
            <w:r>
              <w:rPr>
                <w:sz w:val="16"/>
              </w:rPr>
              <w:t>toma</w:t>
            </w:r>
            <w:r>
              <w:rPr>
                <w:spacing w:val="-3"/>
                <w:sz w:val="16"/>
              </w:rPr>
              <w:t> </w:t>
            </w:r>
            <w:r>
              <w:rPr>
                <w:sz w:val="16"/>
              </w:rPr>
              <w:t>de</w:t>
            </w:r>
            <w:r>
              <w:rPr>
                <w:spacing w:val="-4"/>
                <w:sz w:val="16"/>
              </w:rPr>
              <w:t> </w:t>
            </w:r>
            <w:r>
              <w:rPr>
                <w:spacing w:val="-2"/>
                <w:sz w:val="16"/>
              </w:rPr>
              <w:t>decisión</w:t>
            </w:r>
          </w:p>
        </w:tc>
      </w:tr>
      <w:tr>
        <w:trPr>
          <w:trHeight w:val="491" w:hRule="atLeast"/>
        </w:trPr>
        <w:tc>
          <w:tcPr>
            <w:tcW w:w="1006" w:type="dxa"/>
            <w:shd w:val="clear" w:color="auto" w:fill="44536A"/>
          </w:tcPr>
          <w:p>
            <w:pPr>
              <w:pStyle w:val="TableParagraph"/>
              <w:spacing w:before="147"/>
              <w:ind w:left="10"/>
              <w:jc w:val="center"/>
              <w:rPr>
                <w:sz w:val="18"/>
              </w:rPr>
            </w:pPr>
            <w:r>
              <w:rPr>
                <w:color w:val="FFFFFF"/>
                <w:spacing w:val="-2"/>
                <w:sz w:val="18"/>
              </w:rPr>
              <w:t>Servicio</w:t>
            </w:r>
          </w:p>
        </w:tc>
        <w:tc>
          <w:tcPr>
            <w:tcW w:w="7495" w:type="dxa"/>
          </w:tcPr>
          <w:p>
            <w:pPr>
              <w:pStyle w:val="TableParagraph"/>
              <w:spacing w:before="23"/>
              <w:ind w:left="68"/>
              <w:rPr>
                <w:sz w:val="18"/>
              </w:rPr>
            </w:pPr>
            <w:r>
              <w:rPr>
                <w:sz w:val="18"/>
              </w:rPr>
              <w:t>Formación</w:t>
            </w:r>
            <w:r>
              <w:rPr>
                <w:spacing w:val="-10"/>
                <w:sz w:val="18"/>
              </w:rPr>
              <w:t> </w:t>
            </w:r>
            <w:r>
              <w:rPr>
                <w:sz w:val="18"/>
              </w:rPr>
              <w:t>y</w:t>
            </w:r>
            <w:r>
              <w:rPr>
                <w:spacing w:val="-11"/>
                <w:sz w:val="18"/>
              </w:rPr>
              <w:t> </w:t>
            </w:r>
            <w:r>
              <w:rPr>
                <w:sz w:val="18"/>
              </w:rPr>
              <w:t>asistencia</w:t>
            </w:r>
            <w:r>
              <w:rPr>
                <w:spacing w:val="-10"/>
                <w:sz w:val="18"/>
              </w:rPr>
              <w:t> </w:t>
            </w:r>
            <w:r>
              <w:rPr>
                <w:sz w:val="18"/>
              </w:rPr>
              <w:t>técnica</w:t>
            </w:r>
            <w:r>
              <w:rPr>
                <w:spacing w:val="-10"/>
                <w:sz w:val="18"/>
              </w:rPr>
              <w:t> </w:t>
            </w:r>
            <w:r>
              <w:rPr>
                <w:sz w:val="18"/>
              </w:rPr>
              <w:t>a</w:t>
            </w:r>
            <w:r>
              <w:rPr>
                <w:spacing w:val="-10"/>
                <w:sz w:val="18"/>
              </w:rPr>
              <w:t> </w:t>
            </w:r>
            <w:r>
              <w:rPr>
                <w:sz w:val="18"/>
              </w:rPr>
              <w:t>organizaciones</w:t>
            </w:r>
            <w:r>
              <w:rPr>
                <w:spacing w:val="-10"/>
                <w:sz w:val="18"/>
              </w:rPr>
              <w:t> </w:t>
            </w:r>
            <w:r>
              <w:rPr>
                <w:sz w:val="18"/>
              </w:rPr>
              <w:t>sociales</w:t>
            </w:r>
            <w:r>
              <w:rPr>
                <w:spacing w:val="-11"/>
                <w:sz w:val="18"/>
              </w:rPr>
              <w:t> </w:t>
            </w:r>
            <w:r>
              <w:rPr>
                <w:sz w:val="18"/>
              </w:rPr>
              <w:t>y</w:t>
            </w:r>
            <w:r>
              <w:rPr>
                <w:spacing w:val="-11"/>
                <w:sz w:val="18"/>
              </w:rPr>
              <w:t> </w:t>
            </w:r>
            <w:r>
              <w:rPr>
                <w:sz w:val="18"/>
              </w:rPr>
              <w:t>políticas</w:t>
            </w:r>
            <w:r>
              <w:rPr>
                <w:spacing w:val="-12"/>
                <w:sz w:val="18"/>
              </w:rPr>
              <w:t> </w:t>
            </w:r>
            <w:r>
              <w:rPr>
                <w:sz w:val="18"/>
              </w:rPr>
              <w:t>para</w:t>
            </w:r>
            <w:r>
              <w:rPr>
                <w:spacing w:val="-9"/>
                <w:sz w:val="18"/>
              </w:rPr>
              <w:t> </w:t>
            </w:r>
            <w:r>
              <w:rPr>
                <w:sz w:val="18"/>
              </w:rPr>
              <w:t>el</w:t>
            </w:r>
            <w:r>
              <w:rPr>
                <w:spacing w:val="-12"/>
                <w:sz w:val="18"/>
              </w:rPr>
              <w:t> </w:t>
            </w:r>
            <w:r>
              <w:rPr>
                <w:spacing w:val="-2"/>
                <w:sz w:val="18"/>
              </w:rPr>
              <w:t>fortalecimiento</w:t>
            </w:r>
          </w:p>
          <w:p>
            <w:pPr>
              <w:pStyle w:val="TableParagraph"/>
              <w:spacing w:line="201" w:lineRule="exact" w:before="40"/>
              <w:ind w:left="68"/>
              <w:rPr>
                <w:sz w:val="18"/>
              </w:rPr>
            </w:pPr>
            <w:r>
              <w:rPr>
                <w:sz w:val="18"/>
              </w:rPr>
              <w:t>de</w:t>
            </w:r>
            <w:r>
              <w:rPr>
                <w:spacing w:val="-3"/>
                <w:sz w:val="18"/>
              </w:rPr>
              <w:t> </w:t>
            </w:r>
            <w:r>
              <w:rPr>
                <w:sz w:val="18"/>
              </w:rPr>
              <w:t>la</w:t>
            </w:r>
            <w:r>
              <w:rPr>
                <w:spacing w:val="-4"/>
                <w:sz w:val="18"/>
              </w:rPr>
              <w:t> </w:t>
            </w:r>
            <w:r>
              <w:rPr>
                <w:sz w:val="18"/>
              </w:rPr>
              <w:t>participación</w:t>
            </w:r>
            <w:r>
              <w:rPr>
                <w:spacing w:val="-4"/>
                <w:sz w:val="18"/>
              </w:rPr>
              <w:t> </w:t>
            </w:r>
            <w:r>
              <w:rPr>
                <w:sz w:val="18"/>
              </w:rPr>
              <w:t>política</w:t>
            </w:r>
            <w:r>
              <w:rPr>
                <w:spacing w:val="-5"/>
                <w:sz w:val="18"/>
              </w:rPr>
              <w:t> </w:t>
            </w:r>
            <w:r>
              <w:rPr>
                <w:sz w:val="18"/>
              </w:rPr>
              <w:t>de</w:t>
            </w:r>
            <w:r>
              <w:rPr>
                <w:spacing w:val="-2"/>
                <w:sz w:val="18"/>
              </w:rPr>
              <w:t> </w:t>
            </w:r>
            <w:r>
              <w:rPr>
                <w:sz w:val="18"/>
              </w:rPr>
              <w:t>las</w:t>
            </w:r>
            <w:r>
              <w:rPr>
                <w:spacing w:val="-3"/>
                <w:sz w:val="18"/>
              </w:rPr>
              <w:t> </w:t>
            </w:r>
            <w:r>
              <w:rPr>
                <w:sz w:val="18"/>
              </w:rPr>
              <w:t>mujeres,</w:t>
            </w:r>
            <w:r>
              <w:rPr>
                <w:spacing w:val="-2"/>
                <w:sz w:val="18"/>
              </w:rPr>
              <w:t> </w:t>
            </w:r>
            <w:r>
              <w:rPr>
                <w:sz w:val="18"/>
              </w:rPr>
              <w:t>sin</w:t>
            </w:r>
            <w:r>
              <w:rPr>
                <w:spacing w:val="-3"/>
                <w:sz w:val="18"/>
              </w:rPr>
              <w:t> </w:t>
            </w:r>
            <w:r>
              <w:rPr>
                <w:sz w:val="18"/>
              </w:rPr>
              <w:t>discriminación</w:t>
            </w:r>
            <w:r>
              <w:rPr>
                <w:spacing w:val="-2"/>
                <w:sz w:val="18"/>
              </w:rPr>
              <w:t> </w:t>
            </w:r>
            <w:r>
              <w:rPr>
                <w:sz w:val="18"/>
              </w:rPr>
              <w:t>y</w:t>
            </w:r>
            <w:r>
              <w:rPr>
                <w:spacing w:val="-4"/>
                <w:sz w:val="18"/>
              </w:rPr>
              <w:t> </w:t>
            </w:r>
            <w:r>
              <w:rPr>
                <w:sz w:val="18"/>
              </w:rPr>
              <w:t>sin</w:t>
            </w:r>
            <w:r>
              <w:rPr>
                <w:spacing w:val="-2"/>
                <w:sz w:val="18"/>
              </w:rPr>
              <w:t> </w:t>
            </w:r>
            <w:r>
              <w:rPr>
                <w:sz w:val="18"/>
              </w:rPr>
              <w:t>acoso</w:t>
            </w:r>
            <w:r>
              <w:rPr>
                <w:spacing w:val="-5"/>
                <w:sz w:val="18"/>
              </w:rPr>
              <w:t> </w:t>
            </w:r>
            <w:r>
              <w:rPr>
                <w:spacing w:val="-2"/>
                <w:sz w:val="18"/>
              </w:rPr>
              <w:t>político.</w:t>
            </w:r>
          </w:p>
        </w:tc>
      </w:tr>
    </w:tbl>
    <w:p>
      <w:pPr>
        <w:pStyle w:val="TableParagraph"/>
        <w:spacing w:after="0" w:line="201" w:lineRule="exact"/>
        <w:rPr>
          <w:sz w:val="18"/>
        </w:rPr>
        <w:sectPr>
          <w:pgSz w:w="11910" w:h="16840"/>
          <w:pgMar w:header="713" w:footer="1000" w:top="1420" w:bottom="1200" w:left="1559" w:right="992"/>
        </w:sectPr>
      </w:pPr>
    </w:p>
    <w:p>
      <w:pPr>
        <w:pStyle w:val="BodyText"/>
        <w:spacing w:before="10" w:after="1"/>
        <w:rPr>
          <w:sz w:val="7"/>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6"/>
        <w:gridCol w:w="848"/>
        <w:gridCol w:w="738"/>
        <w:gridCol w:w="740"/>
        <w:gridCol w:w="738"/>
        <w:gridCol w:w="606"/>
        <w:gridCol w:w="640"/>
        <w:gridCol w:w="640"/>
        <w:gridCol w:w="640"/>
        <w:gridCol w:w="640"/>
        <w:gridCol w:w="638"/>
        <w:gridCol w:w="640"/>
      </w:tblGrid>
      <w:tr>
        <w:trPr>
          <w:trHeight w:val="489" w:hRule="atLeast"/>
        </w:trPr>
        <w:tc>
          <w:tcPr>
            <w:tcW w:w="1006" w:type="dxa"/>
            <w:tcBorders>
              <w:top w:val="nil"/>
            </w:tcBorders>
            <w:shd w:val="clear" w:color="auto" w:fill="44536A"/>
          </w:tcPr>
          <w:p>
            <w:pPr>
              <w:pStyle w:val="TableParagraph"/>
              <w:spacing w:before="145"/>
              <w:ind w:left="119"/>
              <w:rPr>
                <w:sz w:val="18"/>
              </w:rPr>
            </w:pPr>
            <w:r>
              <w:rPr>
                <w:color w:val="FFFFFF"/>
                <w:spacing w:val="-2"/>
                <w:w w:val="105"/>
                <w:sz w:val="18"/>
              </w:rPr>
              <w:t>Indicador</w:t>
            </w:r>
          </w:p>
        </w:tc>
        <w:tc>
          <w:tcPr>
            <w:tcW w:w="7508" w:type="dxa"/>
            <w:gridSpan w:val="11"/>
          </w:tcPr>
          <w:p>
            <w:pPr>
              <w:pStyle w:val="TableParagraph"/>
              <w:spacing w:before="23"/>
              <w:ind w:left="68"/>
              <w:rPr>
                <w:sz w:val="18"/>
              </w:rPr>
            </w:pPr>
            <w:r>
              <w:rPr>
                <w:sz w:val="18"/>
              </w:rPr>
              <w:t>Porcentaje</w:t>
            </w:r>
            <w:r>
              <w:rPr>
                <w:spacing w:val="-11"/>
                <w:sz w:val="18"/>
              </w:rPr>
              <w:t> </w:t>
            </w:r>
            <w:r>
              <w:rPr>
                <w:sz w:val="18"/>
              </w:rPr>
              <w:t>de</w:t>
            </w:r>
            <w:r>
              <w:rPr>
                <w:spacing w:val="-12"/>
                <w:sz w:val="18"/>
              </w:rPr>
              <w:t> </w:t>
            </w:r>
            <w:r>
              <w:rPr>
                <w:sz w:val="18"/>
              </w:rPr>
              <w:t>capacitaciones</w:t>
            </w:r>
            <w:r>
              <w:rPr>
                <w:spacing w:val="-12"/>
                <w:sz w:val="18"/>
              </w:rPr>
              <w:t> </w:t>
            </w:r>
            <w:r>
              <w:rPr>
                <w:sz w:val="18"/>
              </w:rPr>
              <w:t>brindadas</w:t>
            </w:r>
            <w:r>
              <w:rPr>
                <w:spacing w:val="-12"/>
                <w:sz w:val="18"/>
              </w:rPr>
              <w:t> </w:t>
            </w:r>
            <w:r>
              <w:rPr>
                <w:sz w:val="18"/>
              </w:rPr>
              <w:t>con</w:t>
            </w:r>
            <w:r>
              <w:rPr>
                <w:spacing w:val="-9"/>
                <w:sz w:val="18"/>
              </w:rPr>
              <w:t> </w:t>
            </w:r>
            <w:r>
              <w:rPr>
                <w:sz w:val="18"/>
              </w:rPr>
              <w:t>adecuaciones</w:t>
            </w:r>
            <w:r>
              <w:rPr>
                <w:spacing w:val="-10"/>
                <w:sz w:val="18"/>
              </w:rPr>
              <w:t> </w:t>
            </w:r>
            <w:r>
              <w:rPr>
                <w:sz w:val="18"/>
              </w:rPr>
              <w:t>a</w:t>
            </w:r>
            <w:r>
              <w:rPr>
                <w:spacing w:val="-11"/>
                <w:sz w:val="18"/>
              </w:rPr>
              <w:t> </w:t>
            </w:r>
            <w:r>
              <w:rPr>
                <w:sz w:val="18"/>
              </w:rPr>
              <w:t>características</w:t>
            </w:r>
            <w:r>
              <w:rPr>
                <w:spacing w:val="-10"/>
                <w:sz w:val="18"/>
              </w:rPr>
              <w:t> </w:t>
            </w:r>
            <w:r>
              <w:rPr>
                <w:sz w:val="18"/>
              </w:rPr>
              <w:t>específicas</w:t>
            </w:r>
            <w:r>
              <w:rPr>
                <w:spacing w:val="-12"/>
                <w:sz w:val="18"/>
              </w:rPr>
              <w:t> </w:t>
            </w:r>
            <w:r>
              <w:rPr>
                <w:spacing w:val="-5"/>
                <w:sz w:val="18"/>
              </w:rPr>
              <w:t>de</w:t>
            </w:r>
          </w:p>
          <w:p>
            <w:pPr>
              <w:pStyle w:val="TableParagraph"/>
              <w:spacing w:line="201" w:lineRule="exact" w:before="38"/>
              <w:ind w:left="68"/>
              <w:rPr>
                <w:sz w:val="18"/>
              </w:rPr>
            </w:pPr>
            <w:r>
              <w:rPr>
                <w:spacing w:val="-2"/>
                <w:sz w:val="18"/>
              </w:rPr>
              <w:t>participantes.</w:t>
            </w:r>
          </w:p>
        </w:tc>
      </w:tr>
      <w:tr>
        <w:trPr>
          <w:trHeight w:val="299" w:hRule="atLeast"/>
        </w:trPr>
        <w:tc>
          <w:tcPr>
            <w:tcW w:w="1006" w:type="dxa"/>
            <w:shd w:val="clear" w:color="auto" w:fill="808080"/>
          </w:tcPr>
          <w:p>
            <w:pPr>
              <w:pStyle w:val="TableParagraph"/>
              <w:spacing w:before="51"/>
              <w:ind w:left="10" w:right="1"/>
              <w:jc w:val="center"/>
              <w:rPr>
                <w:sz w:val="18"/>
              </w:rPr>
            </w:pPr>
            <w:r>
              <w:rPr>
                <w:color w:val="FFFFFF"/>
                <w:spacing w:val="-5"/>
                <w:sz w:val="18"/>
              </w:rPr>
              <w:t>Año</w:t>
            </w:r>
          </w:p>
        </w:tc>
        <w:tc>
          <w:tcPr>
            <w:tcW w:w="848" w:type="dxa"/>
            <w:shd w:val="clear" w:color="auto" w:fill="808080"/>
          </w:tcPr>
          <w:p>
            <w:pPr>
              <w:pStyle w:val="TableParagraph"/>
              <w:spacing w:before="51"/>
              <w:ind w:left="88"/>
              <w:rPr>
                <w:sz w:val="18"/>
              </w:rPr>
            </w:pPr>
            <w:r>
              <w:rPr>
                <w:color w:val="FFFFFF"/>
                <w:sz w:val="18"/>
              </w:rPr>
              <w:t>Valor</w:t>
            </w:r>
            <w:r>
              <w:rPr>
                <w:color w:val="FFFFFF"/>
                <w:spacing w:val="-12"/>
                <w:sz w:val="18"/>
              </w:rPr>
              <w:t> </w:t>
            </w:r>
            <w:r>
              <w:rPr>
                <w:color w:val="FFFFFF"/>
                <w:spacing w:val="-5"/>
                <w:sz w:val="18"/>
              </w:rPr>
              <w:t>LB</w:t>
            </w:r>
          </w:p>
        </w:tc>
        <w:tc>
          <w:tcPr>
            <w:tcW w:w="738" w:type="dxa"/>
            <w:shd w:val="clear" w:color="auto" w:fill="808080"/>
          </w:tcPr>
          <w:p>
            <w:pPr>
              <w:pStyle w:val="TableParagraph"/>
              <w:spacing w:before="51"/>
              <w:ind w:left="8"/>
              <w:jc w:val="center"/>
              <w:rPr>
                <w:sz w:val="18"/>
              </w:rPr>
            </w:pPr>
            <w:r>
              <w:rPr>
                <w:color w:val="FFFFFF"/>
                <w:spacing w:val="-4"/>
                <w:sz w:val="18"/>
              </w:rPr>
              <w:t>2021</w:t>
            </w:r>
          </w:p>
        </w:tc>
        <w:tc>
          <w:tcPr>
            <w:tcW w:w="740" w:type="dxa"/>
            <w:shd w:val="clear" w:color="auto" w:fill="808080"/>
          </w:tcPr>
          <w:p>
            <w:pPr>
              <w:pStyle w:val="TableParagraph"/>
              <w:spacing w:before="51"/>
              <w:ind w:left="7" w:right="2"/>
              <w:jc w:val="center"/>
              <w:rPr>
                <w:sz w:val="18"/>
              </w:rPr>
            </w:pPr>
            <w:r>
              <w:rPr>
                <w:color w:val="FFFFFF"/>
                <w:spacing w:val="-4"/>
                <w:sz w:val="18"/>
              </w:rPr>
              <w:t>2022</w:t>
            </w:r>
          </w:p>
        </w:tc>
        <w:tc>
          <w:tcPr>
            <w:tcW w:w="738" w:type="dxa"/>
            <w:shd w:val="clear" w:color="auto" w:fill="808080"/>
          </w:tcPr>
          <w:p>
            <w:pPr>
              <w:pStyle w:val="TableParagraph"/>
              <w:spacing w:before="51"/>
              <w:ind w:left="8" w:right="3"/>
              <w:jc w:val="center"/>
              <w:rPr>
                <w:sz w:val="18"/>
              </w:rPr>
            </w:pPr>
            <w:r>
              <w:rPr>
                <w:color w:val="FFFFFF"/>
                <w:spacing w:val="-4"/>
                <w:sz w:val="18"/>
              </w:rPr>
              <w:t>2023</w:t>
            </w:r>
          </w:p>
        </w:tc>
        <w:tc>
          <w:tcPr>
            <w:tcW w:w="606" w:type="dxa"/>
            <w:shd w:val="clear" w:color="auto" w:fill="808080"/>
          </w:tcPr>
          <w:p>
            <w:pPr>
              <w:pStyle w:val="TableParagraph"/>
              <w:spacing w:before="51"/>
              <w:jc w:val="center"/>
              <w:rPr>
                <w:sz w:val="18"/>
              </w:rPr>
            </w:pPr>
            <w:r>
              <w:rPr>
                <w:color w:val="FFFFFF"/>
                <w:spacing w:val="-4"/>
                <w:sz w:val="18"/>
              </w:rPr>
              <w:t>2024</w:t>
            </w:r>
          </w:p>
        </w:tc>
        <w:tc>
          <w:tcPr>
            <w:tcW w:w="640" w:type="dxa"/>
            <w:shd w:val="clear" w:color="auto" w:fill="808080"/>
          </w:tcPr>
          <w:p>
            <w:pPr>
              <w:pStyle w:val="TableParagraph"/>
              <w:spacing w:before="51"/>
              <w:ind w:left="27" w:right="27"/>
              <w:jc w:val="center"/>
              <w:rPr>
                <w:sz w:val="18"/>
              </w:rPr>
            </w:pPr>
            <w:r>
              <w:rPr>
                <w:color w:val="FFFFFF"/>
                <w:spacing w:val="-4"/>
                <w:sz w:val="18"/>
              </w:rPr>
              <w:t>2025</w:t>
            </w:r>
          </w:p>
        </w:tc>
        <w:tc>
          <w:tcPr>
            <w:tcW w:w="640" w:type="dxa"/>
            <w:shd w:val="clear" w:color="auto" w:fill="808080"/>
          </w:tcPr>
          <w:p>
            <w:pPr>
              <w:pStyle w:val="TableParagraph"/>
              <w:spacing w:before="51"/>
              <w:ind w:left="27" w:right="29"/>
              <w:jc w:val="center"/>
              <w:rPr>
                <w:sz w:val="18"/>
              </w:rPr>
            </w:pPr>
            <w:r>
              <w:rPr>
                <w:color w:val="FFFFFF"/>
                <w:spacing w:val="-4"/>
                <w:sz w:val="18"/>
              </w:rPr>
              <w:t>2026</w:t>
            </w:r>
          </w:p>
        </w:tc>
        <w:tc>
          <w:tcPr>
            <w:tcW w:w="640" w:type="dxa"/>
            <w:shd w:val="clear" w:color="auto" w:fill="808080"/>
          </w:tcPr>
          <w:p>
            <w:pPr>
              <w:pStyle w:val="TableParagraph"/>
              <w:spacing w:before="51"/>
              <w:ind w:left="27" w:right="32"/>
              <w:jc w:val="center"/>
              <w:rPr>
                <w:sz w:val="18"/>
              </w:rPr>
            </w:pPr>
            <w:r>
              <w:rPr>
                <w:color w:val="FFFFFF"/>
                <w:spacing w:val="-4"/>
                <w:sz w:val="18"/>
              </w:rPr>
              <w:t>2027</w:t>
            </w:r>
          </w:p>
        </w:tc>
        <w:tc>
          <w:tcPr>
            <w:tcW w:w="640" w:type="dxa"/>
            <w:shd w:val="clear" w:color="auto" w:fill="808080"/>
          </w:tcPr>
          <w:p>
            <w:pPr>
              <w:pStyle w:val="TableParagraph"/>
              <w:spacing w:before="51"/>
              <w:ind w:left="27" w:right="35"/>
              <w:jc w:val="center"/>
              <w:rPr>
                <w:sz w:val="18"/>
              </w:rPr>
            </w:pPr>
            <w:r>
              <w:rPr>
                <w:color w:val="FFFFFF"/>
                <w:spacing w:val="-4"/>
                <w:sz w:val="18"/>
              </w:rPr>
              <w:t>2028</w:t>
            </w:r>
          </w:p>
        </w:tc>
        <w:tc>
          <w:tcPr>
            <w:tcW w:w="638" w:type="dxa"/>
            <w:shd w:val="clear" w:color="auto" w:fill="808080"/>
          </w:tcPr>
          <w:p>
            <w:pPr>
              <w:pStyle w:val="TableParagraph"/>
              <w:spacing w:before="51"/>
              <w:ind w:left="5" w:right="19"/>
              <w:jc w:val="center"/>
              <w:rPr>
                <w:sz w:val="18"/>
              </w:rPr>
            </w:pPr>
            <w:r>
              <w:rPr>
                <w:color w:val="FFFFFF"/>
                <w:spacing w:val="-4"/>
                <w:sz w:val="18"/>
              </w:rPr>
              <w:t>2029</w:t>
            </w:r>
          </w:p>
        </w:tc>
        <w:tc>
          <w:tcPr>
            <w:tcW w:w="640" w:type="dxa"/>
            <w:shd w:val="clear" w:color="auto" w:fill="808080"/>
          </w:tcPr>
          <w:p>
            <w:pPr>
              <w:pStyle w:val="TableParagraph"/>
              <w:spacing w:before="51"/>
              <w:ind w:left="27" w:right="41"/>
              <w:jc w:val="center"/>
              <w:rPr>
                <w:sz w:val="18"/>
              </w:rPr>
            </w:pPr>
            <w:r>
              <w:rPr>
                <w:color w:val="FFFFFF"/>
                <w:spacing w:val="-4"/>
                <w:sz w:val="18"/>
              </w:rPr>
              <w:t>2030</w:t>
            </w:r>
          </w:p>
        </w:tc>
      </w:tr>
      <w:tr>
        <w:trPr>
          <w:trHeight w:val="436" w:hRule="atLeast"/>
        </w:trPr>
        <w:tc>
          <w:tcPr>
            <w:tcW w:w="1006" w:type="dxa"/>
            <w:shd w:val="clear" w:color="auto" w:fill="44536A"/>
          </w:tcPr>
          <w:p>
            <w:pPr>
              <w:pStyle w:val="TableParagraph"/>
              <w:spacing w:before="119"/>
              <w:ind w:left="69"/>
              <w:rPr>
                <w:sz w:val="18"/>
              </w:rPr>
            </w:pPr>
            <w:r>
              <w:rPr>
                <w:color w:val="FFFFFF"/>
                <w:spacing w:val="-2"/>
                <w:sz w:val="18"/>
              </w:rPr>
              <w:t>Metas</w:t>
            </w:r>
          </w:p>
        </w:tc>
        <w:tc>
          <w:tcPr>
            <w:tcW w:w="848" w:type="dxa"/>
          </w:tcPr>
          <w:p>
            <w:pPr>
              <w:pStyle w:val="TableParagraph"/>
              <w:spacing w:before="20"/>
              <w:ind w:left="7" w:right="5"/>
              <w:jc w:val="center"/>
              <w:rPr>
                <w:sz w:val="16"/>
              </w:rPr>
            </w:pPr>
            <w:r>
              <w:rPr>
                <w:spacing w:val="-5"/>
                <w:sz w:val="16"/>
              </w:rPr>
              <w:t>No</w:t>
            </w:r>
          </w:p>
          <w:p>
            <w:pPr>
              <w:pStyle w:val="TableParagraph"/>
              <w:spacing w:line="178" w:lineRule="exact" w:before="34"/>
              <w:ind w:left="7"/>
              <w:jc w:val="center"/>
              <w:rPr>
                <w:sz w:val="16"/>
              </w:rPr>
            </w:pPr>
            <w:r>
              <w:rPr>
                <w:spacing w:val="-2"/>
                <w:w w:val="105"/>
                <w:sz w:val="16"/>
              </w:rPr>
              <w:t>definido</w:t>
            </w:r>
          </w:p>
        </w:tc>
        <w:tc>
          <w:tcPr>
            <w:tcW w:w="738" w:type="dxa"/>
          </w:tcPr>
          <w:p>
            <w:pPr>
              <w:pStyle w:val="TableParagraph"/>
              <w:spacing w:before="128"/>
              <w:ind w:left="8" w:right="5"/>
              <w:jc w:val="center"/>
              <w:rPr>
                <w:sz w:val="16"/>
              </w:rPr>
            </w:pPr>
            <w:r>
              <w:rPr>
                <w:spacing w:val="-4"/>
                <w:sz w:val="16"/>
              </w:rPr>
              <w:t>8.0%</w:t>
            </w:r>
          </w:p>
        </w:tc>
        <w:tc>
          <w:tcPr>
            <w:tcW w:w="740" w:type="dxa"/>
          </w:tcPr>
          <w:p>
            <w:pPr>
              <w:pStyle w:val="TableParagraph"/>
              <w:spacing w:before="128"/>
              <w:ind w:left="7" w:right="7"/>
              <w:jc w:val="center"/>
              <w:rPr>
                <w:sz w:val="16"/>
              </w:rPr>
            </w:pPr>
            <w:r>
              <w:rPr>
                <w:spacing w:val="-4"/>
                <w:sz w:val="16"/>
              </w:rPr>
              <w:t>8.0%</w:t>
            </w:r>
          </w:p>
        </w:tc>
        <w:tc>
          <w:tcPr>
            <w:tcW w:w="738" w:type="dxa"/>
          </w:tcPr>
          <w:p>
            <w:pPr>
              <w:pStyle w:val="TableParagraph"/>
              <w:spacing w:before="128"/>
              <w:ind w:left="8" w:right="8"/>
              <w:jc w:val="center"/>
              <w:rPr>
                <w:sz w:val="16"/>
              </w:rPr>
            </w:pPr>
            <w:r>
              <w:rPr>
                <w:spacing w:val="-4"/>
                <w:sz w:val="16"/>
              </w:rPr>
              <w:t>8.0%</w:t>
            </w:r>
          </w:p>
        </w:tc>
        <w:tc>
          <w:tcPr>
            <w:tcW w:w="606" w:type="dxa"/>
          </w:tcPr>
          <w:p>
            <w:pPr>
              <w:pStyle w:val="TableParagraph"/>
              <w:spacing w:before="128"/>
              <w:jc w:val="center"/>
              <w:rPr>
                <w:sz w:val="16"/>
              </w:rPr>
            </w:pPr>
            <w:r>
              <w:rPr>
                <w:spacing w:val="-4"/>
                <w:sz w:val="16"/>
              </w:rPr>
              <w:t>8.0%</w:t>
            </w:r>
          </w:p>
        </w:tc>
        <w:tc>
          <w:tcPr>
            <w:tcW w:w="640" w:type="dxa"/>
          </w:tcPr>
          <w:p>
            <w:pPr>
              <w:pStyle w:val="TableParagraph"/>
              <w:spacing w:before="128"/>
              <w:ind w:left="27" w:right="31"/>
              <w:jc w:val="center"/>
              <w:rPr>
                <w:sz w:val="16"/>
              </w:rPr>
            </w:pPr>
            <w:r>
              <w:rPr>
                <w:spacing w:val="-2"/>
                <w:sz w:val="16"/>
              </w:rPr>
              <w:t>10.0%</w:t>
            </w:r>
          </w:p>
        </w:tc>
        <w:tc>
          <w:tcPr>
            <w:tcW w:w="640" w:type="dxa"/>
          </w:tcPr>
          <w:p>
            <w:pPr>
              <w:pStyle w:val="TableParagraph"/>
              <w:spacing w:before="128"/>
              <w:ind w:left="27" w:right="34"/>
              <w:jc w:val="center"/>
              <w:rPr>
                <w:sz w:val="16"/>
              </w:rPr>
            </w:pPr>
            <w:r>
              <w:rPr>
                <w:spacing w:val="-2"/>
                <w:sz w:val="16"/>
              </w:rPr>
              <w:t>10.0%</w:t>
            </w:r>
          </w:p>
        </w:tc>
        <w:tc>
          <w:tcPr>
            <w:tcW w:w="640" w:type="dxa"/>
          </w:tcPr>
          <w:p>
            <w:pPr>
              <w:pStyle w:val="TableParagraph"/>
              <w:spacing w:before="128"/>
              <w:ind w:left="27" w:right="37"/>
              <w:jc w:val="center"/>
              <w:rPr>
                <w:sz w:val="16"/>
              </w:rPr>
            </w:pPr>
            <w:r>
              <w:rPr>
                <w:spacing w:val="-2"/>
                <w:sz w:val="16"/>
              </w:rPr>
              <w:t>10.0%</w:t>
            </w:r>
          </w:p>
        </w:tc>
        <w:tc>
          <w:tcPr>
            <w:tcW w:w="640" w:type="dxa"/>
          </w:tcPr>
          <w:p>
            <w:pPr>
              <w:pStyle w:val="TableParagraph"/>
              <w:spacing w:before="128"/>
              <w:ind w:left="27" w:right="40"/>
              <w:jc w:val="center"/>
              <w:rPr>
                <w:sz w:val="16"/>
              </w:rPr>
            </w:pPr>
            <w:r>
              <w:rPr>
                <w:spacing w:val="-2"/>
                <w:sz w:val="16"/>
              </w:rPr>
              <w:t>10.0%</w:t>
            </w:r>
          </w:p>
        </w:tc>
        <w:tc>
          <w:tcPr>
            <w:tcW w:w="638" w:type="dxa"/>
          </w:tcPr>
          <w:p>
            <w:pPr>
              <w:pStyle w:val="TableParagraph"/>
              <w:spacing w:before="128"/>
              <w:ind w:right="19"/>
              <w:jc w:val="center"/>
              <w:rPr>
                <w:sz w:val="16"/>
              </w:rPr>
            </w:pPr>
            <w:r>
              <w:rPr>
                <w:spacing w:val="-2"/>
                <w:sz w:val="16"/>
              </w:rPr>
              <w:t>12.0%</w:t>
            </w:r>
          </w:p>
        </w:tc>
        <w:tc>
          <w:tcPr>
            <w:tcW w:w="640" w:type="dxa"/>
          </w:tcPr>
          <w:p>
            <w:pPr>
              <w:pStyle w:val="TableParagraph"/>
              <w:spacing w:before="128"/>
              <w:ind w:left="27" w:right="46"/>
              <w:jc w:val="center"/>
              <w:rPr>
                <w:sz w:val="16"/>
              </w:rPr>
            </w:pPr>
            <w:r>
              <w:rPr>
                <w:spacing w:val="-2"/>
                <w:sz w:val="16"/>
              </w:rPr>
              <w:t>12.0%</w:t>
            </w:r>
          </w:p>
        </w:tc>
      </w:tr>
      <w:tr>
        <w:trPr>
          <w:trHeight w:val="570" w:hRule="atLeast"/>
        </w:trPr>
        <w:tc>
          <w:tcPr>
            <w:tcW w:w="1006"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848" w:type="dxa"/>
            <w:shd w:val="clear" w:color="auto" w:fill="C8C8C8"/>
          </w:tcPr>
          <w:p>
            <w:pPr>
              <w:pStyle w:val="TableParagraph"/>
              <w:rPr>
                <w:rFonts w:ascii="Times New Roman"/>
                <w:sz w:val="22"/>
              </w:rPr>
            </w:pPr>
          </w:p>
        </w:tc>
        <w:tc>
          <w:tcPr>
            <w:tcW w:w="738" w:type="dxa"/>
          </w:tcPr>
          <w:p>
            <w:pPr>
              <w:pStyle w:val="TableParagraph"/>
              <w:spacing w:before="11"/>
              <w:rPr>
                <w:sz w:val="16"/>
              </w:rPr>
            </w:pPr>
          </w:p>
          <w:p>
            <w:pPr>
              <w:pStyle w:val="TableParagraph"/>
              <w:ind w:left="8" w:right="5"/>
              <w:jc w:val="center"/>
              <w:rPr>
                <w:sz w:val="16"/>
              </w:rPr>
            </w:pPr>
            <w:r>
              <w:rPr>
                <w:spacing w:val="-2"/>
                <w:sz w:val="16"/>
              </w:rPr>
              <w:t>18.0%</w:t>
            </w:r>
          </w:p>
        </w:tc>
        <w:tc>
          <w:tcPr>
            <w:tcW w:w="740" w:type="dxa"/>
          </w:tcPr>
          <w:p>
            <w:pPr>
              <w:pStyle w:val="TableParagraph"/>
              <w:spacing w:before="11"/>
              <w:rPr>
                <w:sz w:val="16"/>
              </w:rPr>
            </w:pPr>
          </w:p>
          <w:p>
            <w:pPr>
              <w:pStyle w:val="TableParagraph"/>
              <w:ind w:left="7" w:right="7"/>
              <w:jc w:val="center"/>
              <w:rPr>
                <w:sz w:val="16"/>
              </w:rPr>
            </w:pPr>
            <w:r>
              <w:rPr>
                <w:spacing w:val="-2"/>
                <w:sz w:val="16"/>
              </w:rPr>
              <w:t>42.9%</w:t>
            </w:r>
          </w:p>
        </w:tc>
        <w:tc>
          <w:tcPr>
            <w:tcW w:w="738" w:type="dxa"/>
          </w:tcPr>
          <w:p>
            <w:pPr>
              <w:pStyle w:val="TableParagraph"/>
              <w:spacing w:before="11"/>
              <w:rPr>
                <w:sz w:val="16"/>
              </w:rPr>
            </w:pPr>
          </w:p>
          <w:p>
            <w:pPr>
              <w:pStyle w:val="TableParagraph"/>
              <w:ind w:left="8" w:right="8"/>
              <w:jc w:val="center"/>
              <w:rPr>
                <w:sz w:val="16"/>
              </w:rPr>
            </w:pPr>
            <w:r>
              <w:rPr>
                <w:spacing w:val="-2"/>
                <w:sz w:val="16"/>
              </w:rPr>
              <w:t>75.0%</w:t>
            </w:r>
          </w:p>
        </w:tc>
        <w:tc>
          <w:tcPr>
            <w:tcW w:w="606"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38"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r>
      <w:tr>
        <w:trPr>
          <w:trHeight w:val="568" w:hRule="atLeast"/>
        </w:trPr>
        <w:tc>
          <w:tcPr>
            <w:tcW w:w="1006" w:type="dxa"/>
            <w:shd w:val="clear" w:color="auto" w:fill="44536A"/>
          </w:tcPr>
          <w:p>
            <w:pPr>
              <w:pStyle w:val="TableParagraph"/>
              <w:spacing w:line="240" w:lineRule="atLeast" w:before="28"/>
              <w:ind w:left="69" w:right="269"/>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848" w:type="dxa"/>
            <w:shd w:val="clear" w:color="auto" w:fill="C8C8C8"/>
          </w:tcPr>
          <w:p>
            <w:pPr>
              <w:pStyle w:val="TableParagraph"/>
              <w:rPr>
                <w:rFonts w:ascii="Times New Roman"/>
                <w:sz w:val="22"/>
              </w:rPr>
            </w:pPr>
          </w:p>
        </w:tc>
        <w:tc>
          <w:tcPr>
            <w:tcW w:w="738" w:type="dxa"/>
          </w:tcPr>
          <w:p>
            <w:pPr>
              <w:pStyle w:val="TableParagraph"/>
              <w:spacing w:before="11"/>
              <w:rPr>
                <w:sz w:val="16"/>
              </w:rPr>
            </w:pPr>
          </w:p>
          <w:p>
            <w:pPr>
              <w:pStyle w:val="TableParagraph"/>
              <w:ind w:left="8" w:right="5"/>
              <w:jc w:val="center"/>
              <w:rPr>
                <w:sz w:val="16"/>
              </w:rPr>
            </w:pPr>
            <w:r>
              <w:rPr>
                <w:spacing w:val="-2"/>
                <w:sz w:val="16"/>
              </w:rPr>
              <w:t>225.6%</w:t>
            </w:r>
          </w:p>
        </w:tc>
        <w:tc>
          <w:tcPr>
            <w:tcW w:w="740" w:type="dxa"/>
          </w:tcPr>
          <w:p>
            <w:pPr>
              <w:pStyle w:val="TableParagraph"/>
              <w:spacing w:before="11"/>
              <w:rPr>
                <w:sz w:val="16"/>
              </w:rPr>
            </w:pPr>
          </w:p>
          <w:p>
            <w:pPr>
              <w:pStyle w:val="TableParagraph"/>
              <w:ind w:left="7" w:right="7"/>
              <w:jc w:val="center"/>
              <w:rPr>
                <w:sz w:val="16"/>
              </w:rPr>
            </w:pPr>
            <w:r>
              <w:rPr>
                <w:spacing w:val="-2"/>
                <w:sz w:val="16"/>
              </w:rPr>
              <w:t>535.7%</w:t>
            </w:r>
          </w:p>
        </w:tc>
        <w:tc>
          <w:tcPr>
            <w:tcW w:w="738" w:type="dxa"/>
          </w:tcPr>
          <w:p>
            <w:pPr>
              <w:pStyle w:val="TableParagraph"/>
              <w:spacing w:before="11"/>
              <w:rPr>
                <w:sz w:val="16"/>
              </w:rPr>
            </w:pPr>
          </w:p>
          <w:p>
            <w:pPr>
              <w:pStyle w:val="TableParagraph"/>
              <w:ind w:left="8" w:right="8"/>
              <w:jc w:val="center"/>
              <w:rPr>
                <w:sz w:val="16"/>
              </w:rPr>
            </w:pPr>
            <w:r>
              <w:rPr>
                <w:spacing w:val="-2"/>
                <w:sz w:val="16"/>
              </w:rPr>
              <w:t>937.5%</w:t>
            </w:r>
          </w:p>
        </w:tc>
        <w:tc>
          <w:tcPr>
            <w:tcW w:w="606"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38"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r>
    </w:tbl>
    <w:p>
      <w:pPr>
        <w:pStyle w:val="BodyText"/>
        <w:spacing w:before="84"/>
        <w:rPr>
          <w:sz w:val="18"/>
        </w:rPr>
      </w:pPr>
    </w:p>
    <w:p>
      <w:pPr>
        <w:spacing w:line="307" w:lineRule="auto" w:before="1"/>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rPr>
          <w:sz w:val="18"/>
        </w:rPr>
      </w:pPr>
    </w:p>
    <w:p>
      <w:pPr>
        <w:pStyle w:val="BodyText"/>
        <w:rPr>
          <w:sz w:val="18"/>
        </w:rPr>
      </w:pPr>
    </w:p>
    <w:p>
      <w:pPr>
        <w:pStyle w:val="BodyText"/>
        <w:spacing w:before="5"/>
        <w:rPr>
          <w:sz w:val="18"/>
        </w:rPr>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7" w:lineRule="auto" w:before="234"/>
        <w:ind w:left="143" w:right="705"/>
        <w:jc w:val="both"/>
      </w:pPr>
      <w:r>
        <w:rPr/>
        <w:t>Los indicadores de eficacia y calidad han obtenido resultados (1.35 y 75.0%, respectivamente)</w:t>
      </w:r>
      <w:r>
        <w:rPr>
          <w:spacing w:val="-6"/>
        </w:rPr>
        <w:t> </w:t>
      </w:r>
      <w:r>
        <w:rPr/>
        <w:t>muy</w:t>
      </w:r>
      <w:r>
        <w:rPr>
          <w:spacing w:val="-7"/>
        </w:rPr>
        <w:t> </w:t>
      </w:r>
      <w:r>
        <w:rPr/>
        <w:t>por</w:t>
      </w:r>
      <w:r>
        <w:rPr>
          <w:spacing w:val="-7"/>
        </w:rPr>
        <w:t> </w:t>
      </w:r>
      <w:r>
        <w:rPr/>
        <w:t>encima</w:t>
      </w:r>
      <w:r>
        <w:rPr>
          <w:spacing w:val="-7"/>
        </w:rPr>
        <w:t> </w:t>
      </w:r>
      <w:r>
        <w:rPr/>
        <w:t>de</w:t>
      </w:r>
      <w:r>
        <w:rPr>
          <w:spacing w:val="-7"/>
        </w:rPr>
        <w:t> </w:t>
      </w:r>
      <w:r>
        <w:rPr/>
        <w:t>las</w:t>
      </w:r>
      <w:r>
        <w:rPr>
          <w:spacing w:val="-7"/>
        </w:rPr>
        <w:t> </w:t>
      </w:r>
      <w:r>
        <w:rPr/>
        <w:t>metas</w:t>
      </w:r>
      <w:r>
        <w:rPr>
          <w:spacing w:val="-7"/>
        </w:rPr>
        <w:t> </w:t>
      </w:r>
      <w:r>
        <w:rPr/>
        <w:t>programadas</w:t>
      </w:r>
      <w:r>
        <w:rPr>
          <w:spacing w:val="-5"/>
        </w:rPr>
        <w:t> </w:t>
      </w:r>
      <w:r>
        <w:rPr/>
        <w:t>para</w:t>
      </w:r>
      <w:r>
        <w:rPr>
          <w:spacing w:val="-7"/>
        </w:rPr>
        <w:t> </w:t>
      </w:r>
      <w:r>
        <w:rPr/>
        <w:t>el</w:t>
      </w:r>
      <w:r>
        <w:rPr>
          <w:spacing w:val="-6"/>
        </w:rPr>
        <w:t> </w:t>
      </w:r>
      <w:r>
        <w:rPr/>
        <w:t>2023</w:t>
      </w:r>
      <w:r>
        <w:rPr>
          <w:spacing w:val="-7"/>
        </w:rPr>
        <w:t> </w:t>
      </w:r>
      <w:r>
        <w:rPr/>
        <w:t>(0.32 y 8.0%, respectivamente).</w:t>
      </w:r>
    </w:p>
    <w:p>
      <w:pPr>
        <w:pStyle w:val="BodyText"/>
        <w:spacing w:line="307" w:lineRule="auto" w:before="157"/>
        <w:ind w:left="143" w:right="703"/>
        <w:jc w:val="both"/>
      </w:pPr>
      <w:r>
        <w:rPr/>
        <w:t>Respecto a ello, el servicio reportó que el fortalecimiento de capacidades, la programación y planificación, recursos humanos adecuados y el trabajo en equipo contribuyó a la eficacia y calidad del servicio.</w:t>
      </w:r>
    </w:p>
    <w:p>
      <w:pPr>
        <w:pStyle w:val="BodyText"/>
        <w:spacing w:line="307" w:lineRule="auto" w:before="160"/>
        <w:ind w:left="143" w:right="703"/>
        <w:jc w:val="both"/>
      </w:pPr>
      <w:r>
        <w:rPr/>
        <w:t>Asimismo, es importante mencionar que, según lo reportado por el servicio, se realizaron acciones de coordinación con organizaciones aliadas y cooperación internacional que fueron importantes para el desarrollo de los programas de formación</w:t>
      </w:r>
      <w:r>
        <w:rPr>
          <w:spacing w:val="-1"/>
        </w:rPr>
        <w:t> </w:t>
      </w:r>
      <w:r>
        <w:rPr/>
        <w:t>con</w:t>
      </w:r>
      <w:r>
        <w:rPr>
          <w:spacing w:val="-1"/>
        </w:rPr>
        <w:t> </w:t>
      </w:r>
      <w:r>
        <w:rPr/>
        <w:t>alcance</w:t>
      </w:r>
      <w:r>
        <w:rPr>
          <w:spacing w:val="-3"/>
        </w:rPr>
        <w:t> </w:t>
      </w:r>
      <w:r>
        <w:rPr/>
        <w:t>nacional. En</w:t>
      </w:r>
      <w:r>
        <w:rPr>
          <w:spacing w:val="-1"/>
        </w:rPr>
        <w:t> </w:t>
      </w:r>
      <w:r>
        <w:rPr/>
        <w:t>ese sentido, es posible que las condiciones del servicio sean mejores a las consideradas al momento de la proyección de metas y se subestimaran los resultados de la implementación del servicio</w:t>
      </w:r>
    </w:p>
    <w:p>
      <w:pPr>
        <w:pStyle w:val="BodyText"/>
        <w:spacing w:line="307" w:lineRule="auto" w:before="156"/>
        <w:ind w:left="143" w:right="703"/>
        <w:jc w:val="both"/>
      </w:pPr>
      <w:r>
        <w:rPr/>
        <w:t>Por otro lado, existen indicios de desconocimiento de la situación inicial previa al establecimiento de metas debido a que los indicadores no cuentan con línea base. Esto pudo originar que, al momento de proyectar las metas, se estableciera situación inicial más crítica a la real.</w:t>
      </w:r>
    </w:p>
    <w:p>
      <w:pPr>
        <w:pStyle w:val="BodyText"/>
        <w:spacing w:line="307" w:lineRule="auto" w:before="159"/>
        <w:ind w:left="143" w:right="706"/>
        <w:jc w:val="both"/>
      </w:pPr>
      <w:r>
        <w:rPr/>
        <w:t>Adicionalmente,</w:t>
      </w:r>
      <w:r>
        <w:rPr>
          <w:spacing w:val="-3"/>
        </w:rPr>
        <w:t> </w:t>
      </w:r>
      <w:r>
        <w:rPr/>
        <w:t>es</w:t>
      </w:r>
      <w:r>
        <w:rPr>
          <w:spacing w:val="-7"/>
        </w:rPr>
        <w:t> </w:t>
      </w:r>
      <w:r>
        <w:rPr/>
        <w:t>importante</w:t>
      </w:r>
      <w:r>
        <w:rPr>
          <w:spacing w:val="-7"/>
        </w:rPr>
        <w:t> </w:t>
      </w:r>
      <w:r>
        <w:rPr/>
        <w:t>tener</w:t>
      </w:r>
      <w:r>
        <w:rPr>
          <w:spacing w:val="-4"/>
        </w:rPr>
        <w:t> </w:t>
      </w:r>
      <w:r>
        <w:rPr/>
        <w:t>en</w:t>
      </w:r>
      <w:r>
        <w:rPr>
          <w:spacing w:val="-7"/>
        </w:rPr>
        <w:t> </w:t>
      </w:r>
      <w:r>
        <w:rPr/>
        <w:t>cuenta</w:t>
      </w:r>
      <w:r>
        <w:rPr>
          <w:spacing w:val="-4"/>
        </w:rPr>
        <w:t> </w:t>
      </w:r>
      <w:r>
        <w:rPr/>
        <w:t>que</w:t>
      </w:r>
      <w:r>
        <w:rPr>
          <w:spacing w:val="-7"/>
        </w:rPr>
        <w:t> </w:t>
      </w:r>
      <w:r>
        <w:rPr/>
        <w:t>el</w:t>
      </w:r>
      <w:r>
        <w:rPr>
          <w:spacing w:val="-3"/>
        </w:rPr>
        <w:t> </w:t>
      </w:r>
      <w:r>
        <w:rPr/>
        <w:t>indicador</w:t>
      </w:r>
      <w:r>
        <w:rPr>
          <w:spacing w:val="-4"/>
        </w:rPr>
        <w:t> </w:t>
      </w:r>
      <w:r>
        <w:rPr/>
        <w:t>de</w:t>
      </w:r>
      <w:r>
        <w:rPr>
          <w:spacing w:val="-7"/>
        </w:rPr>
        <w:t> </w:t>
      </w:r>
      <w:r>
        <w:rPr/>
        <w:t>eficacia</w:t>
      </w:r>
      <w:r>
        <w:rPr>
          <w:spacing w:val="-8"/>
        </w:rPr>
        <w:t> </w:t>
      </w:r>
      <w:r>
        <w:rPr/>
        <w:t>tiene como objetivo medir el avance en la tasa de paridad entre hombres y mujeres que</w:t>
      </w:r>
      <w:r>
        <w:rPr>
          <w:spacing w:val="-6"/>
        </w:rPr>
        <w:t> </w:t>
      </w:r>
      <w:r>
        <w:rPr/>
        <w:t>participan</w:t>
      </w:r>
      <w:r>
        <w:rPr>
          <w:spacing w:val="-6"/>
        </w:rPr>
        <w:t> </w:t>
      </w:r>
      <w:r>
        <w:rPr/>
        <w:t>en</w:t>
      </w:r>
      <w:r>
        <w:rPr>
          <w:spacing w:val="-6"/>
        </w:rPr>
        <w:t> </w:t>
      </w:r>
      <w:r>
        <w:rPr/>
        <w:t>las</w:t>
      </w:r>
      <w:r>
        <w:rPr>
          <w:spacing w:val="-4"/>
        </w:rPr>
        <w:t> </w:t>
      </w:r>
      <w:r>
        <w:rPr/>
        <w:t>actividades</w:t>
      </w:r>
      <w:r>
        <w:rPr>
          <w:spacing w:val="-7"/>
        </w:rPr>
        <w:t> </w:t>
      </w:r>
      <w:r>
        <w:rPr/>
        <w:t>de</w:t>
      </w:r>
      <w:r>
        <w:rPr>
          <w:spacing w:val="-6"/>
        </w:rPr>
        <w:t> </w:t>
      </w:r>
      <w:r>
        <w:rPr/>
        <w:t>formación</w:t>
      </w:r>
      <w:r>
        <w:rPr>
          <w:spacing w:val="-6"/>
        </w:rPr>
        <w:t> </w:t>
      </w:r>
      <w:r>
        <w:rPr/>
        <w:t>y</w:t>
      </w:r>
      <w:r>
        <w:rPr>
          <w:spacing w:val="-6"/>
        </w:rPr>
        <w:t> </w:t>
      </w:r>
      <w:r>
        <w:rPr/>
        <w:t>asistencia</w:t>
      </w:r>
      <w:r>
        <w:rPr>
          <w:spacing w:val="-8"/>
        </w:rPr>
        <w:t> </w:t>
      </w:r>
      <w:r>
        <w:rPr/>
        <w:t>técnica,</w:t>
      </w:r>
      <w:r>
        <w:rPr>
          <w:spacing w:val="-7"/>
        </w:rPr>
        <w:t> </w:t>
      </w:r>
      <w:r>
        <w:rPr/>
        <w:t>por</w:t>
      </w:r>
      <w:r>
        <w:rPr>
          <w:spacing w:val="-6"/>
        </w:rPr>
        <w:t> </w:t>
      </w:r>
      <w:r>
        <w:rPr/>
        <w:t>lo</w:t>
      </w:r>
      <w:r>
        <w:rPr>
          <w:spacing w:val="-4"/>
        </w:rPr>
        <w:t> </w:t>
      </w:r>
      <w:r>
        <w:rPr/>
        <w:t>que</w:t>
      </w:r>
      <w:r>
        <w:rPr>
          <w:spacing w:val="-6"/>
        </w:rPr>
        <w:t> </w:t>
      </w:r>
      <w:r>
        <w:rPr/>
        <w:t>el resultado óptimo máximo al que debe proyectarse es un valor de 1. Debido a ello, un ajuste en las metas de este indicador debe apuntar que el valor se mantenga cercano a ese valor.</w:t>
      </w:r>
    </w:p>
    <w:p>
      <w:pPr>
        <w:pStyle w:val="BodyText"/>
        <w:spacing w:line="307" w:lineRule="auto" w:before="156"/>
        <w:ind w:left="143" w:right="705"/>
        <w:jc w:val="both"/>
      </w:pPr>
      <w:r>
        <w:rPr/>
        <w:t>En ese sentido, adicional a que el indicador es afectado por el contexto señalado, existe una necesidad de ajustar las especificaciones técnicas de los</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3"/>
        <w:jc w:val="both"/>
      </w:pPr>
      <w:r>
        <w:rPr/>
        <w:t>indicadores asi como</w:t>
      </w:r>
      <w:r>
        <w:rPr>
          <w:spacing w:val="-1"/>
        </w:rPr>
        <w:t> </w:t>
      </w:r>
      <w:r>
        <w:rPr/>
        <w:t>modificar las metas en función a las condiciones actuales del servicio y su contribución esperada en la política.</w:t>
      </w:r>
    </w:p>
    <w:p>
      <w:pPr>
        <w:pStyle w:val="BodyText"/>
      </w:pPr>
    </w:p>
    <w:p>
      <w:pPr>
        <w:pStyle w:val="BodyText"/>
        <w:spacing w:before="119"/>
      </w:pPr>
    </w:p>
    <w:p>
      <w:pPr>
        <w:pStyle w:val="ListParagraph"/>
        <w:numPr>
          <w:ilvl w:val="2"/>
          <w:numId w:val="3"/>
        </w:numPr>
        <w:tabs>
          <w:tab w:pos="1222" w:val="left" w:leader="none"/>
        </w:tabs>
        <w:spacing w:line="307" w:lineRule="auto" w:before="0" w:after="0"/>
        <w:ind w:left="1222" w:right="708" w:hanging="720"/>
        <w:jc w:val="both"/>
        <w:rPr>
          <w:sz w:val="24"/>
        </w:rPr>
      </w:pPr>
      <w:r>
        <w:rPr>
          <w:color w:val="2E5395"/>
          <w:sz w:val="24"/>
        </w:rPr>
        <w:t>Servicio 04.03.05: Capacitación y asistencia técnica en: gestión empresarial, productividad con innovación tecnológica, y para la internacionalización de las empresas, dirigidas por mujeres.</w:t>
      </w:r>
    </w:p>
    <w:p>
      <w:pPr>
        <w:pStyle w:val="BodyText"/>
        <w:spacing w:before="174"/>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line="307" w:lineRule="auto" w:before="234"/>
        <w:ind w:left="143" w:right="707"/>
        <w:jc w:val="both"/>
      </w:pPr>
      <w:r>
        <w:rPr/>
        <w:t>El servicio consiste en brindar capacitaciones y asistencia técnica mujeres artesanas con el objetivo de fortalecer sus capacidades productivas, empresariales y comerciales de mujeres artesanas, para que mejoren su competitividad en el mercado.</w:t>
      </w:r>
    </w:p>
    <w:p>
      <w:pPr>
        <w:spacing w:line="307" w:lineRule="auto" w:before="158"/>
        <w:ind w:left="143" w:right="705" w:firstLine="0"/>
        <w:jc w:val="both"/>
        <w:rPr>
          <w:sz w:val="24"/>
        </w:rPr>
      </w:pPr>
      <w:r>
        <w:rPr>
          <w:sz w:val="24"/>
        </w:rPr>
        <w:t>El sector a cargo del indicador y proveedor del servicio es el Ministerio de Comercio</w:t>
      </w:r>
      <w:r>
        <w:rPr>
          <w:spacing w:val="-9"/>
          <w:sz w:val="24"/>
        </w:rPr>
        <w:t> </w:t>
      </w:r>
      <w:r>
        <w:rPr>
          <w:sz w:val="24"/>
        </w:rPr>
        <w:t>Exterior</w:t>
      </w:r>
      <w:r>
        <w:rPr>
          <w:spacing w:val="-10"/>
          <w:sz w:val="24"/>
        </w:rPr>
        <w:t> </w:t>
      </w:r>
      <w:r>
        <w:rPr>
          <w:sz w:val="24"/>
        </w:rPr>
        <w:t>y</w:t>
      </w:r>
      <w:r>
        <w:rPr>
          <w:spacing w:val="-8"/>
          <w:sz w:val="24"/>
        </w:rPr>
        <w:t> </w:t>
      </w:r>
      <w:r>
        <w:rPr>
          <w:sz w:val="24"/>
        </w:rPr>
        <w:t>Turismo</w:t>
      </w:r>
      <w:r>
        <w:rPr>
          <w:spacing w:val="-4"/>
          <w:sz w:val="24"/>
        </w:rPr>
        <w:t> </w:t>
      </w:r>
      <w:r>
        <w:rPr>
          <w:sz w:val="24"/>
        </w:rPr>
        <w:t>(MINCETUR).</w:t>
      </w:r>
      <w:r>
        <w:rPr>
          <w:spacing w:val="-8"/>
          <w:sz w:val="24"/>
        </w:rPr>
        <w:t> </w:t>
      </w:r>
      <w:r>
        <w:rPr>
          <w:sz w:val="24"/>
        </w:rPr>
        <w:t>En</w:t>
      </w:r>
      <w:r>
        <w:rPr>
          <w:spacing w:val="-8"/>
          <w:sz w:val="24"/>
        </w:rPr>
        <w:t> </w:t>
      </w:r>
      <w:r>
        <w:rPr>
          <w:sz w:val="24"/>
        </w:rPr>
        <w:t>el</w:t>
      </w:r>
      <w:r>
        <w:rPr>
          <w:spacing w:val="-7"/>
          <w:sz w:val="24"/>
        </w:rPr>
        <w:t> </w:t>
      </w:r>
      <w:r>
        <w:rPr>
          <w:sz w:val="24"/>
        </w:rPr>
        <w:t>marco</w:t>
      </w:r>
      <w:r>
        <w:rPr>
          <w:spacing w:val="-10"/>
          <w:sz w:val="24"/>
        </w:rPr>
        <w:t> </w:t>
      </w:r>
      <w:r>
        <w:rPr>
          <w:sz w:val="24"/>
        </w:rPr>
        <w:t>de</w:t>
      </w:r>
      <w:r>
        <w:rPr>
          <w:spacing w:val="-8"/>
          <w:sz w:val="24"/>
        </w:rPr>
        <w:t> </w:t>
      </w:r>
      <w:r>
        <w:rPr>
          <w:sz w:val="24"/>
        </w:rPr>
        <w:t>la</w:t>
      </w:r>
      <w:r>
        <w:rPr>
          <w:spacing w:val="-10"/>
          <w:sz w:val="24"/>
        </w:rPr>
        <w:t> </w:t>
      </w:r>
      <w:r>
        <w:rPr>
          <w:sz w:val="24"/>
        </w:rPr>
        <w:t>política,</w:t>
      </w:r>
      <w:r>
        <w:rPr>
          <w:spacing w:val="-9"/>
          <w:sz w:val="24"/>
        </w:rPr>
        <w:t> </w:t>
      </w:r>
      <w:r>
        <w:rPr>
          <w:sz w:val="24"/>
        </w:rPr>
        <w:t>la</w:t>
      </w:r>
      <w:r>
        <w:rPr>
          <w:spacing w:val="-8"/>
          <w:sz w:val="24"/>
        </w:rPr>
        <w:t> </w:t>
      </w:r>
      <w:r>
        <w:rPr>
          <w:sz w:val="24"/>
        </w:rPr>
        <w:t>eficacia del</w:t>
      </w:r>
      <w:r>
        <w:rPr>
          <w:spacing w:val="-13"/>
          <w:sz w:val="24"/>
        </w:rPr>
        <w:t> </w:t>
      </w:r>
      <w:r>
        <w:rPr>
          <w:sz w:val="24"/>
        </w:rPr>
        <w:t>servicio</w:t>
      </w:r>
      <w:r>
        <w:rPr>
          <w:spacing w:val="-13"/>
          <w:sz w:val="24"/>
        </w:rPr>
        <w:t> </w:t>
      </w:r>
      <w:r>
        <w:rPr>
          <w:sz w:val="24"/>
        </w:rPr>
        <w:t>se</w:t>
      </w:r>
      <w:r>
        <w:rPr>
          <w:spacing w:val="-13"/>
          <w:sz w:val="24"/>
        </w:rPr>
        <w:t> </w:t>
      </w:r>
      <w:r>
        <w:rPr>
          <w:sz w:val="24"/>
        </w:rPr>
        <w:t>mide</w:t>
      </w:r>
      <w:r>
        <w:rPr>
          <w:spacing w:val="-13"/>
          <w:sz w:val="24"/>
        </w:rPr>
        <w:t> </w:t>
      </w:r>
      <w:r>
        <w:rPr>
          <w:sz w:val="24"/>
        </w:rPr>
        <w:t>a</w:t>
      </w:r>
      <w:r>
        <w:rPr>
          <w:spacing w:val="-16"/>
          <w:sz w:val="24"/>
        </w:rPr>
        <w:t> </w:t>
      </w:r>
      <w:r>
        <w:rPr>
          <w:sz w:val="24"/>
        </w:rPr>
        <w:t>través</w:t>
      </w:r>
      <w:r>
        <w:rPr>
          <w:spacing w:val="-15"/>
          <w:sz w:val="24"/>
        </w:rPr>
        <w:t> </w:t>
      </w:r>
      <w:r>
        <w:rPr>
          <w:sz w:val="24"/>
        </w:rPr>
        <w:t>del</w:t>
      </w:r>
      <w:r>
        <w:rPr>
          <w:spacing w:val="-13"/>
          <w:sz w:val="24"/>
        </w:rPr>
        <w:t> </w:t>
      </w:r>
      <w:r>
        <w:rPr>
          <w:sz w:val="24"/>
        </w:rPr>
        <w:t>indicador</w:t>
      </w:r>
      <w:r>
        <w:rPr>
          <w:spacing w:val="-13"/>
          <w:sz w:val="24"/>
        </w:rPr>
        <w:t> </w:t>
      </w:r>
      <w:r>
        <w:rPr>
          <w:sz w:val="24"/>
        </w:rPr>
        <w:t>“</w:t>
      </w:r>
      <w:r>
        <w:rPr>
          <w:rFonts w:ascii="Arial" w:hAnsi="Arial"/>
          <w:i/>
          <w:sz w:val="24"/>
        </w:rPr>
        <w:t>Porcentaje</w:t>
      </w:r>
      <w:r>
        <w:rPr>
          <w:rFonts w:ascii="Arial" w:hAnsi="Arial"/>
          <w:i/>
          <w:spacing w:val="-15"/>
          <w:sz w:val="24"/>
        </w:rPr>
        <w:t> </w:t>
      </w:r>
      <w:r>
        <w:rPr>
          <w:rFonts w:ascii="Arial" w:hAnsi="Arial"/>
          <w:i/>
          <w:sz w:val="24"/>
        </w:rPr>
        <w:t>de</w:t>
      </w:r>
      <w:r>
        <w:rPr>
          <w:rFonts w:ascii="Arial" w:hAnsi="Arial"/>
          <w:i/>
          <w:spacing w:val="-14"/>
          <w:sz w:val="24"/>
        </w:rPr>
        <w:t> </w:t>
      </w:r>
      <w:r>
        <w:rPr>
          <w:rFonts w:ascii="Arial" w:hAnsi="Arial"/>
          <w:i/>
          <w:sz w:val="24"/>
        </w:rPr>
        <w:t>usuarias</w:t>
      </w:r>
      <w:r>
        <w:rPr>
          <w:rFonts w:ascii="Arial" w:hAnsi="Arial"/>
          <w:i/>
          <w:spacing w:val="-15"/>
          <w:sz w:val="24"/>
        </w:rPr>
        <w:t> </w:t>
      </w:r>
      <w:r>
        <w:rPr>
          <w:rFonts w:ascii="Arial" w:hAnsi="Arial"/>
          <w:i/>
          <w:sz w:val="24"/>
        </w:rPr>
        <w:t>que</w:t>
      </w:r>
      <w:r>
        <w:rPr>
          <w:rFonts w:ascii="Arial" w:hAnsi="Arial"/>
          <w:i/>
          <w:spacing w:val="-14"/>
          <w:sz w:val="24"/>
        </w:rPr>
        <w:t> </w:t>
      </w:r>
      <w:r>
        <w:rPr>
          <w:rFonts w:ascii="Arial" w:hAnsi="Arial"/>
          <w:i/>
          <w:sz w:val="24"/>
        </w:rPr>
        <w:t>participan </w:t>
      </w:r>
      <w:r>
        <w:rPr>
          <w:rFonts w:ascii="Arial" w:hAnsi="Arial"/>
          <w:i/>
          <w:spacing w:val="-4"/>
          <w:sz w:val="24"/>
        </w:rPr>
        <w:t>en</w:t>
      </w:r>
      <w:r>
        <w:rPr>
          <w:rFonts w:ascii="Arial" w:hAnsi="Arial"/>
          <w:i/>
          <w:spacing w:val="-9"/>
          <w:sz w:val="24"/>
        </w:rPr>
        <w:t> </w:t>
      </w:r>
      <w:r>
        <w:rPr>
          <w:rFonts w:ascii="Arial" w:hAnsi="Arial"/>
          <w:i/>
          <w:spacing w:val="-4"/>
          <w:sz w:val="24"/>
        </w:rPr>
        <w:t>el</w:t>
      </w:r>
      <w:r>
        <w:rPr>
          <w:rFonts w:ascii="Arial" w:hAnsi="Arial"/>
          <w:i/>
          <w:spacing w:val="-9"/>
          <w:sz w:val="24"/>
        </w:rPr>
        <w:t> </w:t>
      </w:r>
      <w:r>
        <w:rPr>
          <w:rFonts w:ascii="Arial" w:hAnsi="Arial"/>
          <w:i/>
          <w:spacing w:val="-4"/>
          <w:sz w:val="24"/>
        </w:rPr>
        <w:t>proceso</w:t>
      </w:r>
      <w:r>
        <w:rPr>
          <w:rFonts w:ascii="Arial" w:hAnsi="Arial"/>
          <w:i/>
          <w:spacing w:val="-6"/>
          <w:sz w:val="24"/>
        </w:rPr>
        <w:t> </w:t>
      </w:r>
      <w:r>
        <w:rPr>
          <w:rFonts w:ascii="Arial" w:hAnsi="Arial"/>
          <w:i/>
          <w:spacing w:val="-4"/>
          <w:sz w:val="24"/>
        </w:rPr>
        <w:t>de</w:t>
      </w:r>
      <w:r>
        <w:rPr>
          <w:rFonts w:ascii="Arial" w:hAnsi="Arial"/>
          <w:i/>
          <w:spacing w:val="-10"/>
          <w:sz w:val="24"/>
        </w:rPr>
        <w:t> </w:t>
      </w:r>
      <w:r>
        <w:rPr>
          <w:rFonts w:ascii="Arial" w:hAnsi="Arial"/>
          <w:i/>
          <w:spacing w:val="-4"/>
          <w:sz w:val="24"/>
        </w:rPr>
        <w:t>capacitación</w:t>
      </w:r>
      <w:r>
        <w:rPr>
          <w:rFonts w:ascii="Arial" w:hAnsi="Arial"/>
          <w:i/>
          <w:spacing w:val="-9"/>
          <w:sz w:val="24"/>
        </w:rPr>
        <w:t> </w:t>
      </w:r>
      <w:r>
        <w:rPr>
          <w:rFonts w:ascii="Arial" w:hAnsi="Arial"/>
          <w:i/>
          <w:spacing w:val="-4"/>
          <w:sz w:val="24"/>
        </w:rPr>
        <w:t>y</w:t>
      </w:r>
      <w:r>
        <w:rPr>
          <w:rFonts w:ascii="Arial" w:hAnsi="Arial"/>
          <w:i/>
          <w:spacing w:val="-9"/>
          <w:sz w:val="24"/>
        </w:rPr>
        <w:t> </w:t>
      </w:r>
      <w:r>
        <w:rPr>
          <w:rFonts w:ascii="Arial" w:hAnsi="Arial"/>
          <w:i/>
          <w:spacing w:val="-4"/>
          <w:sz w:val="24"/>
        </w:rPr>
        <w:t>asistencia</w:t>
      </w:r>
      <w:r>
        <w:rPr>
          <w:rFonts w:ascii="Arial" w:hAnsi="Arial"/>
          <w:i/>
          <w:spacing w:val="-9"/>
          <w:sz w:val="24"/>
        </w:rPr>
        <w:t> </w:t>
      </w:r>
      <w:r>
        <w:rPr>
          <w:rFonts w:ascii="Arial" w:hAnsi="Arial"/>
          <w:i/>
          <w:spacing w:val="-4"/>
          <w:sz w:val="24"/>
        </w:rPr>
        <w:t>técnica</w:t>
      </w:r>
      <w:r>
        <w:rPr>
          <w:spacing w:val="-4"/>
          <w:sz w:val="24"/>
        </w:rPr>
        <w:t>”</w:t>
      </w:r>
      <w:r>
        <w:rPr>
          <w:spacing w:val="-9"/>
          <w:sz w:val="24"/>
        </w:rPr>
        <w:t> </w:t>
      </w:r>
      <w:r>
        <w:rPr>
          <w:spacing w:val="-4"/>
          <w:sz w:val="24"/>
        </w:rPr>
        <w:t>y</w:t>
      </w:r>
      <w:r>
        <w:rPr>
          <w:spacing w:val="-9"/>
          <w:sz w:val="24"/>
        </w:rPr>
        <w:t> </w:t>
      </w:r>
      <w:r>
        <w:rPr>
          <w:spacing w:val="-4"/>
          <w:sz w:val="24"/>
        </w:rPr>
        <w:t>la</w:t>
      </w:r>
      <w:r>
        <w:rPr>
          <w:spacing w:val="-9"/>
          <w:sz w:val="24"/>
        </w:rPr>
        <w:t> </w:t>
      </w:r>
      <w:r>
        <w:rPr>
          <w:spacing w:val="-4"/>
          <w:sz w:val="24"/>
        </w:rPr>
        <w:t>calidad</w:t>
      </w:r>
      <w:r>
        <w:rPr>
          <w:spacing w:val="-10"/>
          <w:sz w:val="24"/>
        </w:rPr>
        <w:t> </w:t>
      </w:r>
      <w:r>
        <w:rPr>
          <w:spacing w:val="-4"/>
          <w:sz w:val="24"/>
        </w:rPr>
        <w:t>se</w:t>
      </w:r>
      <w:r>
        <w:rPr>
          <w:spacing w:val="-9"/>
          <w:sz w:val="24"/>
        </w:rPr>
        <w:t> </w:t>
      </w:r>
      <w:r>
        <w:rPr>
          <w:spacing w:val="-4"/>
          <w:sz w:val="24"/>
        </w:rPr>
        <w:t>mide</w:t>
      </w:r>
      <w:r>
        <w:rPr>
          <w:spacing w:val="-11"/>
          <w:sz w:val="24"/>
        </w:rPr>
        <w:t> </w:t>
      </w:r>
      <w:r>
        <w:rPr>
          <w:spacing w:val="-4"/>
          <w:sz w:val="24"/>
        </w:rPr>
        <w:t>a</w:t>
      </w:r>
      <w:r>
        <w:rPr>
          <w:spacing w:val="-9"/>
          <w:sz w:val="24"/>
        </w:rPr>
        <w:t> </w:t>
      </w:r>
      <w:r>
        <w:rPr>
          <w:spacing w:val="-4"/>
          <w:sz w:val="24"/>
        </w:rPr>
        <w:t>través</w:t>
      </w:r>
      <w:r>
        <w:rPr>
          <w:spacing w:val="-10"/>
          <w:sz w:val="24"/>
        </w:rPr>
        <w:t> </w:t>
      </w:r>
      <w:r>
        <w:rPr>
          <w:spacing w:val="-4"/>
          <w:sz w:val="24"/>
        </w:rPr>
        <w:t>del </w:t>
      </w:r>
      <w:r>
        <w:rPr>
          <w:sz w:val="24"/>
        </w:rPr>
        <w:t>indicador “Porcentaje de usuarias que concluyen el proceso de capacitación y asistencia técnica”</w:t>
      </w:r>
    </w:p>
    <w:p>
      <w:pPr>
        <w:pStyle w:val="ListParagraph"/>
        <w:numPr>
          <w:ilvl w:val="3"/>
          <w:numId w:val="3"/>
        </w:numPr>
        <w:tabs>
          <w:tab w:pos="862" w:val="left" w:leader="none"/>
        </w:tabs>
        <w:spacing w:line="240" w:lineRule="auto" w:before="16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7" w:lineRule="auto" w:before="232"/>
        <w:ind w:left="143" w:right="703"/>
        <w:jc w:val="both"/>
      </w:pPr>
      <w:r>
        <w:rPr>
          <w:spacing w:val="-10"/>
          <w:u w:val="single"/>
        </w:rPr>
        <w:t> </w:t>
      </w:r>
      <w:r>
        <w:rPr>
          <w:u w:val="single"/>
        </w:rPr>
        <w:t>Análisis</w:t>
      </w:r>
      <w:r>
        <w:rPr>
          <w:spacing w:val="-12"/>
          <w:u w:val="single"/>
        </w:rPr>
        <w:t> </w:t>
      </w:r>
      <w:r>
        <w:rPr>
          <w:u w:val="single"/>
        </w:rPr>
        <w:t>de</w:t>
      </w:r>
      <w:r>
        <w:rPr>
          <w:spacing w:val="-13"/>
          <w:u w:val="single"/>
        </w:rPr>
        <w:t> </w:t>
      </w:r>
      <w:r>
        <w:rPr>
          <w:u w:val="single"/>
        </w:rPr>
        <w:t>eficacia:</w:t>
      </w:r>
      <w:r>
        <w:rPr>
          <w:spacing w:val="-10"/>
          <w:u w:val="single"/>
        </w:rPr>
        <w:t> </w:t>
      </w:r>
      <w:r>
        <w:rPr/>
        <w:t>Para</w:t>
      </w:r>
      <w:r>
        <w:rPr>
          <w:spacing w:val="-13"/>
        </w:rPr>
        <w:t> </w:t>
      </w:r>
      <w:r>
        <w:rPr/>
        <w:t>el</w:t>
      </w:r>
      <w:r>
        <w:rPr>
          <w:spacing w:val="-12"/>
        </w:rPr>
        <w:t> </w:t>
      </w:r>
      <w:r>
        <w:rPr/>
        <w:t>año</w:t>
      </w:r>
      <w:r>
        <w:rPr>
          <w:spacing w:val="-12"/>
        </w:rPr>
        <w:t> </w:t>
      </w:r>
      <w:r>
        <w:rPr/>
        <w:t>2023</w:t>
      </w:r>
      <w:r>
        <w:rPr>
          <w:spacing w:val="-13"/>
        </w:rPr>
        <w:t> </w:t>
      </w:r>
      <w:r>
        <w:rPr/>
        <w:t>el</w:t>
      </w:r>
      <w:r>
        <w:rPr>
          <w:spacing w:val="-12"/>
        </w:rPr>
        <w:t> </w:t>
      </w:r>
      <w:r>
        <w:rPr/>
        <w:t>7.4%</w:t>
      </w:r>
      <w:r>
        <w:rPr>
          <w:spacing w:val="-13"/>
        </w:rPr>
        <w:t> </w:t>
      </w:r>
      <w:r>
        <w:rPr/>
        <w:t>de</w:t>
      </w:r>
      <w:r>
        <w:rPr>
          <w:spacing w:val="-13"/>
        </w:rPr>
        <w:t> </w:t>
      </w:r>
      <w:r>
        <w:rPr/>
        <w:t>las</w:t>
      </w:r>
      <w:r>
        <w:rPr>
          <w:spacing w:val="-12"/>
        </w:rPr>
        <w:t> </w:t>
      </w:r>
      <w:r>
        <w:rPr/>
        <w:t>mujeres</w:t>
      </w:r>
      <w:r>
        <w:rPr>
          <w:spacing w:val="-12"/>
        </w:rPr>
        <w:t> </w:t>
      </w:r>
      <w:r>
        <w:rPr/>
        <w:t>artesanas</w:t>
      </w:r>
      <w:r>
        <w:rPr>
          <w:spacing w:val="-12"/>
        </w:rPr>
        <w:t> </w:t>
      </w:r>
      <w:r>
        <w:rPr/>
        <w:t>inscritas en</w:t>
      </w:r>
      <w:r>
        <w:rPr>
          <w:spacing w:val="-14"/>
        </w:rPr>
        <w:t> </w:t>
      </w:r>
      <w:r>
        <w:rPr/>
        <w:t>el</w:t>
      </w:r>
      <w:r>
        <w:rPr>
          <w:spacing w:val="-13"/>
        </w:rPr>
        <w:t> </w:t>
      </w:r>
      <w:r>
        <w:rPr/>
        <w:t>RNA,</w:t>
      </w:r>
      <w:r>
        <w:rPr>
          <w:spacing w:val="-13"/>
        </w:rPr>
        <w:t> </w:t>
      </w:r>
      <w:r>
        <w:rPr/>
        <w:t>reciben</w:t>
      </w:r>
      <w:r>
        <w:rPr>
          <w:spacing w:val="-14"/>
        </w:rPr>
        <w:t> </w:t>
      </w:r>
      <w:r>
        <w:rPr/>
        <w:t>capacitación</w:t>
      </w:r>
      <w:r>
        <w:rPr>
          <w:spacing w:val="-14"/>
        </w:rPr>
        <w:t> </w:t>
      </w:r>
      <w:r>
        <w:rPr/>
        <w:t>y</w:t>
      </w:r>
      <w:r>
        <w:rPr>
          <w:spacing w:val="-14"/>
        </w:rPr>
        <w:t> </w:t>
      </w:r>
      <w:r>
        <w:rPr/>
        <w:t>asistencia</w:t>
      </w:r>
      <w:r>
        <w:rPr>
          <w:spacing w:val="-14"/>
        </w:rPr>
        <w:t> </w:t>
      </w:r>
      <w:r>
        <w:rPr/>
        <w:t>técnica.</w:t>
      </w:r>
      <w:r>
        <w:rPr>
          <w:spacing w:val="-10"/>
        </w:rPr>
        <w:t> </w:t>
      </w:r>
      <w:r>
        <w:rPr/>
        <w:t>Así,</w:t>
      </w:r>
      <w:r>
        <w:rPr>
          <w:spacing w:val="-13"/>
        </w:rPr>
        <w:t> </w:t>
      </w:r>
      <w:r>
        <w:rPr/>
        <w:t>el</w:t>
      </w:r>
      <w:r>
        <w:rPr>
          <w:spacing w:val="-13"/>
        </w:rPr>
        <w:t> </w:t>
      </w:r>
      <w:r>
        <w:rPr/>
        <w:t>indicador</w:t>
      </w:r>
      <w:r>
        <w:rPr>
          <w:spacing w:val="-14"/>
        </w:rPr>
        <w:t> </w:t>
      </w:r>
      <w:r>
        <w:rPr/>
        <w:t>alcanzó</w:t>
      </w:r>
      <w:r>
        <w:rPr>
          <w:spacing w:val="-15"/>
        </w:rPr>
        <w:t> </w:t>
      </w:r>
      <w:r>
        <w:rPr/>
        <w:t>un nivel de avance de 253.4 % respecto a la meta programada, resultado que evidencia una posible falla de planeación del indicador.</w:t>
      </w:r>
    </w:p>
    <w:p>
      <w:pPr>
        <w:pStyle w:val="BodyText"/>
        <w:spacing w:before="72"/>
      </w:pPr>
    </w:p>
    <w:p>
      <w:pPr>
        <w:spacing w:before="0"/>
        <w:ind w:left="0" w:right="565" w:firstLine="0"/>
        <w:jc w:val="center"/>
        <w:rPr>
          <w:sz w:val="22"/>
        </w:rPr>
      </w:pPr>
      <w:r>
        <w:rPr>
          <w:color w:val="44536A"/>
          <w:sz w:val="22"/>
        </w:rPr>
        <w:t>Tabla</w:t>
      </w:r>
      <w:r>
        <w:rPr>
          <w:color w:val="44536A"/>
          <w:spacing w:val="-9"/>
          <w:sz w:val="22"/>
        </w:rPr>
        <w:t> </w:t>
      </w:r>
      <w:r>
        <w:rPr>
          <w:color w:val="44536A"/>
          <w:sz w:val="22"/>
        </w:rPr>
        <w:t>8.</w:t>
      </w:r>
      <w:r>
        <w:rPr>
          <w:color w:val="44536A"/>
          <w:spacing w:val="-10"/>
          <w:sz w:val="22"/>
        </w:rPr>
        <w:t> </w:t>
      </w:r>
      <w:r>
        <w:rPr>
          <w:color w:val="44536A"/>
          <w:sz w:val="22"/>
        </w:rPr>
        <w:t>Análisis</w:t>
      </w:r>
      <w:r>
        <w:rPr>
          <w:color w:val="44536A"/>
          <w:spacing w:val="-10"/>
          <w:sz w:val="22"/>
        </w:rPr>
        <w:t> </w:t>
      </w:r>
      <w:r>
        <w:rPr>
          <w:color w:val="44536A"/>
          <w:sz w:val="22"/>
        </w:rPr>
        <w:t>del</w:t>
      </w:r>
      <w:r>
        <w:rPr>
          <w:color w:val="44536A"/>
          <w:spacing w:val="-12"/>
          <w:sz w:val="22"/>
        </w:rPr>
        <w:t> </w:t>
      </w:r>
      <w:r>
        <w:rPr>
          <w:color w:val="44536A"/>
          <w:sz w:val="22"/>
        </w:rPr>
        <w:t>indicador</w:t>
      </w:r>
      <w:r>
        <w:rPr>
          <w:color w:val="44536A"/>
          <w:spacing w:val="-12"/>
          <w:sz w:val="22"/>
        </w:rPr>
        <w:t> </w:t>
      </w:r>
      <w:r>
        <w:rPr>
          <w:color w:val="44536A"/>
          <w:sz w:val="22"/>
        </w:rPr>
        <w:t>de</w:t>
      </w:r>
      <w:r>
        <w:rPr>
          <w:color w:val="44536A"/>
          <w:spacing w:val="-9"/>
          <w:sz w:val="22"/>
        </w:rPr>
        <w:t> </w:t>
      </w:r>
      <w:r>
        <w:rPr>
          <w:color w:val="44536A"/>
          <w:sz w:val="22"/>
        </w:rPr>
        <w:t>eficacia</w:t>
      </w:r>
      <w:r>
        <w:rPr>
          <w:color w:val="44536A"/>
          <w:spacing w:val="-9"/>
          <w:sz w:val="22"/>
        </w:rPr>
        <w:t> </w:t>
      </w:r>
      <w:r>
        <w:rPr>
          <w:color w:val="44536A"/>
          <w:sz w:val="22"/>
        </w:rPr>
        <w:t>del</w:t>
      </w:r>
      <w:r>
        <w:rPr>
          <w:color w:val="44536A"/>
          <w:spacing w:val="-12"/>
          <w:sz w:val="22"/>
        </w:rPr>
        <w:t> </w:t>
      </w:r>
      <w:r>
        <w:rPr>
          <w:color w:val="44536A"/>
          <w:sz w:val="22"/>
        </w:rPr>
        <w:t>servicio</w:t>
      </w:r>
      <w:r>
        <w:rPr>
          <w:color w:val="44536A"/>
          <w:spacing w:val="-11"/>
          <w:sz w:val="22"/>
        </w:rPr>
        <w:t> </w:t>
      </w:r>
      <w:r>
        <w:rPr>
          <w:color w:val="44536A"/>
          <w:spacing w:val="-2"/>
          <w:sz w:val="22"/>
        </w:rPr>
        <w:t>04.03.05</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15"/>
        <w:gridCol w:w="873"/>
        <w:gridCol w:w="641"/>
        <w:gridCol w:w="741"/>
        <w:gridCol w:w="741"/>
        <w:gridCol w:w="640"/>
        <w:gridCol w:w="640"/>
        <w:gridCol w:w="640"/>
        <w:gridCol w:w="640"/>
        <w:gridCol w:w="640"/>
        <w:gridCol w:w="641"/>
        <w:gridCol w:w="640"/>
      </w:tblGrid>
      <w:tr>
        <w:trPr>
          <w:trHeight w:val="299" w:hRule="atLeast"/>
        </w:trPr>
        <w:tc>
          <w:tcPr>
            <w:tcW w:w="1015" w:type="dxa"/>
            <w:shd w:val="clear" w:color="auto" w:fill="44536A"/>
          </w:tcPr>
          <w:p>
            <w:pPr>
              <w:pStyle w:val="TableParagraph"/>
              <w:spacing w:before="61"/>
              <w:ind w:left="9" w:right="2"/>
              <w:jc w:val="center"/>
              <w:rPr>
                <w:sz w:val="16"/>
              </w:rPr>
            </w:pPr>
            <w:r>
              <w:rPr>
                <w:color w:val="FFFFFF"/>
                <w:spacing w:val="-5"/>
                <w:sz w:val="16"/>
              </w:rPr>
              <w:t>OP</w:t>
            </w:r>
          </w:p>
        </w:tc>
        <w:tc>
          <w:tcPr>
            <w:tcW w:w="7477" w:type="dxa"/>
            <w:gridSpan w:val="11"/>
          </w:tcPr>
          <w:p>
            <w:pPr>
              <w:pStyle w:val="TableParagraph"/>
              <w:spacing w:before="51"/>
              <w:ind w:left="69"/>
              <w:rPr>
                <w:sz w:val="18"/>
              </w:rPr>
            </w:pPr>
            <w:r>
              <w:rPr>
                <w:sz w:val="18"/>
              </w:rPr>
              <w:t>OP.04</w:t>
            </w:r>
            <w:r>
              <w:rPr>
                <w:spacing w:val="-6"/>
                <w:sz w:val="18"/>
              </w:rPr>
              <w:t> </w:t>
            </w:r>
            <w:r>
              <w:rPr>
                <w:sz w:val="18"/>
              </w:rPr>
              <w:t>Garantizar</w:t>
            </w:r>
            <w:r>
              <w:rPr>
                <w:spacing w:val="-9"/>
                <w:sz w:val="18"/>
              </w:rPr>
              <w:t> </w:t>
            </w:r>
            <w:r>
              <w:rPr>
                <w:sz w:val="18"/>
              </w:rPr>
              <w:t>el</w:t>
            </w:r>
            <w:r>
              <w:rPr>
                <w:spacing w:val="-6"/>
                <w:sz w:val="18"/>
              </w:rPr>
              <w:t> </w:t>
            </w:r>
            <w:r>
              <w:rPr>
                <w:sz w:val="18"/>
              </w:rPr>
              <w:t>ejercicio</w:t>
            </w:r>
            <w:r>
              <w:rPr>
                <w:spacing w:val="-8"/>
                <w:sz w:val="18"/>
              </w:rPr>
              <w:t> </w:t>
            </w:r>
            <w:r>
              <w:rPr>
                <w:sz w:val="18"/>
              </w:rPr>
              <w:t>de</w:t>
            </w:r>
            <w:r>
              <w:rPr>
                <w:spacing w:val="-7"/>
                <w:sz w:val="18"/>
              </w:rPr>
              <w:t> </w:t>
            </w:r>
            <w:r>
              <w:rPr>
                <w:sz w:val="18"/>
              </w:rPr>
              <w:t>los</w:t>
            </w:r>
            <w:r>
              <w:rPr>
                <w:spacing w:val="-5"/>
                <w:sz w:val="18"/>
              </w:rPr>
              <w:t> </w:t>
            </w:r>
            <w:r>
              <w:rPr>
                <w:sz w:val="18"/>
              </w:rPr>
              <w:t>derechos</w:t>
            </w:r>
            <w:r>
              <w:rPr>
                <w:spacing w:val="-8"/>
                <w:sz w:val="18"/>
              </w:rPr>
              <w:t> </w:t>
            </w:r>
            <w:r>
              <w:rPr>
                <w:sz w:val="18"/>
              </w:rPr>
              <w:t>económicos</w:t>
            </w:r>
            <w:r>
              <w:rPr>
                <w:spacing w:val="-6"/>
                <w:sz w:val="18"/>
              </w:rPr>
              <w:t> </w:t>
            </w:r>
            <w:r>
              <w:rPr>
                <w:sz w:val="18"/>
              </w:rPr>
              <w:t>y</w:t>
            </w:r>
            <w:r>
              <w:rPr>
                <w:spacing w:val="-11"/>
                <w:sz w:val="18"/>
              </w:rPr>
              <w:t> </w:t>
            </w:r>
            <w:r>
              <w:rPr>
                <w:sz w:val="18"/>
              </w:rPr>
              <w:t>sociales</w:t>
            </w:r>
            <w:r>
              <w:rPr>
                <w:spacing w:val="-8"/>
                <w:sz w:val="18"/>
              </w:rPr>
              <w:t> </w:t>
            </w:r>
            <w:r>
              <w:rPr>
                <w:sz w:val="18"/>
              </w:rPr>
              <w:t>de</w:t>
            </w:r>
            <w:r>
              <w:rPr>
                <w:spacing w:val="-6"/>
                <w:sz w:val="18"/>
              </w:rPr>
              <w:t> </w:t>
            </w:r>
            <w:r>
              <w:rPr>
                <w:sz w:val="18"/>
              </w:rPr>
              <w:t>las</w:t>
            </w:r>
            <w:r>
              <w:rPr>
                <w:spacing w:val="-8"/>
                <w:sz w:val="18"/>
              </w:rPr>
              <w:t> </w:t>
            </w:r>
            <w:r>
              <w:rPr>
                <w:spacing w:val="-2"/>
                <w:sz w:val="18"/>
              </w:rPr>
              <w:t>mujeres</w:t>
            </w:r>
          </w:p>
        </w:tc>
      </w:tr>
      <w:tr>
        <w:trPr>
          <w:trHeight w:val="491" w:hRule="atLeast"/>
        </w:trPr>
        <w:tc>
          <w:tcPr>
            <w:tcW w:w="1015" w:type="dxa"/>
            <w:shd w:val="clear" w:color="auto" w:fill="44536A"/>
          </w:tcPr>
          <w:p>
            <w:pPr>
              <w:pStyle w:val="TableParagraph"/>
              <w:spacing w:before="147"/>
              <w:ind w:left="196"/>
              <w:rPr>
                <w:sz w:val="18"/>
              </w:rPr>
            </w:pPr>
            <w:r>
              <w:rPr>
                <w:color w:val="FFFFFF"/>
                <w:spacing w:val="-2"/>
                <w:sz w:val="18"/>
              </w:rPr>
              <w:t>Servicio</w:t>
            </w:r>
          </w:p>
        </w:tc>
        <w:tc>
          <w:tcPr>
            <w:tcW w:w="7477" w:type="dxa"/>
            <w:gridSpan w:val="11"/>
          </w:tcPr>
          <w:p>
            <w:pPr>
              <w:pStyle w:val="TableParagraph"/>
              <w:spacing w:before="25"/>
              <w:ind w:left="69"/>
              <w:rPr>
                <w:sz w:val="18"/>
              </w:rPr>
            </w:pPr>
            <w:r>
              <w:rPr>
                <w:sz w:val="18"/>
              </w:rPr>
              <w:t>Capacitación</w:t>
            </w:r>
            <w:r>
              <w:rPr>
                <w:spacing w:val="-6"/>
                <w:sz w:val="18"/>
              </w:rPr>
              <w:t> </w:t>
            </w:r>
            <w:r>
              <w:rPr>
                <w:sz w:val="18"/>
              </w:rPr>
              <w:t>y</w:t>
            </w:r>
            <w:r>
              <w:rPr>
                <w:spacing w:val="-4"/>
                <w:sz w:val="18"/>
              </w:rPr>
              <w:t> </w:t>
            </w:r>
            <w:r>
              <w:rPr>
                <w:sz w:val="18"/>
              </w:rPr>
              <w:t>asistencia</w:t>
            </w:r>
            <w:r>
              <w:rPr>
                <w:spacing w:val="-4"/>
                <w:sz w:val="18"/>
              </w:rPr>
              <w:t> </w:t>
            </w:r>
            <w:r>
              <w:rPr>
                <w:sz w:val="18"/>
              </w:rPr>
              <w:t>técnica</w:t>
            </w:r>
            <w:r>
              <w:rPr>
                <w:spacing w:val="-2"/>
                <w:sz w:val="18"/>
              </w:rPr>
              <w:t> </w:t>
            </w:r>
            <w:r>
              <w:rPr>
                <w:sz w:val="18"/>
              </w:rPr>
              <w:t>en:</w:t>
            </w:r>
            <w:r>
              <w:rPr>
                <w:spacing w:val="-2"/>
                <w:sz w:val="18"/>
              </w:rPr>
              <w:t> </w:t>
            </w:r>
            <w:r>
              <w:rPr>
                <w:sz w:val="18"/>
              </w:rPr>
              <w:t>gestión</w:t>
            </w:r>
            <w:r>
              <w:rPr>
                <w:spacing w:val="-3"/>
                <w:sz w:val="18"/>
              </w:rPr>
              <w:t> </w:t>
            </w:r>
            <w:r>
              <w:rPr>
                <w:sz w:val="18"/>
              </w:rPr>
              <w:t>empresarial,</w:t>
            </w:r>
            <w:r>
              <w:rPr>
                <w:spacing w:val="-1"/>
                <w:sz w:val="18"/>
              </w:rPr>
              <w:t> </w:t>
            </w:r>
            <w:r>
              <w:rPr>
                <w:sz w:val="18"/>
              </w:rPr>
              <w:t>productividad</w:t>
            </w:r>
            <w:r>
              <w:rPr>
                <w:spacing w:val="-5"/>
                <w:sz w:val="18"/>
              </w:rPr>
              <w:t> </w:t>
            </w:r>
            <w:r>
              <w:rPr>
                <w:sz w:val="18"/>
              </w:rPr>
              <w:t>con</w:t>
            </w:r>
            <w:r>
              <w:rPr>
                <w:spacing w:val="-3"/>
                <w:sz w:val="18"/>
              </w:rPr>
              <w:t> </w:t>
            </w:r>
            <w:r>
              <w:rPr>
                <w:spacing w:val="-2"/>
                <w:sz w:val="18"/>
              </w:rPr>
              <w:t>innovación</w:t>
            </w:r>
          </w:p>
          <w:p>
            <w:pPr>
              <w:pStyle w:val="TableParagraph"/>
              <w:spacing w:line="201" w:lineRule="exact" w:before="38"/>
              <w:ind w:left="69"/>
              <w:rPr>
                <w:sz w:val="18"/>
              </w:rPr>
            </w:pPr>
            <w:r>
              <w:rPr>
                <w:sz w:val="18"/>
              </w:rPr>
              <w:t>tecnológica,</w:t>
            </w:r>
            <w:r>
              <w:rPr>
                <w:spacing w:val="-3"/>
                <w:sz w:val="18"/>
              </w:rPr>
              <w:t> </w:t>
            </w:r>
            <w:r>
              <w:rPr>
                <w:sz w:val="18"/>
              </w:rPr>
              <w:t>y</w:t>
            </w:r>
            <w:r>
              <w:rPr>
                <w:spacing w:val="-4"/>
                <w:sz w:val="18"/>
              </w:rPr>
              <w:t> </w:t>
            </w:r>
            <w:r>
              <w:rPr>
                <w:sz w:val="18"/>
              </w:rPr>
              <w:t>para</w:t>
            </w:r>
            <w:r>
              <w:rPr>
                <w:spacing w:val="-2"/>
                <w:sz w:val="18"/>
              </w:rPr>
              <w:t> </w:t>
            </w:r>
            <w:r>
              <w:rPr>
                <w:sz w:val="18"/>
              </w:rPr>
              <w:t>la</w:t>
            </w:r>
            <w:r>
              <w:rPr>
                <w:spacing w:val="-3"/>
                <w:sz w:val="18"/>
              </w:rPr>
              <w:t> </w:t>
            </w:r>
            <w:r>
              <w:rPr>
                <w:sz w:val="18"/>
              </w:rPr>
              <w:t>internacionalización</w:t>
            </w:r>
            <w:r>
              <w:rPr>
                <w:spacing w:val="-5"/>
                <w:sz w:val="18"/>
              </w:rPr>
              <w:t> </w:t>
            </w:r>
            <w:r>
              <w:rPr>
                <w:sz w:val="18"/>
              </w:rPr>
              <w:t>de</w:t>
            </w:r>
            <w:r>
              <w:rPr>
                <w:spacing w:val="-3"/>
                <w:sz w:val="18"/>
              </w:rPr>
              <w:t> </w:t>
            </w:r>
            <w:r>
              <w:rPr>
                <w:sz w:val="18"/>
              </w:rPr>
              <w:t>las</w:t>
            </w:r>
            <w:r>
              <w:rPr>
                <w:spacing w:val="-3"/>
                <w:sz w:val="18"/>
              </w:rPr>
              <w:t> </w:t>
            </w:r>
            <w:r>
              <w:rPr>
                <w:sz w:val="18"/>
              </w:rPr>
              <w:t>empresas,</w:t>
            </w:r>
            <w:r>
              <w:rPr>
                <w:spacing w:val="-6"/>
                <w:sz w:val="18"/>
              </w:rPr>
              <w:t> </w:t>
            </w:r>
            <w:r>
              <w:rPr>
                <w:sz w:val="18"/>
              </w:rPr>
              <w:t>dirigidas</w:t>
            </w:r>
            <w:r>
              <w:rPr>
                <w:spacing w:val="-5"/>
                <w:sz w:val="18"/>
              </w:rPr>
              <w:t> </w:t>
            </w:r>
            <w:r>
              <w:rPr>
                <w:sz w:val="18"/>
              </w:rPr>
              <w:t>por</w:t>
            </w:r>
            <w:r>
              <w:rPr>
                <w:spacing w:val="-3"/>
                <w:sz w:val="18"/>
              </w:rPr>
              <w:t> </w:t>
            </w:r>
            <w:r>
              <w:rPr>
                <w:spacing w:val="-2"/>
                <w:sz w:val="18"/>
              </w:rPr>
              <w:t>mujeres.</w:t>
            </w:r>
          </w:p>
        </w:tc>
      </w:tr>
      <w:tr>
        <w:trPr>
          <w:trHeight w:val="299" w:hRule="atLeast"/>
        </w:trPr>
        <w:tc>
          <w:tcPr>
            <w:tcW w:w="1015" w:type="dxa"/>
            <w:shd w:val="clear" w:color="auto" w:fill="44536A"/>
          </w:tcPr>
          <w:p>
            <w:pPr>
              <w:pStyle w:val="TableParagraph"/>
              <w:spacing w:before="49"/>
              <w:ind w:left="124"/>
              <w:rPr>
                <w:sz w:val="18"/>
              </w:rPr>
            </w:pPr>
            <w:r>
              <w:rPr>
                <w:color w:val="FFFFFF"/>
                <w:spacing w:val="-2"/>
                <w:w w:val="105"/>
                <w:sz w:val="18"/>
              </w:rPr>
              <w:t>Indicador</w:t>
            </w:r>
          </w:p>
        </w:tc>
        <w:tc>
          <w:tcPr>
            <w:tcW w:w="7477" w:type="dxa"/>
            <w:gridSpan w:val="11"/>
          </w:tcPr>
          <w:p>
            <w:pPr>
              <w:pStyle w:val="TableParagraph"/>
              <w:spacing w:before="49"/>
              <w:ind w:left="69"/>
              <w:rPr>
                <w:sz w:val="18"/>
              </w:rPr>
            </w:pPr>
            <w:r>
              <w:rPr>
                <w:sz w:val="18"/>
              </w:rPr>
              <w:t>Porcentaje</w:t>
            </w:r>
            <w:r>
              <w:rPr>
                <w:spacing w:val="-2"/>
                <w:sz w:val="18"/>
              </w:rPr>
              <w:t> </w:t>
            </w:r>
            <w:r>
              <w:rPr>
                <w:sz w:val="18"/>
              </w:rPr>
              <w:t>de</w:t>
            </w:r>
            <w:r>
              <w:rPr>
                <w:spacing w:val="-1"/>
                <w:sz w:val="18"/>
              </w:rPr>
              <w:t> </w:t>
            </w:r>
            <w:r>
              <w:rPr>
                <w:sz w:val="18"/>
              </w:rPr>
              <w:t>usuarias</w:t>
            </w:r>
            <w:r>
              <w:rPr>
                <w:spacing w:val="-3"/>
                <w:sz w:val="18"/>
              </w:rPr>
              <w:t> </w:t>
            </w:r>
            <w:r>
              <w:rPr>
                <w:sz w:val="18"/>
              </w:rPr>
              <w:t>que</w:t>
            </w:r>
            <w:r>
              <w:rPr>
                <w:spacing w:val="-3"/>
                <w:sz w:val="18"/>
              </w:rPr>
              <w:t> </w:t>
            </w:r>
            <w:r>
              <w:rPr>
                <w:sz w:val="18"/>
              </w:rPr>
              <w:t>participan</w:t>
            </w:r>
            <w:r>
              <w:rPr>
                <w:spacing w:val="-1"/>
                <w:sz w:val="18"/>
              </w:rPr>
              <w:t> </w:t>
            </w:r>
            <w:r>
              <w:rPr>
                <w:sz w:val="18"/>
              </w:rPr>
              <w:t>en</w:t>
            </w:r>
            <w:r>
              <w:rPr>
                <w:spacing w:val="-3"/>
                <w:sz w:val="18"/>
              </w:rPr>
              <w:t> </w:t>
            </w:r>
            <w:r>
              <w:rPr>
                <w:sz w:val="18"/>
              </w:rPr>
              <w:t>el</w:t>
            </w:r>
            <w:r>
              <w:rPr>
                <w:spacing w:val="-3"/>
                <w:sz w:val="18"/>
              </w:rPr>
              <w:t> </w:t>
            </w:r>
            <w:r>
              <w:rPr>
                <w:sz w:val="18"/>
              </w:rPr>
              <w:t>proceso</w:t>
            </w:r>
            <w:r>
              <w:rPr>
                <w:spacing w:val="-3"/>
                <w:sz w:val="18"/>
              </w:rPr>
              <w:t> </w:t>
            </w:r>
            <w:r>
              <w:rPr>
                <w:sz w:val="18"/>
              </w:rPr>
              <w:t>de</w:t>
            </w:r>
            <w:r>
              <w:rPr>
                <w:spacing w:val="-4"/>
                <w:sz w:val="18"/>
              </w:rPr>
              <w:t> </w:t>
            </w:r>
            <w:r>
              <w:rPr>
                <w:sz w:val="18"/>
              </w:rPr>
              <w:t>capacitación</w:t>
            </w:r>
            <w:r>
              <w:rPr>
                <w:spacing w:val="-1"/>
                <w:sz w:val="18"/>
              </w:rPr>
              <w:t> </w:t>
            </w:r>
            <w:r>
              <w:rPr>
                <w:sz w:val="18"/>
              </w:rPr>
              <w:t>y</w:t>
            </w:r>
            <w:r>
              <w:rPr>
                <w:spacing w:val="-5"/>
                <w:sz w:val="18"/>
              </w:rPr>
              <w:t> </w:t>
            </w:r>
            <w:r>
              <w:rPr>
                <w:sz w:val="18"/>
              </w:rPr>
              <w:t>asistencia </w:t>
            </w:r>
            <w:r>
              <w:rPr>
                <w:spacing w:val="-2"/>
                <w:sz w:val="18"/>
              </w:rPr>
              <w:t>técnica.</w:t>
            </w:r>
          </w:p>
        </w:tc>
      </w:tr>
      <w:tr>
        <w:trPr>
          <w:trHeight w:val="489" w:hRule="atLeast"/>
        </w:trPr>
        <w:tc>
          <w:tcPr>
            <w:tcW w:w="1015" w:type="dxa"/>
            <w:shd w:val="clear" w:color="auto" w:fill="808080"/>
          </w:tcPr>
          <w:p>
            <w:pPr>
              <w:pStyle w:val="TableParagraph"/>
              <w:spacing w:before="145"/>
              <w:ind w:left="9"/>
              <w:jc w:val="center"/>
              <w:rPr>
                <w:sz w:val="18"/>
              </w:rPr>
            </w:pPr>
            <w:r>
              <w:rPr>
                <w:color w:val="FFFFFF"/>
                <w:spacing w:val="-5"/>
                <w:sz w:val="18"/>
              </w:rPr>
              <w:t>Año</w:t>
            </w:r>
          </w:p>
        </w:tc>
        <w:tc>
          <w:tcPr>
            <w:tcW w:w="873" w:type="dxa"/>
            <w:shd w:val="clear" w:color="auto" w:fill="808080"/>
          </w:tcPr>
          <w:p>
            <w:pPr>
              <w:pStyle w:val="TableParagraph"/>
              <w:spacing w:before="23"/>
              <w:ind w:left="100"/>
              <w:rPr>
                <w:sz w:val="18"/>
              </w:rPr>
            </w:pPr>
            <w:r>
              <w:rPr>
                <w:color w:val="FFFFFF"/>
                <w:sz w:val="18"/>
              </w:rPr>
              <w:t>Valor</w:t>
            </w:r>
            <w:r>
              <w:rPr>
                <w:color w:val="FFFFFF"/>
                <w:spacing w:val="-12"/>
                <w:sz w:val="18"/>
              </w:rPr>
              <w:t> </w:t>
            </w:r>
            <w:r>
              <w:rPr>
                <w:color w:val="FFFFFF"/>
                <w:spacing w:val="-5"/>
                <w:sz w:val="18"/>
              </w:rPr>
              <w:t>LB</w:t>
            </w:r>
          </w:p>
          <w:p>
            <w:pPr>
              <w:pStyle w:val="TableParagraph"/>
              <w:spacing w:line="201" w:lineRule="exact" w:before="38"/>
              <w:ind w:left="179"/>
              <w:rPr>
                <w:sz w:val="18"/>
              </w:rPr>
            </w:pPr>
            <w:r>
              <w:rPr>
                <w:color w:val="FFFFFF"/>
                <w:spacing w:val="-2"/>
                <w:sz w:val="18"/>
              </w:rPr>
              <w:t>(2020)</w:t>
            </w:r>
          </w:p>
        </w:tc>
        <w:tc>
          <w:tcPr>
            <w:tcW w:w="641" w:type="dxa"/>
            <w:shd w:val="clear" w:color="auto" w:fill="808080"/>
          </w:tcPr>
          <w:p>
            <w:pPr>
              <w:pStyle w:val="TableParagraph"/>
              <w:spacing w:before="145"/>
              <w:ind w:left="25" w:right="12"/>
              <w:jc w:val="center"/>
              <w:rPr>
                <w:sz w:val="18"/>
              </w:rPr>
            </w:pPr>
            <w:r>
              <w:rPr>
                <w:color w:val="FFFFFF"/>
                <w:spacing w:val="-4"/>
                <w:sz w:val="18"/>
              </w:rPr>
              <w:t>2021</w:t>
            </w:r>
          </w:p>
        </w:tc>
        <w:tc>
          <w:tcPr>
            <w:tcW w:w="741" w:type="dxa"/>
            <w:shd w:val="clear" w:color="auto" w:fill="808080"/>
          </w:tcPr>
          <w:p>
            <w:pPr>
              <w:pStyle w:val="TableParagraph"/>
              <w:spacing w:before="145"/>
              <w:ind w:left="11" w:right="1"/>
              <w:jc w:val="center"/>
              <w:rPr>
                <w:sz w:val="18"/>
              </w:rPr>
            </w:pPr>
            <w:r>
              <w:rPr>
                <w:color w:val="FFFFFF"/>
                <w:spacing w:val="-4"/>
                <w:sz w:val="18"/>
              </w:rPr>
              <w:t>2022</w:t>
            </w:r>
          </w:p>
        </w:tc>
        <w:tc>
          <w:tcPr>
            <w:tcW w:w="741" w:type="dxa"/>
            <w:shd w:val="clear" w:color="auto" w:fill="808080"/>
          </w:tcPr>
          <w:p>
            <w:pPr>
              <w:pStyle w:val="TableParagraph"/>
              <w:spacing w:before="145"/>
              <w:ind w:left="11"/>
              <w:jc w:val="center"/>
              <w:rPr>
                <w:sz w:val="18"/>
              </w:rPr>
            </w:pPr>
            <w:r>
              <w:rPr>
                <w:color w:val="FFFFFF"/>
                <w:spacing w:val="-4"/>
                <w:sz w:val="18"/>
              </w:rPr>
              <w:t>2023</w:t>
            </w:r>
          </w:p>
        </w:tc>
        <w:tc>
          <w:tcPr>
            <w:tcW w:w="640" w:type="dxa"/>
            <w:shd w:val="clear" w:color="auto" w:fill="808080"/>
          </w:tcPr>
          <w:p>
            <w:pPr>
              <w:pStyle w:val="TableParagraph"/>
              <w:spacing w:before="145"/>
              <w:ind w:left="36" w:right="19"/>
              <w:jc w:val="center"/>
              <w:rPr>
                <w:sz w:val="18"/>
              </w:rPr>
            </w:pPr>
            <w:r>
              <w:rPr>
                <w:color w:val="FFFFFF"/>
                <w:spacing w:val="-4"/>
                <w:sz w:val="18"/>
              </w:rPr>
              <w:t>2024</w:t>
            </w:r>
          </w:p>
        </w:tc>
        <w:tc>
          <w:tcPr>
            <w:tcW w:w="640" w:type="dxa"/>
            <w:shd w:val="clear" w:color="auto" w:fill="808080"/>
          </w:tcPr>
          <w:p>
            <w:pPr>
              <w:pStyle w:val="TableParagraph"/>
              <w:spacing w:before="145"/>
              <w:ind w:left="38" w:right="19"/>
              <w:jc w:val="center"/>
              <w:rPr>
                <w:sz w:val="18"/>
              </w:rPr>
            </w:pPr>
            <w:r>
              <w:rPr>
                <w:color w:val="FFFFFF"/>
                <w:spacing w:val="-4"/>
                <w:sz w:val="18"/>
              </w:rPr>
              <w:t>2025</w:t>
            </w:r>
          </w:p>
        </w:tc>
        <w:tc>
          <w:tcPr>
            <w:tcW w:w="640" w:type="dxa"/>
            <w:shd w:val="clear" w:color="auto" w:fill="808080"/>
          </w:tcPr>
          <w:p>
            <w:pPr>
              <w:pStyle w:val="TableParagraph"/>
              <w:spacing w:before="145"/>
              <w:ind w:left="40" w:right="19"/>
              <w:jc w:val="center"/>
              <w:rPr>
                <w:sz w:val="18"/>
              </w:rPr>
            </w:pPr>
            <w:r>
              <w:rPr>
                <w:color w:val="FFFFFF"/>
                <w:spacing w:val="-4"/>
                <w:sz w:val="18"/>
              </w:rPr>
              <w:t>2026</w:t>
            </w:r>
          </w:p>
        </w:tc>
        <w:tc>
          <w:tcPr>
            <w:tcW w:w="640" w:type="dxa"/>
            <w:shd w:val="clear" w:color="auto" w:fill="808080"/>
          </w:tcPr>
          <w:p>
            <w:pPr>
              <w:pStyle w:val="TableParagraph"/>
              <w:spacing w:before="145"/>
              <w:ind w:left="42" w:right="19"/>
              <w:jc w:val="center"/>
              <w:rPr>
                <w:sz w:val="18"/>
              </w:rPr>
            </w:pPr>
            <w:r>
              <w:rPr>
                <w:color w:val="FFFFFF"/>
                <w:spacing w:val="-4"/>
                <w:sz w:val="18"/>
              </w:rPr>
              <w:t>2027</w:t>
            </w:r>
          </w:p>
        </w:tc>
        <w:tc>
          <w:tcPr>
            <w:tcW w:w="640" w:type="dxa"/>
            <w:shd w:val="clear" w:color="auto" w:fill="808080"/>
          </w:tcPr>
          <w:p>
            <w:pPr>
              <w:pStyle w:val="TableParagraph"/>
              <w:spacing w:before="145"/>
              <w:ind w:left="43" w:right="19"/>
              <w:jc w:val="center"/>
              <w:rPr>
                <w:sz w:val="18"/>
              </w:rPr>
            </w:pPr>
            <w:r>
              <w:rPr>
                <w:color w:val="FFFFFF"/>
                <w:spacing w:val="-4"/>
                <w:sz w:val="18"/>
              </w:rPr>
              <w:t>2028</w:t>
            </w:r>
          </w:p>
        </w:tc>
        <w:tc>
          <w:tcPr>
            <w:tcW w:w="641" w:type="dxa"/>
            <w:shd w:val="clear" w:color="auto" w:fill="808080"/>
          </w:tcPr>
          <w:p>
            <w:pPr>
              <w:pStyle w:val="TableParagraph"/>
              <w:spacing w:before="145"/>
              <w:ind w:left="25"/>
              <w:jc w:val="center"/>
              <w:rPr>
                <w:sz w:val="18"/>
              </w:rPr>
            </w:pPr>
            <w:r>
              <w:rPr>
                <w:color w:val="FFFFFF"/>
                <w:spacing w:val="-4"/>
                <w:sz w:val="18"/>
              </w:rPr>
              <w:t>2029</w:t>
            </w:r>
          </w:p>
        </w:tc>
        <w:tc>
          <w:tcPr>
            <w:tcW w:w="640" w:type="dxa"/>
            <w:shd w:val="clear" w:color="auto" w:fill="808080"/>
          </w:tcPr>
          <w:p>
            <w:pPr>
              <w:pStyle w:val="TableParagraph"/>
              <w:spacing w:before="145"/>
              <w:ind w:left="46" w:right="19"/>
              <w:jc w:val="center"/>
              <w:rPr>
                <w:sz w:val="18"/>
              </w:rPr>
            </w:pPr>
            <w:r>
              <w:rPr>
                <w:color w:val="FFFFFF"/>
                <w:spacing w:val="-4"/>
                <w:sz w:val="18"/>
              </w:rPr>
              <w:t>2030</w:t>
            </w:r>
          </w:p>
        </w:tc>
      </w:tr>
      <w:tr>
        <w:trPr>
          <w:trHeight w:val="302" w:hRule="atLeast"/>
        </w:trPr>
        <w:tc>
          <w:tcPr>
            <w:tcW w:w="1015" w:type="dxa"/>
            <w:shd w:val="clear" w:color="auto" w:fill="44536A"/>
          </w:tcPr>
          <w:p>
            <w:pPr>
              <w:pStyle w:val="TableParagraph"/>
              <w:spacing w:before="51"/>
              <w:ind w:left="69"/>
              <w:rPr>
                <w:sz w:val="18"/>
              </w:rPr>
            </w:pPr>
            <w:r>
              <w:rPr>
                <w:color w:val="FFFFFF"/>
                <w:spacing w:val="-2"/>
                <w:sz w:val="18"/>
              </w:rPr>
              <w:t>Metas</w:t>
            </w:r>
          </w:p>
        </w:tc>
        <w:tc>
          <w:tcPr>
            <w:tcW w:w="873" w:type="dxa"/>
          </w:tcPr>
          <w:p>
            <w:pPr>
              <w:pStyle w:val="TableParagraph"/>
              <w:spacing w:before="63"/>
              <w:ind w:left="213"/>
              <w:rPr>
                <w:sz w:val="16"/>
              </w:rPr>
            </w:pPr>
            <w:r>
              <w:rPr>
                <w:spacing w:val="-2"/>
                <w:sz w:val="16"/>
              </w:rPr>
              <w:t>2.00%</w:t>
            </w:r>
          </w:p>
        </w:tc>
        <w:tc>
          <w:tcPr>
            <w:tcW w:w="641" w:type="dxa"/>
          </w:tcPr>
          <w:p>
            <w:pPr>
              <w:pStyle w:val="TableParagraph"/>
              <w:spacing w:before="63"/>
              <w:ind w:left="25" w:right="17"/>
              <w:jc w:val="center"/>
              <w:rPr>
                <w:sz w:val="16"/>
              </w:rPr>
            </w:pPr>
            <w:r>
              <w:rPr>
                <w:spacing w:val="-2"/>
                <w:sz w:val="16"/>
              </w:rPr>
              <w:t>2.30%</w:t>
            </w:r>
          </w:p>
        </w:tc>
        <w:tc>
          <w:tcPr>
            <w:tcW w:w="741" w:type="dxa"/>
          </w:tcPr>
          <w:p>
            <w:pPr>
              <w:pStyle w:val="TableParagraph"/>
              <w:spacing w:before="63"/>
              <w:ind w:left="11" w:right="1"/>
              <w:jc w:val="center"/>
              <w:rPr>
                <w:sz w:val="16"/>
              </w:rPr>
            </w:pPr>
            <w:r>
              <w:rPr>
                <w:spacing w:val="-2"/>
                <w:sz w:val="16"/>
              </w:rPr>
              <w:t>2.60%</w:t>
            </w:r>
          </w:p>
        </w:tc>
        <w:tc>
          <w:tcPr>
            <w:tcW w:w="741" w:type="dxa"/>
          </w:tcPr>
          <w:p>
            <w:pPr>
              <w:pStyle w:val="TableParagraph"/>
              <w:spacing w:before="63"/>
              <w:ind w:left="11"/>
              <w:jc w:val="center"/>
              <w:rPr>
                <w:sz w:val="16"/>
              </w:rPr>
            </w:pPr>
            <w:r>
              <w:rPr>
                <w:spacing w:val="-2"/>
                <w:sz w:val="16"/>
              </w:rPr>
              <w:t>2.90%</w:t>
            </w:r>
          </w:p>
        </w:tc>
        <w:tc>
          <w:tcPr>
            <w:tcW w:w="640" w:type="dxa"/>
          </w:tcPr>
          <w:p>
            <w:pPr>
              <w:pStyle w:val="TableParagraph"/>
              <w:spacing w:before="63"/>
              <w:ind w:left="31" w:right="19"/>
              <w:jc w:val="center"/>
              <w:rPr>
                <w:sz w:val="16"/>
              </w:rPr>
            </w:pPr>
            <w:r>
              <w:rPr>
                <w:spacing w:val="-2"/>
                <w:sz w:val="16"/>
              </w:rPr>
              <w:t>3.20%</w:t>
            </w:r>
          </w:p>
        </w:tc>
        <w:tc>
          <w:tcPr>
            <w:tcW w:w="640" w:type="dxa"/>
          </w:tcPr>
          <w:p>
            <w:pPr>
              <w:pStyle w:val="TableParagraph"/>
              <w:spacing w:before="63"/>
              <w:ind w:left="33" w:right="19"/>
              <w:jc w:val="center"/>
              <w:rPr>
                <w:sz w:val="16"/>
              </w:rPr>
            </w:pPr>
            <w:r>
              <w:rPr>
                <w:spacing w:val="-2"/>
                <w:sz w:val="16"/>
              </w:rPr>
              <w:t>3.50%</w:t>
            </w:r>
          </w:p>
        </w:tc>
        <w:tc>
          <w:tcPr>
            <w:tcW w:w="640" w:type="dxa"/>
          </w:tcPr>
          <w:p>
            <w:pPr>
              <w:pStyle w:val="TableParagraph"/>
              <w:spacing w:before="63"/>
              <w:ind w:left="35" w:right="19"/>
              <w:jc w:val="center"/>
              <w:rPr>
                <w:sz w:val="16"/>
              </w:rPr>
            </w:pPr>
            <w:r>
              <w:rPr>
                <w:spacing w:val="-2"/>
                <w:sz w:val="16"/>
              </w:rPr>
              <w:t>3.80%</w:t>
            </w:r>
          </w:p>
        </w:tc>
        <w:tc>
          <w:tcPr>
            <w:tcW w:w="640" w:type="dxa"/>
          </w:tcPr>
          <w:p>
            <w:pPr>
              <w:pStyle w:val="TableParagraph"/>
              <w:spacing w:before="63"/>
              <w:ind w:left="37" w:right="19"/>
              <w:jc w:val="center"/>
              <w:rPr>
                <w:sz w:val="16"/>
              </w:rPr>
            </w:pPr>
            <w:r>
              <w:rPr>
                <w:spacing w:val="-2"/>
                <w:sz w:val="16"/>
              </w:rPr>
              <w:t>4.10%</w:t>
            </w:r>
          </w:p>
        </w:tc>
        <w:tc>
          <w:tcPr>
            <w:tcW w:w="640" w:type="dxa"/>
          </w:tcPr>
          <w:p>
            <w:pPr>
              <w:pStyle w:val="TableParagraph"/>
              <w:spacing w:before="63"/>
              <w:ind w:left="38" w:right="19"/>
              <w:jc w:val="center"/>
              <w:rPr>
                <w:sz w:val="16"/>
              </w:rPr>
            </w:pPr>
            <w:r>
              <w:rPr>
                <w:spacing w:val="-2"/>
                <w:sz w:val="16"/>
              </w:rPr>
              <w:t>4.40%</w:t>
            </w:r>
          </w:p>
        </w:tc>
        <w:tc>
          <w:tcPr>
            <w:tcW w:w="641" w:type="dxa"/>
          </w:tcPr>
          <w:p>
            <w:pPr>
              <w:pStyle w:val="TableParagraph"/>
              <w:spacing w:before="63"/>
              <w:ind w:left="25" w:right="5"/>
              <w:jc w:val="center"/>
              <w:rPr>
                <w:sz w:val="16"/>
              </w:rPr>
            </w:pPr>
            <w:r>
              <w:rPr>
                <w:spacing w:val="-2"/>
                <w:sz w:val="16"/>
              </w:rPr>
              <w:t>4.70%</w:t>
            </w:r>
          </w:p>
        </w:tc>
        <w:tc>
          <w:tcPr>
            <w:tcW w:w="640" w:type="dxa"/>
          </w:tcPr>
          <w:p>
            <w:pPr>
              <w:pStyle w:val="TableParagraph"/>
              <w:spacing w:before="63"/>
              <w:ind w:left="41" w:right="19"/>
              <w:jc w:val="center"/>
              <w:rPr>
                <w:sz w:val="16"/>
              </w:rPr>
            </w:pPr>
            <w:r>
              <w:rPr>
                <w:spacing w:val="-2"/>
                <w:sz w:val="16"/>
              </w:rPr>
              <w:t>5.00%</w:t>
            </w:r>
          </w:p>
        </w:tc>
      </w:tr>
      <w:tr>
        <w:trPr>
          <w:trHeight w:val="568" w:hRule="atLeast"/>
        </w:trPr>
        <w:tc>
          <w:tcPr>
            <w:tcW w:w="1015" w:type="dxa"/>
            <w:shd w:val="clear" w:color="auto" w:fill="44536A"/>
          </w:tcPr>
          <w:p>
            <w:pPr>
              <w:pStyle w:val="TableParagraph"/>
              <w:spacing w:line="240" w:lineRule="atLeast" w:before="28"/>
              <w:ind w:left="69"/>
              <w:rPr>
                <w:sz w:val="18"/>
              </w:rPr>
            </w:pPr>
            <w:r>
              <w:rPr>
                <w:color w:val="FFFFFF"/>
                <w:spacing w:val="-4"/>
                <w:w w:val="105"/>
                <w:sz w:val="18"/>
              </w:rPr>
              <w:t>Valor </w:t>
            </w:r>
            <w:r>
              <w:rPr>
                <w:color w:val="FFFFFF"/>
                <w:spacing w:val="-2"/>
                <w:w w:val="105"/>
                <w:sz w:val="18"/>
              </w:rPr>
              <w:t>reportado</w:t>
            </w:r>
          </w:p>
        </w:tc>
        <w:tc>
          <w:tcPr>
            <w:tcW w:w="873" w:type="dxa"/>
            <w:shd w:val="clear" w:color="auto" w:fill="C8C8C8"/>
          </w:tcPr>
          <w:p>
            <w:pPr>
              <w:pStyle w:val="TableParagraph"/>
              <w:rPr>
                <w:rFonts w:ascii="Times New Roman"/>
                <w:sz w:val="22"/>
              </w:rPr>
            </w:pPr>
          </w:p>
        </w:tc>
        <w:tc>
          <w:tcPr>
            <w:tcW w:w="641" w:type="dxa"/>
          </w:tcPr>
          <w:p>
            <w:pPr>
              <w:pStyle w:val="TableParagraph"/>
              <w:spacing w:before="11"/>
              <w:rPr>
                <w:sz w:val="16"/>
              </w:rPr>
            </w:pPr>
          </w:p>
          <w:p>
            <w:pPr>
              <w:pStyle w:val="TableParagraph"/>
              <w:ind w:left="25" w:right="15"/>
              <w:jc w:val="center"/>
              <w:rPr>
                <w:sz w:val="16"/>
              </w:rPr>
            </w:pPr>
            <w:r>
              <w:rPr>
                <w:spacing w:val="-5"/>
                <w:sz w:val="16"/>
              </w:rPr>
              <w:t>ND</w:t>
            </w:r>
          </w:p>
        </w:tc>
        <w:tc>
          <w:tcPr>
            <w:tcW w:w="741" w:type="dxa"/>
          </w:tcPr>
          <w:p>
            <w:pPr>
              <w:pStyle w:val="TableParagraph"/>
              <w:spacing w:before="11"/>
              <w:rPr>
                <w:sz w:val="16"/>
              </w:rPr>
            </w:pPr>
          </w:p>
          <w:p>
            <w:pPr>
              <w:pStyle w:val="TableParagraph"/>
              <w:ind w:left="11" w:right="1"/>
              <w:jc w:val="center"/>
              <w:rPr>
                <w:sz w:val="16"/>
              </w:rPr>
            </w:pPr>
            <w:r>
              <w:rPr>
                <w:spacing w:val="-4"/>
                <w:sz w:val="16"/>
              </w:rPr>
              <w:t>4.1%</w:t>
            </w:r>
          </w:p>
        </w:tc>
        <w:tc>
          <w:tcPr>
            <w:tcW w:w="741" w:type="dxa"/>
          </w:tcPr>
          <w:p>
            <w:pPr>
              <w:pStyle w:val="TableParagraph"/>
              <w:spacing w:before="11"/>
              <w:rPr>
                <w:sz w:val="16"/>
              </w:rPr>
            </w:pPr>
          </w:p>
          <w:p>
            <w:pPr>
              <w:pStyle w:val="TableParagraph"/>
              <w:ind w:left="11"/>
              <w:jc w:val="center"/>
              <w:rPr>
                <w:sz w:val="16"/>
              </w:rPr>
            </w:pPr>
            <w:r>
              <w:rPr>
                <w:spacing w:val="-4"/>
                <w:sz w:val="16"/>
              </w:rPr>
              <w:t>7.4%</w:t>
            </w: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1"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r>
      <w:tr>
        <w:trPr>
          <w:trHeight w:val="570" w:hRule="atLeast"/>
        </w:trPr>
        <w:tc>
          <w:tcPr>
            <w:tcW w:w="1015" w:type="dxa"/>
            <w:shd w:val="clear" w:color="auto" w:fill="44536A"/>
          </w:tcPr>
          <w:p>
            <w:pPr>
              <w:pStyle w:val="TableParagraph"/>
              <w:spacing w:line="240" w:lineRule="atLeast" w:before="30"/>
              <w:ind w:left="69" w:right="278"/>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873" w:type="dxa"/>
            <w:shd w:val="clear" w:color="auto" w:fill="C8C8C8"/>
          </w:tcPr>
          <w:p>
            <w:pPr>
              <w:pStyle w:val="TableParagraph"/>
              <w:rPr>
                <w:rFonts w:ascii="Times New Roman"/>
                <w:sz w:val="22"/>
              </w:rPr>
            </w:pPr>
          </w:p>
        </w:tc>
        <w:tc>
          <w:tcPr>
            <w:tcW w:w="641" w:type="dxa"/>
          </w:tcPr>
          <w:p>
            <w:pPr>
              <w:pStyle w:val="TableParagraph"/>
              <w:rPr>
                <w:rFonts w:ascii="Times New Roman"/>
                <w:sz w:val="22"/>
              </w:rPr>
            </w:pPr>
          </w:p>
        </w:tc>
        <w:tc>
          <w:tcPr>
            <w:tcW w:w="741" w:type="dxa"/>
          </w:tcPr>
          <w:p>
            <w:pPr>
              <w:pStyle w:val="TableParagraph"/>
              <w:spacing w:before="13"/>
              <w:rPr>
                <w:sz w:val="16"/>
              </w:rPr>
            </w:pPr>
          </w:p>
          <w:p>
            <w:pPr>
              <w:pStyle w:val="TableParagraph"/>
              <w:ind w:left="11" w:right="1"/>
              <w:jc w:val="center"/>
              <w:rPr>
                <w:sz w:val="16"/>
              </w:rPr>
            </w:pPr>
            <w:r>
              <w:rPr>
                <w:spacing w:val="-2"/>
                <w:sz w:val="16"/>
              </w:rPr>
              <w:t>158.1%</w:t>
            </w:r>
          </w:p>
        </w:tc>
        <w:tc>
          <w:tcPr>
            <w:tcW w:w="741" w:type="dxa"/>
          </w:tcPr>
          <w:p>
            <w:pPr>
              <w:pStyle w:val="TableParagraph"/>
              <w:spacing w:before="13"/>
              <w:rPr>
                <w:sz w:val="16"/>
              </w:rPr>
            </w:pPr>
          </w:p>
          <w:p>
            <w:pPr>
              <w:pStyle w:val="TableParagraph"/>
              <w:ind w:left="11"/>
              <w:jc w:val="center"/>
              <w:rPr>
                <w:sz w:val="16"/>
              </w:rPr>
            </w:pPr>
            <w:r>
              <w:rPr>
                <w:spacing w:val="-2"/>
                <w:sz w:val="16"/>
              </w:rPr>
              <w:t>253.4%</w:t>
            </w: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c>
          <w:tcPr>
            <w:tcW w:w="641" w:type="dxa"/>
            <w:shd w:val="clear" w:color="auto" w:fill="C8C8C8"/>
          </w:tcPr>
          <w:p>
            <w:pPr>
              <w:pStyle w:val="TableParagraph"/>
              <w:rPr>
                <w:rFonts w:ascii="Times New Roman"/>
                <w:sz w:val="22"/>
              </w:rPr>
            </w:pPr>
          </w:p>
        </w:tc>
        <w:tc>
          <w:tcPr>
            <w:tcW w:w="640" w:type="dxa"/>
            <w:shd w:val="clear" w:color="auto" w:fill="C8C8C8"/>
          </w:tcPr>
          <w:p>
            <w:pPr>
              <w:pStyle w:val="TableParagraph"/>
              <w:rPr>
                <w:rFonts w:ascii="Times New Roman"/>
                <w:sz w:val="22"/>
              </w:rPr>
            </w:pPr>
          </w:p>
        </w:tc>
      </w:tr>
    </w:tbl>
    <w:p>
      <w:pPr>
        <w:spacing w:line="307" w:lineRule="auto" w:before="26"/>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spacing w:after="0" w:line="307" w:lineRule="auto"/>
        <w:jc w:val="left"/>
        <w:rPr>
          <w:sz w:val="18"/>
        </w:rPr>
        <w:sectPr>
          <w:pgSz w:w="11910" w:h="16840"/>
          <w:pgMar w:header="713" w:footer="1000" w:top="1420" w:bottom="1200" w:left="1559" w:right="992"/>
        </w:sectPr>
      </w:pPr>
    </w:p>
    <w:p>
      <w:pPr>
        <w:pStyle w:val="BodyText"/>
        <w:spacing w:line="307" w:lineRule="auto" w:before="123"/>
        <w:ind w:left="143" w:right="703"/>
        <w:jc w:val="both"/>
      </w:pPr>
      <w:r>
        <w:rPr>
          <w:u w:val="single"/>
        </w:rPr>
        <w:t>Análisis de calidad: </w:t>
      </w:r>
      <w:r>
        <w:rPr/>
        <w:t>Para el año 2023 el 99.0% de las mujeres que reciben </w:t>
      </w:r>
      <w:r>
        <w:rPr>
          <w:spacing w:val="-2"/>
        </w:rPr>
        <w:t>capacitación</w:t>
      </w:r>
      <w:r>
        <w:rPr>
          <w:spacing w:val="-8"/>
        </w:rPr>
        <w:t> </w:t>
      </w:r>
      <w:r>
        <w:rPr>
          <w:spacing w:val="-2"/>
        </w:rPr>
        <w:t>y</w:t>
      </w:r>
      <w:r>
        <w:rPr>
          <w:spacing w:val="-12"/>
        </w:rPr>
        <w:t> </w:t>
      </w:r>
      <w:r>
        <w:rPr>
          <w:spacing w:val="-2"/>
        </w:rPr>
        <w:t>asistencia</w:t>
      </w:r>
      <w:r>
        <w:rPr>
          <w:spacing w:val="-8"/>
        </w:rPr>
        <w:t> </w:t>
      </w:r>
      <w:r>
        <w:rPr>
          <w:spacing w:val="-2"/>
        </w:rPr>
        <w:t>técnica</w:t>
      </w:r>
      <w:r>
        <w:rPr>
          <w:spacing w:val="-7"/>
        </w:rPr>
        <w:t> </w:t>
      </w:r>
      <w:r>
        <w:rPr>
          <w:spacing w:val="-2"/>
        </w:rPr>
        <w:t>del</w:t>
      </w:r>
      <w:r>
        <w:rPr>
          <w:spacing w:val="-10"/>
        </w:rPr>
        <w:t> </w:t>
      </w:r>
      <w:r>
        <w:rPr>
          <w:spacing w:val="-2"/>
        </w:rPr>
        <w:t>servicio</w:t>
      </w:r>
      <w:r>
        <w:rPr>
          <w:spacing w:val="-10"/>
        </w:rPr>
        <w:t> </w:t>
      </w:r>
      <w:r>
        <w:rPr>
          <w:spacing w:val="-2"/>
        </w:rPr>
        <w:t>concluyen</w:t>
      </w:r>
      <w:r>
        <w:rPr>
          <w:spacing w:val="-6"/>
        </w:rPr>
        <w:t> </w:t>
      </w:r>
      <w:r>
        <w:rPr>
          <w:spacing w:val="-2"/>
        </w:rPr>
        <w:t>al</w:t>
      </w:r>
      <w:r>
        <w:rPr>
          <w:spacing w:val="-10"/>
        </w:rPr>
        <w:t> </w:t>
      </w:r>
      <w:r>
        <w:rPr>
          <w:spacing w:val="-2"/>
        </w:rPr>
        <w:t>menos</w:t>
      </w:r>
      <w:r>
        <w:rPr>
          <w:spacing w:val="-10"/>
        </w:rPr>
        <w:t> </w:t>
      </w:r>
      <w:r>
        <w:rPr>
          <w:spacing w:val="-2"/>
        </w:rPr>
        <w:t>una</w:t>
      </w:r>
      <w:r>
        <w:rPr>
          <w:spacing w:val="-8"/>
        </w:rPr>
        <w:t> </w:t>
      </w:r>
      <w:r>
        <w:rPr>
          <w:spacing w:val="-2"/>
        </w:rPr>
        <w:t>sesión.</w:t>
      </w:r>
      <w:r>
        <w:rPr>
          <w:spacing w:val="-10"/>
        </w:rPr>
        <w:t> </w:t>
      </w:r>
      <w:r>
        <w:rPr>
          <w:spacing w:val="-2"/>
        </w:rPr>
        <w:t>Así, </w:t>
      </w:r>
      <w:r>
        <w:rPr/>
        <w:t>el indicador alcanzó un nivel de avance de 147.7 % respecto a la meta </w:t>
      </w:r>
      <w:r>
        <w:rPr>
          <w:spacing w:val="-2"/>
        </w:rPr>
        <w:t>programada.</w:t>
      </w:r>
    </w:p>
    <w:p>
      <w:pPr>
        <w:spacing w:before="260"/>
        <w:ind w:left="0" w:right="565" w:firstLine="0"/>
        <w:jc w:val="center"/>
        <w:rPr>
          <w:sz w:val="22"/>
        </w:rPr>
      </w:pPr>
      <w:r>
        <w:rPr>
          <w:color w:val="44536A"/>
          <w:sz w:val="22"/>
        </w:rPr>
        <w:t>Tabla</w:t>
      </w:r>
      <w:r>
        <w:rPr>
          <w:color w:val="44536A"/>
          <w:spacing w:val="-8"/>
          <w:sz w:val="22"/>
        </w:rPr>
        <w:t> </w:t>
      </w:r>
      <w:r>
        <w:rPr>
          <w:color w:val="44536A"/>
          <w:sz w:val="22"/>
        </w:rPr>
        <w:t>9.</w:t>
      </w:r>
      <w:r>
        <w:rPr>
          <w:color w:val="44536A"/>
          <w:spacing w:val="-7"/>
          <w:sz w:val="22"/>
        </w:rPr>
        <w:t> </w:t>
      </w:r>
      <w:r>
        <w:rPr>
          <w:color w:val="44536A"/>
          <w:sz w:val="22"/>
        </w:rPr>
        <w:t>Análisis</w:t>
      </w:r>
      <w:r>
        <w:rPr>
          <w:color w:val="44536A"/>
          <w:spacing w:val="-8"/>
          <w:sz w:val="22"/>
        </w:rPr>
        <w:t> </w:t>
      </w:r>
      <w:r>
        <w:rPr>
          <w:color w:val="44536A"/>
          <w:sz w:val="22"/>
        </w:rPr>
        <w:t>del</w:t>
      </w:r>
      <w:r>
        <w:rPr>
          <w:color w:val="44536A"/>
          <w:spacing w:val="-10"/>
          <w:sz w:val="22"/>
        </w:rPr>
        <w:t> </w:t>
      </w:r>
      <w:r>
        <w:rPr>
          <w:color w:val="44536A"/>
          <w:sz w:val="22"/>
        </w:rPr>
        <w:t>indicador</w:t>
      </w:r>
      <w:r>
        <w:rPr>
          <w:color w:val="44536A"/>
          <w:spacing w:val="-10"/>
          <w:sz w:val="22"/>
        </w:rPr>
        <w:t> </w:t>
      </w:r>
      <w:r>
        <w:rPr>
          <w:color w:val="44536A"/>
          <w:sz w:val="22"/>
        </w:rPr>
        <w:t>de</w:t>
      </w:r>
      <w:r>
        <w:rPr>
          <w:color w:val="44536A"/>
          <w:spacing w:val="-7"/>
          <w:sz w:val="22"/>
        </w:rPr>
        <w:t> </w:t>
      </w:r>
      <w:r>
        <w:rPr>
          <w:color w:val="44536A"/>
          <w:sz w:val="22"/>
        </w:rPr>
        <w:t>calidad</w:t>
      </w:r>
      <w:r>
        <w:rPr>
          <w:color w:val="44536A"/>
          <w:spacing w:val="-5"/>
          <w:sz w:val="22"/>
        </w:rPr>
        <w:t> </w:t>
      </w:r>
      <w:r>
        <w:rPr>
          <w:color w:val="44536A"/>
          <w:sz w:val="22"/>
        </w:rPr>
        <w:t>del</w:t>
      </w:r>
      <w:r>
        <w:rPr>
          <w:color w:val="44536A"/>
          <w:spacing w:val="-10"/>
          <w:sz w:val="22"/>
        </w:rPr>
        <w:t> </w:t>
      </w:r>
      <w:r>
        <w:rPr>
          <w:color w:val="44536A"/>
          <w:sz w:val="22"/>
        </w:rPr>
        <w:t>servicio</w:t>
      </w:r>
      <w:r>
        <w:rPr>
          <w:color w:val="44536A"/>
          <w:spacing w:val="-9"/>
          <w:sz w:val="22"/>
        </w:rPr>
        <w:t> </w:t>
      </w:r>
      <w:r>
        <w:rPr>
          <w:color w:val="44536A"/>
          <w:spacing w:val="-2"/>
          <w:sz w:val="22"/>
        </w:rPr>
        <w:t>04.03.05</w:t>
      </w:r>
    </w:p>
    <w:p>
      <w:pPr>
        <w:pStyle w:val="BodyText"/>
        <w:spacing w:before="10"/>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5"/>
        <w:gridCol w:w="684"/>
        <w:gridCol w:w="675"/>
        <w:gridCol w:w="677"/>
        <w:gridCol w:w="768"/>
        <w:gridCol w:w="674"/>
        <w:gridCol w:w="677"/>
        <w:gridCol w:w="677"/>
        <w:gridCol w:w="675"/>
        <w:gridCol w:w="677"/>
        <w:gridCol w:w="678"/>
        <w:gridCol w:w="675"/>
      </w:tblGrid>
      <w:tr>
        <w:trPr>
          <w:trHeight w:val="299" w:hRule="atLeast"/>
        </w:trPr>
        <w:tc>
          <w:tcPr>
            <w:tcW w:w="965" w:type="dxa"/>
            <w:shd w:val="clear" w:color="auto" w:fill="44536A"/>
          </w:tcPr>
          <w:p>
            <w:pPr>
              <w:pStyle w:val="TableParagraph"/>
              <w:spacing w:before="61"/>
              <w:ind w:left="4"/>
              <w:jc w:val="center"/>
              <w:rPr>
                <w:sz w:val="16"/>
              </w:rPr>
            </w:pPr>
            <w:r>
              <w:rPr>
                <w:color w:val="FFFFFF"/>
                <w:spacing w:val="-5"/>
                <w:sz w:val="16"/>
              </w:rPr>
              <w:t>OP</w:t>
            </w:r>
          </w:p>
        </w:tc>
        <w:tc>
          <w:tcPr>
            <w:tcW w:w="7537" w:type="dxa"/>
            <w:gridSpan w:val="11"/>
          </w:tcPr>
          <w:p>
            <w:pPr>
              <w:pStyle w:val="TableParagraph"/>
              <w:spacing w:before="49"/>
              <w:ind w:left="69"/>
              <w:rPr>
                <w:sz w:val="18"/>
              </w:rPr>
            </w:pPr>
            <w:r>
              <w:rPr>
                <w:sz w:val="18"/>
              </w:rPr>
              <w:t>OP.04</w:t>
            </w:r>
            <w:r>
              <w:rPr>
                <w:spacing w:val="-6"/>
                <w:sz w:val="18"/>
              </w:rPr>
              <w:t> </w:t>
            </w:r>
            <w:r>
              <w:rPr>
                <w:sz w:val="18"/>
              </w:rPr>
              <w:t>Garantizar</w:t>
            </w:r>
            <w:r>
              <w:rPr>
                <w:spacing w:val="-9"/>
                <w:sz w:val="18"/>
              </w:rPr>
              <w:t> </w:t>
            </w:r>
            <w:r>
              <w:rPr>
                <w:sz w:val="18"/>
              </w:rPr>
              <w:t>el</w:t>
            </w:r>
            <w:r>
              <w:rPr>
                <w:spacing w:val="-6"/>
                <w:sz w:val="18"/>
              </w:rPr>
              <w:t> </w:t>
            </w:r>
            <w:r>
              <w:rPr>
                <w:sz w:val="18"/>
              </w:rPr>
              <w:t>ejercicio</w:t>
            </w:r>
            <w:r>
              <w:rPr>
                <w:spacing w:val="-8"/>
                <w:sz w:val="18"/>
              </w:rPr>
              <w:t> </w:t>
            </w:r>
            <w:r>
              <w:rPr>
                <w:sz w:val="18"/>
              </w:rPr>
              <w:t>de</w:t>
            </w:r>
            <w:r>
              <w:rPr>
                <w:spacing w:val="-7"/>
                <w:sz w:val="18"/>
              </w:rPr>
              <w:t> </w:t>
            </w:r>
            <w:r>
              <w:rPr>
                <w:sz w:val="18"/>
              </w:rPr>
              <w:t>los</w:t>
            </w:r>
            <w:r>
              <w:rPr>
                <w:spacing w:val="-5"/>
                <w:sz w:val="18"/>
              </w:rPr>
              <w:t> </w:t>
            </w:r>
            <w:r>
              <w:rPr>
                <w:sz w:val="18"/>
              </w:rPr>
              <w:t>derechos</w:t>
            </w:r>
            <w:r>
              <w:rPr>
                <w:spacing w:val="-8"/>
                <w:sz w:val="18"/>
              </w:rPr>
              <w:t> </w:t>
            </w:r>
            <w:r>
              <w:rPr>
                <w:sz w:val="18"/>
              </w:rPr>
              <w:t>económicos</w:t>
            </w:r>
            <w:r>
              <w:rPr>
                <w:spacing w:val="-6"/>
                <w:sz w:val="18"/>
              </w:rPr>
              <w:t> </w:t>
            </w:r>
            <w:r>
              <w:rPr>
                <w:sz w:val="18"/>
              </w:rPr>
              <w:t>y</w:t>
            </w:r>
            <w:r>
              <w:rPr>
                <w:spacing w:val="-7"/>
                <w:sz w:val="18"/>
              </w:rPr>
              <w:t> </w:t>
            </w:r>
            <w:r>
              <w:rPr>
                <w:sz w:val="18"/>
              </w:rPr>
              <w:t>sociales</w:t>
            </w:r>
            <w:r>
              <w:rPr>
                <w:spacing w:val="-8"/>
                <w:sz w:val="18"/>
              </w:rPr>
              <w:t> </w:t>
            </w:r>
            <w:r>
              <w:rPr>
                <w:sz w:val="18"/>
              </w:rPr>
              <w:t>de</w:t>
            </w:r>
            <w:r>
              <w:rPr>
                <w:spacing w:val="-6"/>
                <w:sz w:val="18"/>
              </w:rPr>
              <w:t> </w:t>
            </w:r>
            <w:r>
              <w:rPr>
                <w:sz w:val="18"/>
              </w:rPr>
              <w:t>las</w:t>
            </w:r>
            <w:r>
              <w:rPr>
                <w:spacing w:val="-8"/>
                <w:sz w:val="18"/>
              </w:rPr>
              <w:t> </w:t>
            </w:r>
            <w:r>
              <w:rPr>
                <w:spacing w:val="-2"/>
                <w:sz w:val="18"/>
              </w:rPr>
              <w:t>mujeres</w:t>
            </w:r>
          </w:p>
        </w:tc>
      </w:tr>
      <w:tr>
        <w:trPr>
          <w:trHeight w:val="489" w:hRule="atLeast"/>
        </w:trPr>
        <w:tc>
          <w:tcPr>
            <w:tcW w:w="965" w:type="dxa"/>
            <w:shd w:val="clear" w:color="auto" w:fill="44536A"/>
          </w:tcPr>
          <w:p>
            <w:pPr>
              <w:pStyle w:val="TableParagraph"/>
              <w:spacing w:before="145"/>
              <w:ind w:left="170"/>
              <w:rPr>
                <w:sz w:val="18"/>
              </w:rPr>
            </w:pPr>
            <w:r>
              <w:rPr>
                <w:color w:val="FFFFFF"/>
                <w:spacing w:val="-2"/>
                <w:sz w:val="18"/>
              </w:rPr>
              <w:t>Servicio</w:t>
            </w:r>
          </w:p>
        </w:tc>
        <w:tc>
          <w:tcPr>
            <w:tcW w:w="7537" w:type="dxa"/>
            <w:gridSpan w:val="11"/>
          </w:tcPr>
          <w:p>
            <w:pPr>
              <w:pStyle w:val="TableParagraph"/>
              <w:spacing w:before="23"/>
              <w:ind w:left="69"/>
              <w:rPr>
                <w:sz w:val="18"/>
              </w:rPr>
            </w:pPr>
            <w:r>
              <w:rPr>
                <w:sz w:val="18"/>
              </w:rPr>
              <w:t>Capacitación</w:t>
            </w:r>
            <w:r>
              <w:rPr>
                <w:spacing w:val="-6"/>
                <w:sz w:val="18"/>
              </w:rPr>
              <w:t> </w:t>
            </w:r>
            <w:r>
              <w:rPr>
                <w:sz w:val="18"/>
              </w:rPr>
              <w:t>y</w:t>
            </w:r>
            <w:r>
              <w:rPr>
                <w:spacing w:val="-4"/>
                <w:sz w:val="18"/>
              </w:rPr>
              <w:t> </w:t>
            </w:r>
            <w:r>
              <w:rPr>
                <w:sz w:val="18"/>
              </w:rPr>
              <w:t>asistencia</w:t>
            </w:r>
            <w:r>
              <w:rPr>
                <w:spacing w:val="-4"/>
                <w:sz w:val="18"/>
              </w:rPr>
              <w:t> </w:t>
            </w:r>
            <w:r>
              <w:rPr>
                <w:sz w:val="18"/>
              </w:rPr>
              <w:t>técnica</w:t>
            </w:r>
            <w:r>
              <w:rPr>
                <w:spacing w:val="-2"/>
                <w:sz w:val="18"/>
              </w:rPr>
              <w:t> </w:t>
            </w:r>
            <w:r>
              <w:rPr>
                <w:sz w:val="18"/>
              </w:rPr>
              <w:t>en:</w:t>
            </w:r>
            <w:r>
              <w:rPr>
                <w:spacing w:val="-2"/>
                <w:sz w:val="18"/>
              </w:rPr>
              <w:t> </w:t>
            </w:r>
            <w:r>
              <w:rPr>
                <w:sz w:val="18"/>
              </w:rPr>
              <w:t>gestión</w:t>
            </w:r>
            <w:r>
              <w:rPr>
                <w:spacing w:val="-3"/>
                <w:sz w:val="18"/>
              </w:rPr>
              <w:t> </w:t>
            </w:r>
            <w:r>
              <w:rPr>
                <w:sz w:val="18"/>
              </w:rPr>
              <w:t>empresarial,</w:t>
            </w:r>
            <w:r>
              <w:rPr>
                <w:spacing w:val="-5"/>
                <w:sz w:val="18"/>
              </w:rPr>
              <w:t> </w:t>
            </w:r>
            <w:r>
              <w:rPr>
                <w:sz w:val="18"/>
              </w:rPr>
              <w:t>productividad</w:t>
            </w:r>
            <w:r>
              <w:rPr>
                <w:spacing w:val="-5"/>
                <w:sz w:val="18"/>
              </w:rPr>
              <w:t> </w:t>
            </w:r>
            <w:r>
              <w:rPr>
                <w:sz w:val="18"/>
              </w:rPr>
              <w:t>con</w:t>
            </w:r>
            <w:r>
              <w:rPr>
                <w:spacing w:val="-3"/>
                <w:sz w:val="18"/>
              </w:rPr>
              <w:t> </w:t>
            </w:r>
            <w:r>
              <w:rPr>
                <w:spacing w:val="-2"/>
                <w:sz w:val="18"/>
              </w:rPr>
              <w:t>innovación</w:t>
            </w:r>
          </w:p>
          <w:p>
            <w:pPr>
              <w:pStyle w:val="TableParagraph"/>
              <w:spacing w:line="201" w:lineRule="exact" w:before="37"/>
              <w:ind w:left="69"/>
              <w:rPr>
                <w:sz w:val="18"/>
              </w:rPr>
            </w:pPr>
            <w:r>
              <w:rPr>
                <w:sz w:val="18"/>
              </w:rPr>
              <w:t>tecnológica,</w:t>
            </w:r>
            <w:r>
              <w:rPr>
                <w:spacing w:val="-3"/>
                <w:sz w:val="18"/>
              </w:rPr>
              <w:t> </w:t>
            </w:r>
            <w:r>
              <w:rPr>
                <w:sz w:val="18"/>
              </w:rPr>
              <w:t>y</w:t>
            </w:r>
            <w:r>
              <w:rPr>
                <w:spacing w:val="-4"/>
                <w:sz w:val="18"/>
              </w:rPr>
              <w:t> </w:t>
            </w:r>
            <w:r>
              <w:rPr>
                <w:sz w:val="18"/>
              </w:rPr>
              <w:t>para</w:t>
            </w:r>
            <w:r>
              <w:rPr>
                <w:spacing w:val="-2"/>
                <w:sz w:val="18"/>
              </w:rPr>
              <w:t> </w:t>
            </w:r>
            <w:r>
              <w:rPr>
                <w:sz w:val="18"/>
              </w:rPr>
              <w:t>la</w:t>
            </w:r>
            <w:r>
              <w:rPr>
                <w:spacing w:val="-3"/>
                <w:sz w:val="18"/>
              </w:rPr>
              <w:t> </w:t>
            </w:r>
            <w:r>
              <w:rPr>
                <w:sz w:val="18"/>
              </w:rPr>
              <w:t>internacionalización</w:t>
            </w:r>
            <w:r>
              <w:rPr>
                <w:spacing w:val="-5"/>
                <w:sz w:val="18"/>
              </w:rPr>
              <w:t> </w:t>
            </w:r>
            <w:r>
              <w:rPr>
                <w:sz w:val="18"/>
              </w:rPr>
              <w:t>de</w:t>
            </w:r>
            <w:r>
              <w:rPr>
                <w:spacing w:val="-3"/>
                <w:sz w:val="18"/>
              </w:rPr>
              <w:t> </w:t>
            </w:r>
            <w:r>
              <w:rPr>
                <w:sz w:val="18"/>
              </w:rPr>
              <w:t>las</w:t>
            </w:r>
            <w:r>
              <w:rPr>
                <w:spacing w:val="-3"/>
                <w:sz w:val="18"/>
              </w:rPr>
              <w:t> </w:t>
            </w:r>
            <w:r>
              <w:rPr>
                <w:sz w:val="18"/>
              </w:rPr>
              <w:t>empresas,</w:t>
            </w:r>
            <w:r>
              <w:rPr>
                <w:spacing w:val="-6"/>
                <w:sz w:val="18"/>
              </w:rPr>
              <w:t> </w:t>
            </w:r>
            <w:r>
              <w:rPr>
                <w:sz w:val="18"/>
              </w:rPr>
              <w:t>dirigidas</w:t>
            </w:r>
            <w:r>
              <w:rPr>
                <w:spacing w:val="-5"/>
                <w:sz w:val="18"/>
              </w:rPr>
              <w:t> </w:t>
            </w:r>
            <w:r>
              <w:rPr>
                <w:sz w:val="18"/>
              </w:rPr>
              <w:t>por</w:t>
            </w:r>
            <w:r>
              <w:rPr>
                <w:spacing w:val="-3"/>
                <w:sz w:val="18"/>
              </w:rPr>
              <w:t> </w:t>
            </w:r>
            <w:r>
              <w:rPr>
                <w:spacing w:val="-2"/>
                <w:sz w:val="18"/>
              </w:rPr>
              <w:t>mujeres.</w:t>
            </w:r>
          </w:p>
        </w:tc>
      </w:tr>
      <w:tr>
        <w:trPr>
          <w:trHeight w:val="302" w:hRule="atLeast"/>
        </w:trPr>
        <w:tc>
          <w:tcPr>
            <w:tcW w:w="965" w:type="dxa"/>
            <w:shd w:val="clear" w:color="auto" w:fill="44536A"/>
          </w:tcPr>
          <w:p>
            <w:pPr>
              <w:pStyle w:val="TableParagraph"/>
              <w:spacing w:before="51"/>
              <w:ind w:left="98"/>
              <w:rPr>
                <w:sz w:val="18"/>
              </w:rPr>
            </w:pPr>
            <w:r>
              <w:rPr>
                <w:color w:val="FFFFFF"/>
                <w:spacing w:val="-2"/>
                <w:w w:val="105"/>
                <w:sz w:val="18"/>
              </w:rPr>
              <w:t>Indicador</w:t>
            </w:r>
          </w:p>
        </w:tc>
        <w:tc>
          <w:tcPr>
            <w:tcW w:w="7537" w:type="dxa"/>
            <w:gridSpan w:val="11"/>
          </w:tcPr>
          <w:p>
            <w:pPr>
              <w:pStyle w:val="TableParagraph"/>
              <w:spacing w:before="51"/>
              <w:ind w:left="69"/>
              <w:rPr>
                <w:sz w:val="18"/>
              </w:rPr>
            </w:pPr>
            <w:r>
              <w:rPr>
                <w:sz w:val="18"/>
              </w:rPr>
              <w:t>Porcentaje</w:t>
            </w:r>
            <w:r>
              <w:rPr>
                <w:spacing w:val="-4"/>
                <w:sz w:val="18"/>
              </w:rPr>
              <w:t> </w:t>
            </w:r>
            <w:r>
              <w:rPr>
                <w:sz w:val="18"/>
              </w:rPr>
              <w:t>de</w:t>
            </w:r>
            <w:r>
              <w:rPr>
                <w:spacing w:val="-4"/>
                <w:sz w:val="18"/>
              </w:rPr>
              <w:t> </w:t>
            </w:r>
            <w:r>
              <w:rPr>
                <w:sz w:val="18"/>
              </w:rPr>
              <w:t>usuarias</w:t>
            </w:r>
            <w:r>
              <w:rPr>
                <w:spacing w:val="-5"/>
                <w:sz w:val="18"/>
              </w:rPr>
              <w:t> </w:t>
            </w:r>
            <w:r>
              <w:rPr>
                <w:sz w:val="18"/>
              </w:rPr>
              <w:t>que</w:t>
            </w:r>
            <w:r>
              <w:rPr>
                <w:spacing w:val="-5"/>
                <w:sz w:val="18"/>
              </w:rPr>
              <w:t> </w:t>
            </w:r>
            <w:r>
              <w:rPr>
                <w:sz w:val="18"/>
              </w:rPr>
              <w:t>concluyen</w:t>
            </w:r>
            <w:r>
              <w:rPr>
                <w:spacing w:val="-4"/>
                <w:sz w:val="18"/>
              </w:rPr>
              <w:t> </w:t>
            </w:r>
            <w:r>
              <w:rPr>
                <w:sz w:val="18"/>
              </w:rPr>
              <w:t>el</w:t>
            </w:r>
            <w:r>
              <w:rPr>
                <w:spacing w:val="-4"/>
                <w:sz w:val="18"/>
              </w:rPr>
              <w:t> </w:t>
            </w:r>
            <w:r>
              <w:rPr>
                <w:sz w:val="18"/>
              </w:rPr>
              <w:t>proceso</w:t>
            </w:r>
            <w:r>
              <w:rPr>
                <w:spacing w:val="-4"/>
                <w:sz w:val="18"/>
              </w:rPr>
              <w:t> </w:t>
            </w:r>
            <w:r>
              <w:rPr>
                <w:sz w:val="18"/>
              </w:rPr>
              <w:t>de</w:t>
            </w:r>
            <w:r>
              <w:rPr>
                <w:spacing w:val="-6"/>
                <w:sz w:val="18"/>
              </w:rPr>
              <w:t> </w:t>
            </w:r>
            <w:r>
              <w:rPr>
                <w:sz w:val="18"/>
              </w:rPr>
              <w:t>capacitación</w:t>
            </w:r>
            <w:r>
              <w:rPr>
                <w:spacing w:val="-3"/>
                <w:sz w:val="18"/>
              </w:rPr>
              <w:t> </w:t>
            </w:r>
            <w:r>
              <w:rPr>
                <w:sz w:val="18"/>
              </w:rPr>
              <w:t>y</w:t>
            </w:r>
            <w:r>
              <w:rPr>
                <w:spacing w:val="-5"/>
                <w:sz w:val="18"/>
              </w:rPr>
              <w:t> </w:t>
            </w:r>
            <w:r>
              <w:rPr>
                <w:sz w:val="18"/>
              </w:rPr>
              <w:t>asistencia</w:t>
            </w:r>
            <w:r>
              <w:rPr>
                <w:spacing w:val="-3"/>
                <w:sz w:val="18"/>
              </w:rPr>
              <w:t> </w:t>
            </w:r>
            <w:r>
              <w:rPr>
                <w:spacing w:val="-2"/>
                <w:sz w:val="18"/>
              </w:rPr>
              <w:t>técnica.</w:t>
            </w:r>
          </w:p>
        </w:tc>
      </w:tr>
      <w:tr>
        <w:trPr>
          <w:trHeight w:val="734" w:hRule="atLeast"/>
        </w:trPr>
        <w:tc>
          <w:tcPr>
            <w:tcW w:w="965" w:type="dxa"/>
            <w:shd w:val="clear" w:color="auto" w:fill="808080"/>
          </w:tcPr>
          <w:p>
            <w:pPr>
              <w:pStyle w:val="TableParagraph"/>
              <w:spacing w:before="60"/>
              <w:rPr>
                <w:sz w:val="18"/>
              </w:rPr>
            </w:pPr>
          </w:p>
          <w:p>
            <w:pPr>
              <w:pStyle w:val="TableParagraph"/>
              <w:ind w:left="321"/>
              <w:rPr>
                <w:sz w:val="18"/>
              </w:rPr>
            </w:pPr>
            <w:r>
              <w:rPr>
                <w:color w:val="FFFFFF"/>
                <w:spacing w:val="-5"/>
                <w:sz w:val="18"/>
              </w:rPr>
              <w:t>Año</w:t>
            </w:r>
          </w:p>
        </w:tc>
        <w:tc>
          <w:tcPr>
            <w:tcW w:w="684" w:type="dxa"/>
            <w:shd w:val="clear" w:color="auto" w:fill="808080"/>
          </w:tcPr>
          <w:p>
            <w:pPr>
              <w:pStyle w:val="TableParagraph"/>
              <w:spacing w:before="23"/>
              <w:ind w:left="15" w:right="7"/>
              <w:jc w:val="center"/>
              <w:rPr>
                <w:sz w:val="18"/>
              </w:rPr>
            </w:pPr>
            <w:r>
              <w:rPr>
                <w:color w:val="FFFFFF"/>
                <w:spacing w:val="-2"/>
                <w:sz w:val="18"/>
              </w:rPr>
              <w:t>Valor</w:t>
            </w:r>
          </w:p>
          <w:p>
            <w:pPr>
              <w:pStyle w:val="TableParagraph"/>
              <w:spacing w:line="240" w:lineRule="atLeast" w:before="4"/>
              <w:ind w:left="15" w:right="6"/>
              <w:jc w:val="center"/>
              <w:rPr>
                <w:sz w:val="18"/>
              </w:rPr>
            </w:pPr>
            <w:r>
              <w:rPr>
                <w:color w:val="FFFFFF"/>
                <w:spacing w:val="-6"/>
                <w:sz w:val="18"/>
              </w:rPr>
              <w:t>LB </w:t>
            </w:r>
            <w:r>
              <w:rPr>
                <w:color w:val="FFFFFF"/>
                <w:spacing w:val="-4"/>
                <w:sz w:val="18"/>
              </w:rPr>
              <w:t>(2020)</w:t>
            </w:r>
          </w:p>
        </w:tc>
        <w:tc>
          <w:tcPr>
            <w:tcW w:w="675" w:type="dxa"/>
            <w:shd w:val="clear" w:color="auto" w:fill="808080"/>
          </w:tcPr>
          <w:p>
            <w:pPr>
              <w:pStyle w:val="TableParagraph"/>
              <w:spacing w:before="60"/>
              <w:rPr>
                <w:sz w:val="18"/>
              </w:rPr>
            </w:pPr>
          </w:p>
          <w:p>
            <w:pPr>
              <w:pStyle w:val="TableParagraph"/>
              <w:ind w:left="11" w:right="1"/>
              <w:jc w:val="center"/>
              <w:rPr>
                <w:sz w:val="18"/>
              </w:rPr>
            </w:pPr>
            <w:r>
              <w:rPr>
                <w:color w:val="FFFFFF"/>
                <w:spacing w:val="-4"/>
                <w:sz w:val="18"/>
              </w:rPr>
              <w:t>2021</w:t>
            </w:r>
          </w:p>
        </w:tc>
        <w:tc>
          <w:tcPr>
            <w:tcW w:w="677" w:type="dxa"/>
            <w:shd w:val="clear" w:color="auto" w:fill="808080"/>
          </w:tcPr>
          <w:p>
            <w:pPr>
              <w:pStyle w:val="TableParagraph"/>
              <w:spacing w:before="60"/>
              <w:rPr>
                <w:sz w:val="18"/>
              </w:rPr>
            </w:pPr>
          </w:p>
          <w:p>
            <w:pPr>
              <w:pStyle w:val="TableParagraph"/>
              <w:ind w:left="15" w:right="7"/>
              <w:jc w:val="center"/>
              <w:rPr>
                <w:sz w:val="18"/>
              </w:rPr>
            </w:pPr>
            <w:r>
              <w:rPr>
                <w:color w:val="FFFFFF"/>
                <w:spacing w:val="-4"/>
                <w:sz w:val="18"/>
              </w:rPr>
              <w:t>2022</w:t>
            </w:r>
          </w:p>
        </w:tc>
        <w:tc>
          <w:tcPr>
            <w:tcW w:w="768" w:type="dxa"/>
            <w:shd w:val="clear" w:color="auto" w:fill="808080"/>
          </w:tcPr>
          <w:p>
            <w:pPr>
              <w:pStyle w:val="TableParagraph"/>
              <w:spacing w:before="60"/>
              <w:rPr>
                <w:sz w:val="18"/>
              </w:rPr>
            </w:pPr>
          </w:p>
          <w:p>
            <w:pPr>
              <w:pStyle w:val="TableParagraph"/>
              <w:ind w:left="8"/>
              <w:jc w:val="center"/>
              <w:rPr>
                <w:sz w:val="18"/>
              </w:rPr>
            </w:pPr>
            <w:r>
              <w:rPr>
                <w:color w:val="FFFFFF"/>
                <w:spacing w:val="-4"/>
                <w:sz w:val="18"/>
              </w:rPr>
              <w:t>2023</w:t>
            </w:r>
          </w:p>
        </w:tc>
        <w:tc>
          <w:tcPr>
            <w:tcW w:w="674" w:type="dxa"/>
            <w:shd w:val="clear" w:color="auto" w:fill="808080"/>
          </w:tcPr>
          <w:p>
            <w:pPr>
              <w:pStyle w:val="TableParagraph"/>
              <w:spacing w:before="60"/>
              <w:rPr>
                <w:sz w:val="18"/>
              </w:rPr>
            </w:pPr>
          </w:p>
          <w:p>
            <w:pPr>
              <w:pStyle w:val="TableParagraph"/>
              <w:ind w:left="13" w:right="2"/>
              <w:jc w:val="center"/>
              <w:rPr>
                <w:sz w:val="18"/>
              </w:rPr>
            </w:pPr>
            <w:r>
              <w:rPr>
                <w:color w:val="FFFFFF"/>
                <w:spacing w:val="-4"/>
                <w:sz w:val="18"/>
              </w:rPr>
              <w:t>2024</w:t>
            </w:r>
          </w:p>
        </w:tc>
        <w:tc>
          <w:tcPr>
            <w:tcW w:w="677" w:type="dxa"/>
            <w:shd w:val="clear" w:color="auto" w:fill="808080"/>
          </w:tcPr>
          <w:p>
            <w:pPr>
              <w:pStyle w:val="TableParagraph"/>
              <w:spacing w:before="60"/>
              <w:rPr>
                <w:sz w:val="18"/>
              </w:rPr>
            </w:pPr>
          </w:p>
          <w:p>
            <w:pPr>
              <w:pStyle w:val="TableParagraph"/>
              <w:ind w:left="15" w:right="6"/>
              <w:jc w:val="center"/>
              <w:rPr>
                <w:sz w:val="18"/>
              </w:rPr>
            </w:pPr>
            <w:r>
              <w:rPr>
                <w:color w:val="FFFFFF"/>
                <w:spacing w:val="-4"/>
                <w:sz w:val="18"/>
              </w:rPr>
              <w:t>2025</w:t>
            </w:r>
          </w:p>
        </w:tc>
        <w:tc>
          <w:tcPr>
            <w:tcW w:w="677" w:type="dxa"/>
            <w:shd w:val="clear" w:color="auto" w:fill="808080"/>
          </w:tcPr>
          <w:p>
            <w:pPr>
              <w:pStyle w:val="TableParagraph"/>
              <w:spacing w:before="60"/>
              <w:rPr>
                <w:sz w:val="18"/>
              </w:rPr>
            </w:pPr>
          </w:p>
          <w:p>
            <w:pPr>
              <w:pStyle w:val="TableParagraph"/>
              <w:ind w:left="15" w:right="6"/>
              <w:jc w:val="center"/>
              <w:rPr>
                <w:sz w:val="18"/>
              </w:rPr>
            </w:pPr>
            <w:r>
              <w:rPr>
                <w:color w:val="FFFFFF"/>
                <w:spacing w:val="-4"/>
                <w:sz w:val="18"/>
              </w:rPr>
              <w:t>2026</w:t>
            </w:r>
          </w:p>
        </w:tc>
        <w:tc>
          <w:tcPr>
            <w:tcW w:w="675" w:type="dxa"/>
            <w:shd w:val="clear" w:color="auto" w:fill="808080"/>
          </w:tcPr>
          <w:p>
            <w:pPr>
              <w:pStyle w:val="TableParagraph"/>
              <w:spacing w:before="60"/>
              <w:rPr>
                <w:sz w:val="18"/>
              </w:rPr>
            </w:pPr>
          </w:p>
          <w:p>
            <w:pPr>
              <w:pStyle w:val="TableParagraph"/>
              <w:ind w:left="12" w:right="1"/>
              <w:jc w:val="center"/>
              <w:rPr>
                <w:sz w:val="18"/>
              </w:rPr>
            </w:pPr>
            <w:r>
              <w:rPr>
                <w:color w:val="FFFFFF"/>
                <w:spacing w:val="-4"/>
                <w:sz w:val="18"/>
              </w:rPr>
              <w:t>2027</w:t>
            </w:r>
          </w:p>
        </w:tc>
        <w:tc>
          <w:tcPr>
            <w:tcW w:w="677" w:type="dxa"/>
            <w:shd w:val="clear" w:color="auto" w:fill="808080"/>
          </w:tcPr>
          <w:p>
            <w:pPr>
              <w:pStyle w:val="TableParagraph"/>
              <w:spacing w:before="60"/>
              <w:rPr>
                <w:sz w:val="18"/>
              </w:rPr>
            </w:pPr>
          </w:p>
          <w:p>
            <w:pPr>
              <w:pStyle w:val="TableParagraph"/>
              <w:ind w:left="15" w:right="7"/>
              <w:jc w:val="center"/>
              <w:rPr>
                <w:sz w:val="18"/>
              </w:rPr>
            </w:pPr>
            <w:r>
              <w:rPr>
                <w:color w:val="FFFFFF"/>
                <w:spacing w:val="-4"/>
                <w:sz w:val="18"/>
              </w:rPr>
              <w:t>2028</w:t>
            </w:r>
          </w:p>
        </w:tc>
        <w:tc>
          <w:tcPr>
            <w:tcW w:w="678" w:type="dxa"/>
            <w:shd w:val="clear" w:color="auto" w:fill="808080"/>
          </w:tcPr>
          <w:p>
            <w:pPr>
              <w:pStyle w:val="TableParagraph"/>
              <w:spacing w:before="60"/>
              <w:rPr>
                <w:sz w:val="18"/>
              </w:rPr>
            </w:pPr>
          </w:p>
          <w:p>
            <w:pPr>
              <w:pStyle w:val="TableParagraph"/>
              <w:ind w:left="6"/>
              <w:jc w:val="center"/>
              <w:rPr>
                <w:sz w:val="18"/>
              </w:rPr>
            </w:pPr>
            <w:r>
              <w:rPr>
                <w:color w:val="FFFFFF"/>
                <w:spacing w:val="-4"/>
                <w:sz w:val="18"/>
              </w:rPr>
              <w:t>2029</w:t>
            </w:r>
          </w:p>
        </w:tc>
        <w:tc>
          <w:tcPr>
            <w:tcW w:w="675" w:type="dxa"/>
            <w:shd w:val="clear" w:color="auto" w:fill="808080"/>
          </w:tcPr>
          <w:p>
            <w:pPr>
              <w:pStyle w:val="TableParagraph"/>
              <w:spacing w:before="60"/>
              <w:rPr>
                <w:sz w:val="18"/>
              </w:rPr>
            </w:pPr>
          </w:p>
          <w:p>
            <w:pPr>
              <w:pStyle w:val="TableParagraph"/>
              <w:ind w:left="11" w:right="8"/>
              <w:jc w:val="center"/>
              <w:rPr>
                <w:sz w:val="18"/>
              </w:rPr>
            </w:pPr>
            <w:r>
              <w:rPr>
                <w:color w:val="FFFFFF"/>
                <w:spacing w:val="-4"/>
                <w:sz w:val="18"/>
              </w:rPr>
              <w:t>2030</w:t>
            </w:r>
          </w:p>
        </w:tc>
      </w:tr>
      <w:tr>
        <w:trPr>
          <w:trHeight w:val="299" w:hRule="atLeast"/>
        </w:trPr>
        <w:tc>
          <w:tcPr>
            <w:tcW w:w="965" w:type="dxa"/>
            <w:shd w:val="clear" w:color="auto" w:fill="44536A"/>
          </w:tcPr>
          <w:p>
            <w:pPr>
              <w:pStyle w:val="TableParagraph"/>
              <w:spacing w:before="51"/>
              <w:ind w:left="69"/>
              <w:rPr>
                <w:sz w:val="18"/>
              </w:rPr>
            </w:pPr>
            <w:r>
              <w:rPr>
                <w:color w:val="FFFFFF"/>
                <w:spacing w:val="-2"/>
                <w:sz w:val="18"/>
              </w:rPr>
              <w:t>Metas</w:t>
            </w:r>
          </w:p>
        </w:tc>
        <w:tc>
          <w:tcPr>
            <w:tcW w:w="684" w:type="dxa"/>
          </w:tcPr>
          <w:p>
            <w:pPr>
              <w:pStyle w:val="TableParagraph"/>
              <w:spacing w:before="61"/>
              <w:ind w:left="73"/>
              <w:rPr>
                <w:sz w:val="16"/>
              </w:rPr>
            </w:pPr>
            <w:r>
              <w:rPr>
                <w:spacing w:val="-2"/>
                <w:sz w:val="16"/>
              </w:rPr>
              <w:t>61.00%</w:t>
            </w:r>
          </w:p>
        </w:tc>
        <w:tc>
          <w:tcPr>
            <w:tcW w:w="675" w:type="dxa"/>
          </w:tcPr>
          <w:p>
            <w:pPr>
              <w:pStyle w:val="TableParagraph"/>
              <w:spacing w:before="61"/>
              <w:ind w:left="11" w:right="5"/>
              <w:jc w:val="center"/>
              <w:rPr>
                <w:sz w:val="16"/>
              </w:rPr>
            </w:pPr>
            <w:r>
              <w:rPr>
                <w:spacing w:val="-2"/>
                <w:sz w:val="16"/>
              </w:rPr>
              <w:t>63.00%</w:t>
            </w:r>
          </w:p>
        </w:tc>
        <w:tc>
          <w:tcPr>
            <w:tcW w:w="677" w:type="dxa"/>
          </w:tcPr>
          <w:p>
            <w:pPr>
              <w:pStyle w:val="TableParagraph"/>
              <w:spacing w:before="61"/>
              <w:ind w:left="15" w:right="11"/>
              <w:jc w:val="center"/>
              <w:rPr>
                <w:sz w:val="16"/>
              </w:rPr>
            </w:pPr>
            <w:r>
              <w:rPr>
                <w:spacing w:val="-2"/>
                <w:sz w:val="16"/>
              </w:rPr>
              <w:t>65.00%</w:t>
            </w:r>
          </w:p>
        </w:tc>
        <w:tc>
          <w:tcPr>
            <w:tcW w:w="768" w:type="dxa"/>
          </w:tcPr>
          <w:p>
            <w:pPr>
              <w:pStyle w:val="TableParagraph"/>
              <w:spacing w:before="61"/>
              <w:ind w:left="8" w:right="5"/>
              <w:jc w:val="center"/>
              <w:rPr>
                <w:sz w:val="16"/>
              </w:rPr>
            </w:pPr>
            <w:r>
              <w:rPr>
                <w:spacing w:val="-2"/>
                <w:sz w:val="16"/>
              </w:rPr>
              <w:t>67.00%</w:t>
            </w:r>
          </w:p>
        </w:tc>
        <w:tc>
          <w:tcPr>
            <w:tcW w:w="674" w:type="dxa"/>
          </w:tcPr>
          <w:p>
            <w:pPr>
              <w:pStyle w:val="TableParagraph"/>
              <w:spacing w:before="61"/>
              <w:ind w:left="13" w:right="7"/>
              <w:jc w:val="center"/>
              <w:rPr>
                <w:sz w:val="16"/>
              </w:rPr>
            </w:pPr>
            <w:r>
              <w:rPr>
                <w:spacing w:val="-2"/>
                <w:sz w:val="16"/>
              </w:rPr>
              <w:t>69.00%</w:t>
            </w:r>
          </w:p>
        </w:tc>
        <w:tc>
          <w:tcPr>
            <w:tcW w:w="677" w:type="dxa"/>
          </w:tcPr>
          <w:p>
            <w:pPr>
              <w:pStyle w:val="TableParagraph"/>
              <w:spacing w:before="61"/>
              <w:ind w:left="15" w:right="11"/>
              <w:jc w:val="center"/>
              <w:rPr>
                <w:sz w:val="16"/>
              </w:rPr>
            </w:pPr>
            <w:r>
              <w:rPr>
                <w:spacing w:val="-2"/>
                <w:sz w:val="16"/>
              </w:rPr>
              <w:t>70.00%</w:t>
            </w:r>
          </w:p>
        </w:tc>
        <w:tc>
          <w:tcPr>
            <w:tcW w:w="677" w:type="dxa"/>
          </w:tcPr>
          <w:p>
            <w:pPr>
              <w:pStyle w:val="TableParagraph"/>
              <w:spacing w:before="61"/>
              <w:ind w:left="15" w:right="11"/>
              <w:jc w:val="center"/>
              <w:rPr>
                <w:sz w:val="16"/>
              </w:rPr>
            </w:pPr>
            <w:r>
              <w:rPr>
                <w:spacing w:val="-2"/>
                <w:sz w:val="16"/>
              </w:rPr>
              <w:t>72.00%</w:t>
            </w:r>
          </w:p>
        </w:tc>
        <w:tc>
          <w:tcPr>
            <w:tcW w:w="675" w:type="dxa"/>
          </w:tcPr>
          <w:p>
            <w:pPr>
              <w:pStyle w:val="TableParagraph"/>
              <w:spacing w:before="61"/>
              <w:ind w:left="11" w:right="5"/>
              <w:jc w:val="center"/>
              <w:rPr>
                <w:sz w:val="16"/>
              </w:rPr>
            </w:pPr>
            <w:r>
              <w:rPr>
                <w:spacing w:val="-2"/>
                <w:sz w:val="16"/>
              </w:rPr>
              <w:t>74.00%</w:t>
            </w:r>
          </w:p>
        </w:tc>
        <w:tc>
          <w:tcPr>
            <w:tcW w:w="677" w:type="dxa"/>
          </w:tcPr>
          <w:p>
            <w:pPr>
              <w:pStyle w:val="TableParagraph"/>
              <w:spacing w:before="61"/>
              <w:ind w:left="15" w:right="12"/>
              <w:jc w:val="center"/>
              <w:rPr>
                <w:sz w:val="16"/>
              </w:rPr>
            </w:pPr>
            <w:r>
              <w:rPr>
                <w:spacing w:val="-2"/>
                <w:sz w:val="16"/>
              </w:rPr>
              <w:t>76.00%</w:t>
            </w:r>
          </w:p>
        </w:tc>
        <w:tc>
          <w:tcPr>
            <w:tcW w:w="678" w:type="dxa"/>
          </w:tcPr>
          <w:p>
            <w:pPr>
              <w:pStyle w:val="TableParagraph"/>
              <w:spacing w:before="61"/>
              <w:ind w:left="6" w:right="5"/>
              <w:jc w:val="center"/>
              <w:rPr>
                <w:sz w:val="16"/>
              </w:rPr>
            </w:pPr>
            <w:r>
              <w:rPr>
                <w:spacing w:val="-2"/>
                <w:sz w:val="16"/>
              </w:rPr>
              <w:t>78.00%</w:t>
            </w:r>
          </w:p>
        </w:tc>
        <w:tc>
          <w:tcPr>
            <w:tcW w:w="675" w:type="dxa"/>
          </w:tcPr>
          <w:p>
            <w:pPr>
              <w:pStyle w:val="TableParagraph"/>
              <w:spacing w:before="61"/>
              <w:ind w:left="11" w:right="12"/>
              <w:jc w:val="center"/>
              <w:rPr>
                <w:sz w:val="16"/>
              </w:rPr>
            </w:pPr>
            <w:r>
              <w:rPr>
                <w:spacing w:val="-2"/>
                <w:sz w:val="16"/>
              </w:rPr>
              <w:t>80.00%</w:t>
            </w:r>
          </w:p>
        </w:tc>
      </w:tr>
      <w:tr>
        <w:trPr>
          <w:trHeight w:val="570" w:hRule="atLeast"/>
        </w:trPr>
        <w:tc>
          <w:tcPr>
            <w:tcW w:w="965"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684" w:type="dxa"/>
            <w:shd w:val="clear" w:color="auto" w:fill="C8C8C8"/>
          </w:tcPr>
          <w:p>
            <w:pPr>
              <w:pStyle w:val="TableParagraph"/>
              <w:rPr>
                <w:rFonts w:ascii="Times New Roman"/>
                <w:sz w:val="22"/>
              </w:rPr>
            </w:pPr>
          </w:p>
        </w:tc>
        <w:tc>
          <w:tcPr>
            <w:tcW w:w="675" w:type="dxa"/>
          </w:tcPr>
          <w:p>
            <w:pPr>
              <w:pStyle w:val="TableParagraph"/>
              <w:spacing w:before="13"/>
              <w:rPr>
                <w:sz w:val="16"/>
              </w:rPr>
            </w:pPr>
          </w:p>
          <w:p>
            <w:pPr>
              <w:pStyle w:val="TableParagraph"/>
              <w:ind w:left="11" w:right="3"/>
              <w:jc w:val="center"/>
              <w:rPr>
                <w:sz w:val="16"/>
              </w:rPr>
            </w:pPr>
            <w:r>
              <w:rPr>
                <w:spacing w:val="-5"/>
                <w:sz w:val="16"/>
              </w:rPr>
              <w:t>ND</w:t>
            </w:r>
          </w:p>
        </w:tc>
        <w:tc>
          <w:tcPr>
            <w:tcW w:w="677" w:type="dxa"/>
          </w:tcPr>
          <w:p>
            <w:pPr>
              <w:pStyle w:val="TableParagraph"/>
              <w:spacing w:before="13"/>
              <w:rPr>
                <w:sz w:val="16"/>
              </w:rPr>
            </w:pPr>
          </w:p>
          <w:p>
            <w:pPr>
              <w:pStyle w:val="TableParagraph"/>
              <w:ind w:left="15" w:right="11"/>
              <w:jc w:val="center"/>
              <w:rPr>
                <w:sz w:val="16"/>
              </w:rPr>
            </w:pPr>
            <w:r>
              <w:rPr>
                <w:spacing w:val="-2"/>
                <w:sz w:val="16"/>
              </w:rPr>
              <w:t>74.00%</w:t>
            </w:r>
          </w:p>
        </w:tc>
        <w:tc>
          <w:tcPr>
            <w:tcW w:w="768" w:type="dxa"/>
          </w:tcPr>
          <w:p>
            <w:pPr>
              <w:pStyle w:val="TableParagraph"/>
              <w:spacing w:before="13"/>
              <w:rPr>
                <w:sz w:val="16"/>
              </w:rPr>
            </w:pPr>
          </w:p>
          <w:p>
            <w:pPr>
              <w:pStyle w:val="TableParagraph"/>
              <w:ind w:left="8" w:right="5"/>
              <w:jc w:val="center"/>
              <w:rPr>
                <w:sz w:val="16"/>
              </w:rPr>
            </w:pPr>
            <w:r>
              <w:rPr>
                <w:spacing w:val="-2"/>
                <w:sz w:val="16"/>
              </w:rPr>
              <w:t>99.00%</w:t>
            </w:r>
          </w:p>
        </w:tc>
        <w:tc>
          <w:tcPr>
            <w:tcW w:w="674"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75"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78" w:type="dxa"/>
            <w:shd w:val="clear" w:color="auto" w:fill="C8C8C8"/>
          </w:tcPr>
          <w:p>
            <w:pPr>
              <w:pStyle w:val="TableParagraph"/>
              <w:rPr>
                <w:rFonts w:ascii="Times New Roman"/>
                <w:sz w:val="22"/>
              </w:rPr>
            </w:pPr>
          </w:p>
        </w:tc>
        <w:tc>
          <w:tcPr>
            <w:tcW w:w="675" w:type="dxa"/>
            <w:shd w:val="clear" w:color="auto" w:fill="C8C8C8"/>
          </w:tcPr>
          <w:p>
            <w:pPr>
              <w:pStyle w:val="TableParagraph"/>
              <w:rPr>
                <w:rFonts w:ascii="Times New Roman"/>
                <w:sz w:val="22"/>
              </w:rPr>
            </w:pPr>
          </w:p>
        </w:tc>
      </w:tr>
      <w:tr>
        <w:trPr>
          <w:trHeight w:val="570" w:hRule="atLeast"/>
        </w:trPr>
        <w:tc>
          <w:tcPr>
            <w:tcW w:w="965" w:type="dxa"/>
            <w:shd w:val="clear" w:color="auto" w:fill="44536A"/>
          </w:tcPr>
          <w:p>
            <w:pPr>
              <w:pStyle w:val="TableParagraph"/>
              <w:spacing w:line="240" w:lineRule="atLeast" w:before="30"/>
              <w:ind w:left="69" w:right="228"/>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684" w:type="dxa"/>
            <w:shd w:val="clear" w:color="auto" w:fill="C8C8C8"/>
          </w:tcPr>
          <w:p>
            <w:pPr>
              <w:pStyle w:val="TableParagraph"/>
              <w:rPr>
                <w:rFonts w:ascii="Times New Roman"/>
                <w:sz w:val="22"/>
              </w:rPr>
            </w:pPr>
          </w:p>
        </w:tc>
        <w:tc>
          <w:tcPr>
            <w:tcW w:w="675" w:type="dxa"/>
          </w:tcPr>
          <w:p>
            <w:pPr>
              <w:pStyle w:val="TableParagraph"/>
              <w:rPr>
                <w:rFonts w:ascii="Times New Roman"/>
                <w:sz w:val="22"/>
              </w:rPr>
            </w:pPr>
          </w:p>
        </w:tc>
        <w:tc>
          <w:tcPr>
            <w:tcW w:w="677" w:type="dxa"/>
          </w:tcPr>
          <w:p>
            <w:pPr>
              <w:pStyle w:val="TableParagraph"/>
              <w:spacing w:before="11"/>
              <w:rPr>
                <w:sz w:val="16"/>
              </w:rPr>
            </w:pPr>
          </w:p>
          <w:p>
            <w:pPr>
              <w:pStyle w:val="TableParagraph"/>
              <w:ind w:left="15" w:right="11"/>
              <w:jc w:val="center"/>
              <w:rPr>
                <w:sz w:val="16"/>
              </w:rPr>
            </w:pPr>
            <w:r>
              <w:rPr>
                <w:spacing w:val="-2"/>
                <w:sz w:val="16"/>
              </w:rPr>
              <w:t>113.8%</w:t>
            </w:r>
          </w:p>
        </w:tc>
        <w:tc>
          <w:tcPr>
            <w:tcW w:w="768" w:type="dxa"/>
          </w:tcPr>
          <w:p>
            <w:pPr>
              <w:pStyle w:val="TableParagraph"/>
              <w:spacing w:before="11"/>
              <w:rPr>
                <w:sz w:val="16"/>
              </w:rPr>
            </w:pPr>
          </w:p>
          <w:p>
            <w:pPr>
              <w:pStyle w:val="TableParagraph"/>
              <w:ind w:left="8" w:right="4"/>
              <w:jc w:val="center"/>
              <w:rPr>
                <w:sz w:val="16"/>
              </w:rPr>
            </w:pPr>
            <w:r>
              <w:rPr>
                <w:spacing w:val="-2"/>
                <w:sz w:val="16"/>
              </w:rPr>
              <w:t>147.70%</w:t>
            </w:r>
          </w:p>
        </w:tc>
        <w:tc>
          <w:tcPr>
            <w:tcW w:w="674"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75"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78" w:type="dxa"/>
            <w:shd w:val="clear" w:color="auto" w:fill="C8C8C8"/>
          </w:tcPr>
          <w:p>
            <w:pPr>
              <w:pStyle w:val="TableParagraph"/>
              <w:rPr>
                <w:rFonts w:ascii="Times New Roman"/>
                <w:sz w:val="22"/>
              </w:rPr>
            </w:pPr>
          </w:p>
        </w:tc>
        <w:tc>
          <w:tcPr>
            <w:tcW w:w="675" w:type="dxa"/>
            <w:shd w:val="clear" w:color="auto" w:fill="C8C8C8"/>
          </w:tcPr>
          <w:p>
            <w:pPr>
              <w:pStyle w:val="TableParagraph"/>
              <w:rPr>
                <w:rFonts w:ascii="Times New Roman"/>
                <w:sz w:val="22"/>
              </w:rPr>
            </w:pPr>
          </w:p>
        </w:tc>
      </w:tr>
    </w:tbl>
    <w:p>
      <w:pPr>
        <w:spacing w:line="307" w:lineRule="auto" w:before="26"/>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6"/>
        <w:rPr>
          <w:sz w:val="18"/>
        </w:rPr>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7" w:lineRule="auto" w:before="234"/>
        <w:ind w:left="143" w:right="707"/>
        <w:jc w:val="both"/>
      </w:pPr>
      <w:r>
        <w:rPr/>
        <w:t>El</w:t>
      </w:r>
      <w:r>
        <w:rPr>
          <w:spacing w:val="-4"/>
        </w:rPr>
        <w:t> </w:t>
      </w:r>
      <w:r>
        <w:rPr/>
        <w:t>indicador</w:t>
      </w:r>
      <w:r>
        <w:rPr>
          <w:spacing w:val="-5"/>
        </w:rPr>
        <w:t> </w:t>
      </w:r>
      <w:r>
        <w:rPr/>
        <w:t>de</w:t>
      </w:r>
      <w:r>
        <w:rPr>
          <w:spacing w:val="-3"/>
        </w:rPr>
        <w:t> </w:t>
      </w:r>
      <w:r>
        <w:rPr/>
        <w:t>eficacia</w:t>
      </w:r>
      <w:r>
        <w:rPr>
          <w:spacing w:val="-6"/>
        </w:rPr>
        <w:t> </w:t>
      </w:r>
      <w:r>
        <w:rPr/>
        <w:t>identifica</w:t>
      </w:r>
      <w:r>
        <w:rPr>
          <w:spacing w:val="-5"/>
        </w:rPr>
        <w:t> </w:t>
      </w:r>
      <w:r>
        <w:rPr/>
        <w:t>que</w:t>
      </w:r>
      <w:r>
        <w:rPr>
          <w:spacing w:val="-5"/>
        </w:rPr>
        <w:t> </w:t>
      </w:r>
      <w:r>
        <w:rPr/>
        <w:t>el</w:t>
      </w:r>
      <w:r>
        <w:rPr>
          <w:spacing w:val="-2"/>
        </w:rPr>
        <w:t> </w:t>
      </w:r>
      <w:r>
        <w:rPr/>
        <w:t>7.4%</w:t>
      </w:r>
      <w:r>
        <w:rPr>
          <w:spacing w:val="-4"/>
        </w:rPr>
        <w:t> </w:t>
      </w:r>
      <w:r>
        <w:rPr/>
        <w:t>de</w:t>
      </w:r>
      <w:r>
        <w:rPr>
          <w:spacing w:val="-5"/>
        </w:rPr>
        <w:t> </w:t>
      </w:r>
      <w:r>
        <w:rPr/>
        <w:t>las</w:t>
      </w:r>
      <w:r>
        <w:rPr>
          <w:spacing w:val="-4"/>
        </w:rPr>
        <w:t> </w:t>
      </w:r>
      <w:r>
        <w:rPr/>
        <w:t>mujeres</w:t>
      </w:r>
      <w:r>
        <w:rPr>
          <w:spacing w:val="-4"/>
        </w:rPr>
        <w:t> </w:t>
      </w:r>
      <w:r>
        <w:rPr/>
        <w:t>artesanas</w:t>
      </w:r>
      <w:r>
        <w:rPr>
          <w:spacing w:val="-4"/>
        </w:rPr>
        <w:t> </w:t>
      </w:r>
      <w:r>
        <w:rPr/>
        <w:t>inscritas en el Registro Nacional del Artesano (RNA), reciben capacitación y asistencia técnica, con lo que ha superado la meta programada para el 2030 (5.0%).</w:t>
      </w:r>
    </w:p>
    <w:p>
      <w:pPr>
        <w:pStyle w:val="BodyText"/>
        <w:spacing w:line="307" w:lineRule="auto" w:before="160"/>
        <w:ind w:left="143" w:right="703"/>
        <w:jc w:val="both"/>
      </w:pPr>
      <w:r>
        <w:rPr>
          <w:spacing w:val="-2"/>
          <w:w w:val="105"/>
        </w:rPr>
        <w:t>Respecto</w:t>
      </w:r>
      <w:r>
        <w:rPr>
          <w:spacing w:val="-12"/>
          <w:w w:val="105"/>
        </w:rPr>
        <w:t> </w:t>
      </w:r>
      <w:r>
        <w:rPr>
          <w:spacing w:val="-2"/>
          <w:w w:val="105"/>
        </w:rPr>
        <w:t>al</w:t>
      </w:r>
      <w:r>
        <w:rPr>
          <w:spacing w:val="-12"/>
          <w:w w:val="105"/>
        </w:rPr>
        <w:t> </w:t>
      </w:r>
      <w:r>
        <w:rPr>
          <w:spacing w:val="-2"/>
          <w:w w:val="105"/>
        </w:rPr>
        <w:t>indicador</w:t>
      </w:r>
      <w:r>
        <w:rPr>
          <w:spacing w:val="-12"/>
          <w:w w:val="105"/>
        </w:rPr>
        <w:t> </w:t>
      </w:r>
      <w:r>
        <w:rPr>
          <w:spacing w:val="-2"/>
          <w:w w:val="105"/>
        </w:rPr>
        <w:t>de</w:t>
      </w:r>
      <w:r>
        <w:rPr>
          <w:spacing w:val="-13"/>
          <w:w w:val="105"/>
        </w:rPr>
        <w:t> </w:t>
      </w:r>
      <w:r>
        <w:rPr>
          <w:spacing w:val="-2"/>
          <w:w w:val="105"/>
        </w:rPr>
        <w:t>calidad,</w:t>
      </w:r>
      <w:r>
        <w:rPr>
          <w:spacing w:val="-12"/>
          <w:w w:val="105"/>
        </w:rPr>
        <w:t> </w:t>
      </w:r>
      <w:r>
        <w:rPr>
          <w:spacing w:val="-2"/>
          <w:w w:val="105"/>
        </w:rPr>
        <w:t>en</w:t>
      </w:r>
      <w:r>
        <w:rPr>
          <w:spacing w:val="-12"/>
          <w:w w:val="105"/>
        </w:rPr>
        <w:t> </w:t>
      </w:r>
      <w:r>
        <w:rPr>
          <w:spacing w:val="-2"/>
          <w:w w:val="105"/>
        </w:rPr>
        <w:t>el</w:t>
      </w:r>
      <w:r>
        <w:rPr>
          <w:spacing w:val="-12"/>
          <w:w w:val="105"/>
        </w:rPr>
        <w:t> </w:t>
      </w:r>
      <w:r>
        <w:rPr>
          <w:spacing w:val="-2"/>
          <w:w w:val="105"/>
        </w:rPr>
        <w:t>2023</w:t>
      </w:r>
      <w:r>
        <w:rPr>
          <w:spacing w:val="-7"/>
          <w:w w:val="105"/>
        </w:rPr>
        <w:t> </w:t>
      </w:r>
      <w:r>
        <w:rPr>
          <w:spacing w:val="-2"/>
          <w:w w:val="105"/>
        </w:rPr>
        <w:t>reporta</w:t>
      </w:r>
      <w:r>
        <w:rPr>
          <w:spacing w:val="-12"/>
          <w:w w:val="105"/>
        </w:rPr>
        <w:t> </w:t>
      </w:r>
      <w:r>
        <w:rPr>
          <w:spacing w:val="-2"/>
          <w:w w:val="105"/>
        </w:rPr>
        <w:t>un</w:t>
      </w:r>
      <w:r>
        <w:rPr>
          <w:spacing w:val="-13"/>
          <w:w w:val="105"/>
        </w:rPr>
        <w:t> </w:t>
      </w:r>
      <w:r>
        <w:rPr>
          <w:spacing w:val="-2"/>
          <w:w w:val="105"/>
        </w:rPr>
        <w:t>valor</w:t>
      </w:r>
      <w:r>
        <w:rPr>
          <w:spacing w:val="-12"/>
          <w:w w:val="105"/>
        </w:rPr>
        <w:t> </w:t>
      </w:r>
      <w:r>
        <w:rPr>
          <w:spacing w:val="-2"/>
          <w:w w:val="105"/>
        </w:rPr>
        <w:t>de</w:t>
      </w:r>
      <w:r>
        <w:rPr>
          <w:spacing w:val="-13"/>
          <w:w w:val="105"/>
        </w:rPr>
        <w:t> </w:t>
      </w:r>
      <w:r>
        <w:rPr>
          <w:spacing w:val="-2"/>
          <w:w w:val="105"/>
        </w:rPr>
        <w:t>99.0%</w:t>
      </w:r>
      <w:r>
        <w:rPr>
          <w:spacing w:val="-11"/>
          <w:w w:val="105"/>
        </w:rPr>
        <w:t> </w:t>
      </w:r>
      <w:r>
        <w:rPr>
          <w:spacing w:val="-2"/>
          <w:w w:val="105"/>
        </w:rPr>
        <w:t>con</w:t>
      </w:r>
      <w:r>
        <w:rPr>
          <w:spacing w:val="-12"/>
          <w:w w:val="105"/>
        </w:rPr>
        <w:t> </w:t>
      </w:r>
      <w:r>
        <w:rPr>
          <w:spacing w:val="-2"/>
          <w:w w:val="105"/>
        </w:rPr>
        <w:t>un </w:t>
      </w:r>
      <w:r>
        <w:rPr>
          <w:w w:val="105"/>
        </w:rPr>
        <w:t>nivel</w:t>
      </w:r>
      <w:r>
        <w:rPr>
          <w:w w:val="105"/>
        </w:rPr>
        <w:t> de</w:t>
      </w:r>
      <w:r>
        <w:rPr>
          <w:w w:val="105"/>
        </w:rPr>
        <w:t> cumplimiento</w:t>
      </w:r>
      <w:r>
        <w:rPr>
          <w:w w:val="105"/>
        </w:rPr>
        <w:t> alto</w:t>
      </w:r>
      <w:r>
        <w:rPr>
          <w:w w:val="105"/>
        </w:rPr>
        <w:t> de</w:t>
      </w:r>
      <w:r>
        <w:rPr>
          <w:w w:val="105"/>
        </w:rPr>
        <w:t> la</w:t>
      </w:r>
      <w:r>
        <w:rPr>
          <w:w w:val="105"/>
        </w:rPr>
        <w:t> meta</w:t>
      </w:r>
      <w:r>
        <w:rPr>
          <w:w w:val="105"/>
        </w:rPr>
        <w:t> sin</w:t>
      </w:r>
      <w:r>
        <w:rPr>
          <w:w w:val="105"/>
        </w:rPr>
        <w:t> alerta</w:t>
      </w:r>
      <w:r>
        <w:rPr>
          <w:w w:val="105"/>
        </w:rPr>
        <w:t> de</w:t>
      </w:r>
      <w:r>
        <w:rPr>
          <w:w w:val="105"/>
        </w:rPr>
        <w:t> falla</w:t>
      </w:r>
      <w:r>
        <w:rPr>
          <w:w w:val="105"/>
        </w:rPr>
        <w:t> de</w:t>
      </w:r>
      <w:r>
        <w:rPr>
          <w:w w:val="105"/>
        </w:rPr>
        <w:t> planeación;</w:t>
      </w:r>
      <w:r>
        <w:rPr>
          <w:w w:val="105"/>
        </w:rPr>
        <w:t> no obstante,</w:t>
      </w:r>
      <w:r>
        <w:rPr>
          <w:spacing w:val="-18"/>
          <w:w w:val="105"/>
        </w:rPr>
        <w:t> </w:t>
      </w:r>
      <w:r>
        <w:rPr>
          <w:w w:val="105"/>
        </w:rPr>
        <w:t>se</w:t>
      </w:r>
      <w:r>
        <w:rPr>
          <w:spacing w:val="-16"/>
          <w:w w:val="105"/>
        </w:rPr>
        <w:t> </w:t>
      </w:r>
      <w:r>
        <w:rPr>
          <w:w w:val="105"/>
        </w:rPr>
        <w:t>observa</w:t>
      </w:r>
      <w:r>
        <w:rPr>
          <w:spacing w:val="-17"/>
          <w:w w:val="105"/>
        </w:rPr>
        <w:t> </w:t>
      </w:r>
      <w:r>
        <w:rPr>
          <w:w w:val="105"/>
        </w:rPr>
        <w:t>que</w:t>
      </w:r>
      <w:r>
        <w:rPr>
          <w:spacing w:val="-17"/>
          <w:w w:val="105"/>
        </w:rPr>
        <w:t> </w:t>
      </w:r>
      <w:r>
        <w:rPr>
          <w:w w:val="105"/>
        </w:rPr>
        <w:t>el</w:t>
      </w:r>
      <w:r>
        <w:rPr>
          <w:spacing w:val="-17"/>
          <w:w w:val="105"/>
        </w:rPr>
        <w:t> </w:t>
      </w:r>
      <w:r>
        <w:rPr>
          <w:w w:val="105"/>
        </w:rPr>
        <w:t>valor</w:t>
      </w:r>
      <w:r>
        <w:rPr>
          <w:spacing w:val="-18"/>
          <w:w w:val="105"/>
        </w:rPr>
        <w:t> </w:t>
      </w:r>
      <w:r>
        <w:rPr>
          <w:w w:val="105"/>
        </w:rPr>
        <w:t>reportado</w:t>
      </w:r>
      <w:r>
        <w:rPr>
          <w:spacing w:val="-17"/>
          <w:w w:val="105"/>
        </w:rPr>
        <w:t> </w:t>
      </w:r>
      <w:r>
        <w:rPr>
          <w:w w:val="105"/>
        </w:rPr>
        <w:t>supera</w:t>
      </w:r>
      <w:r>
        <w:rPr>
          <w:spacing w:val="-18"/>
          <w:w w:val="105"/>
        </w:rPr>
        <w:t> </w:t>
      </w:r>
      <w:r>
        <w:rPr>
          <w:w w:val="105"/>
        </w:rPr>
        <w:t>la</w:t>
      </w:r>
      <w:r>
        <w:rPr>
          <w:spacing w:val="-16"/>
          <w:w w:val="105"/>
        </w:rPr>
        <w:t> </w:t>
      </w:r>
      <w:r>
        <w:rPr>
          <w:w w:val="105"/>
        </w:rPr>
        <w:t>meta</w:t>
      </w:r>
      <w:r>
        <w:rPr>
          <w:spacing w:val="-18"/>
          <w:w w:val="105"/>
        </w:rPr>
        <w:t> </w:t>
      </w:r>
      <w:r>
        <w:rPr>
          <w:w w:val="105"/>
        </w:rPr>
        <w:t>programada</w:t>
      </w:r>
      <w:r>
        <w:rPr>
          <w:spacing w:val="-15"/>
          <w:w w:val="105"/>
        </w:rPr>
        <w:t> </w:t>
      </w:r>
      <w:r>
        <w:rPr>
          <w:w w:val="105"/>
        </w:rPr>
        <w:t>2030 </w:t>
      </w:r>
      <w:r>
        <w:rPr>
          <w:spacing w:val="-2"/>
          <w:w w:val="105"/>
        </w:rPr>
        <w:t>(80.0%)</w:t>
      </w:r>
    </w:p>
    <w:p>
      <w:pPr>
        <w:pStyle w:val="BodyText"/>
        <w:spacing w:line="307" w:lineRule="auto" w:before="157"/>
        <w:ind w:left="143" w:right="701"/>
        <w:jc w:val="both"/>
      </w:pPr>
      <w:r>
        <w:rPr/>
        <w:t>Respecto a ello, se reportó que el fortalecimiento de capacidades, articulación intersectorial, presupuesto, programación y planificación, recursos humanos adecuados, trabajo en equipo, priorización por coyuntura contribuyó a la eficacia y calidad del servicio. Además, las campañas para identificar el mayor número</w:t>
      </w:r>
      <w:r>
        <w:rPr>
          <w:spacing w:val="-9"/>
        </w:rPr>
        <w:t> </w:t>
      </w:r>
      <w:r>
        <w:rPr/>
        <w:t>de</w:t>
      </w:r>
      <w:r>
        <w:rPr>
          <w:spacing w:val="-10"/>
        </w:rPr>
        <w:t> </w:t>
      </w:r>
      <w:r>
        <w:rPr/>
        <w:t>artesanas</w:t>
      </w:r>
      <w:r>
        <w:rPr>
          <w:spacing w:val="-12"/>
        </w:rPr>
        <w:t> </w:t>
      </w:r>
      <w:r>
        <w:rPr/>
        <w:t>a</w:t>
      </w:r>
      <w:r>
        <w:rPr>
          <w:spacing w:val="-10"/>
        </w:rPr>
        <w:t> </w:t>
      </w:r>
      <w:r>
        <w:rPr/>
        <w:t>través</w:t>
      </w:r>
      <w:r>
        <w:rPr>
          <w:spacing w:val="-10"/>
        </w:rPr>
        <w:t> </w:t>
      </w:r>
      <w:r>
        <w:rPr/>
        <w:t>del</w:t>
      </w:r>
      <w:r>
        <w:rPr>
          <w:spacing w:val="-9"/>
        </w:rPr>
        <w:t> </w:t>
      </w:r>
      <w:r>
        <w:rPr/>
        <w:t>RNA</w:t>
      </w:r>
      <w:r>
        <w:rPr>
          <w:spacing w:val="-11"/>
        </w:rPr>
        <w:t> </w:t>
      </w:r>
      <w:r>
        <w:rPr/>
        <w:t>y</w:t>
      </w:r>
      <w:r>
        <w:rPr>
          <w:spacing w:val="-10"/>
        </w:rPr>
        <w:t> </w:t>
      </w:r>
      <w:r>
        <w:rPr/>
        <w:t>las</w:t>
      </w:r>
      <w:r>
        <w:rPr>
          <w:spacing w:val="-10"/>
        </w:rPr>
        <w:t> </w:t>
      </w:r>
      <w:r>
        <w:rPr/>
        <w:t>coordinaciones</w:t>
      </w:r>
      <w:r>
        <w:rPr>
          <w:spacing w:val="-10"/>
        </w:rPr>
        <w:t> </w:t>
      </w:r>
      <w:r>
        <w:rPr/>
        <w:t>frecuentes</w:t>
      </w:r>
      <w:r>
        <w:rPr>
          <w:spacing w:val="-9"/>
        </w:rPr>
        <w:t> </w:t>
      </w:r>
      <w:r>
        <w:rPr/>
        <w:t>para</w:t>
      </w:r>
      <w:r>
        <w:rPr>
          <w:spacing w:val="-12"/>
        </w:rPr>
        <w:t> </w:t>
      </w:r>
      <w:r>
        <w:rPr/>
        <w:t>que los participantes de las diferentes intervenciones formen parte del registro en mención influyó en la mejora del nivel de avance de los indicadores. En ese sentido, es posible que las condiciones del servicio sean mejores a las consideradas al momento de la proyección de metas y se subestimaran los resultados de su implementación.</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4"/>
        <w:jc w:val="both"/>
      </w:pPr>
      <w:r>
        <w:rPr/>
        <w:t>Por otro lado, la información para el cálculo del indicador proviene del Registro </w:t>
      </w:r>
      <w:r>
        <w:rPr>
          <w:w w:val="105"/>
        </w:rPr>
        <w:t>Nacional</w:t>
      </w:r>
      <w:r>
        <w:rPr>
          <w:w w:val="105"/>
        </w:rPr>
        <w:t> del</w:t>
      </w:r>
      <w:r>
        <w:rPr>
          <w:w w:val="105"/>
        </w:rPr>
        <w:t> Artesano</w:t>
      </w:r>
      <w:r>
        <w:rPr>
          <w:w w:val="105"/>
        </w:rPr>
        <w:t> el</w:t>
      </w:r>
      <w:r>
        <w:rPr>
          <w:w w:val="105"/>
        </w:rPr>
        <w:t> cual</w:t>
      </w:r>
      <w:r>
        <w:rPr>
          <w:w w:val="105"/>
        </w:rPr>
        <w:t> contiene</w:t>
      </w:r>
      <w:r>
        <w:rPr>
          <w:w w:val="105"/>
        </w:rPr>
        <w:t> información</w:t>
      </w:r>
      <w:r>
        <w:rPr>
          <w:w w:val="105"/>
        </w:rPr>
        <w:t> nominal</w:t>
      </w:r>
      <w:r>
        <w:rPr>
          <w:w w:val="105"/>
        </w:rPr>
        <w:t> de</w:t>
      </w:r>
      <w:r>
        <w:rPr>
          <w:w w:val="105"/>
        </w:rPr>
        <w:t> aquellas </w:t>
      </w:r>
      <w:r>
        <w:rPr/>
        <w:t>personas (naturales y jurídicas) que se dedican a la producción</w:t>
      </w:r>
      <w:r>
        <w:rPr>
          <w:spacing w:val="-1"/>
        </w:rPr>
        <w:t> </w:t>
      </w:r>
      <w:r>
        <w:rPr/>
        <w:t>de alguna línea </w:t>
      </w:r>
      <w:r>
        <w:rPr>
          <w:w w:val="105"/>
        </w:rPr>
        <w:t>artesanal.</w:t>
      </w:r>
      <w:r>
        <w:rPr>
          <w:w w:val="105"/>
        </w:rPr>
        <w:t> No</w:t>
      </w:r>
      <w:r>
        <w:rPr>
          <w:w w:val="105"/>
        </w:rPr>
        <w:t> obstante,</w:t>
      </w:r>
      <w:r>
        <w:rPr>
          <w:w w:val="105"/>
        </w:rPr>
        <w:t> el</w:t>
      </w:r>
      <w:r>
        <w:rPr>
          <w:w w:val="105"/>
        </w:rPr>
        <w:t> servicio</w:t>
      </w:r>
      <w:r>
        <w:rPr>
          <w:w w:val="105"/>
        </w:rPr>
        <w:t> realizó</w:t>
      </w:r>
      <w:r>
        <w:rPr>
          <w:w w:val="105"/>
        </w:rPr>
        <w:t> una</w:t>
      </w:r>
      <w:r>
        <w:rPr>
          <w:w w:val="105"/>
        </w:rPr>
        <w:t> estimación</w:t>
      </w:r>
      <w:r>
        <w:rPr>
          <w:w w:val="105"/>
        </w:rPr>
        <w:t> de</w:t>
      </w:r>
      <w:r>
        <w:rPr>
          <w:w w:val="105"/>
        </w:rPr>
        <w:t> la</w:t>
      </w:r>
      <w:r>
        <w:rPr>
          <w:w w:val="105"/>
        </w:rPr>
        <w:t> cantidad</w:t>
      </w:r>
      <w:r>
        <w:rPr>
          <w:w w:val="105"/>
        </w:rPr>
        <w:t> de mujeres</w:t>
      </w:r>
      <w:r>
        <w:rPr>
          <w:spacing w:val="-14"/>
          <w:w w:val="105"/>
        </w:rPr>
        <w:t> </w:t>
      </w:r>
      <w:r>
        <w:rPr>
          <w:w w:val="105"/>
        </w:rPr>
        <w:t>inscritas</w:t>
      </w:r>
      <w:r>
        <w:rPr>
          <w:spacing w:val="-14"/>
          <w:w w:val="105"/>
        </w:rPr>
        <w:t> </w:t>
      </w:r>
      <w:r>
        <w:rPr>
          <w:w w:val="105"/>
        </w:rPr>
        <w:t>en</w:t>
      </w:r>
      <w:r>
        <w:rPr>
          <w:spacing w:val="-14"/>
          <w:w w:val="105"/>
        </w:rPr>
        <w:t> </w:t>
      </w:r>
      <w:r>
        <w:rPr>
          <w:w w:val="105"/>
        </w:rPr>
        <w:t>el</w:t>
      </w:r>
      <w:r>
        <w:rPr>
          <w:spacing w:val="-15"/>
          <w:w w:val="105"/>
        </w:rPr>
        <w:t> </w:t>
      </w:r>
      <w:r>
        <w:rPr>
          <w:w w:val="105"/>
        </w:rPr>
        <w:t>registro</w:t>
      </w:r>
      <w:r>
        <w:rPr>
          <w:spacing w:val="-14"/>
          <w:w w:val="105"/>
        </w:rPr>
        <w:t> </w:t>
      </w:r>
      <w:r>
        <w:rPr>
          <w:w w:val="105"/>
        </w:rPr>
        <w:t>para</w:t>
      </w:r>
      <w:r>
        <w:rPr>
          <w:spacing w:val="-14"/>
          <w:w w:val="105"/>
        </w:rPr>
        <w:t> </w:t>
      </w:r>
      <w:r>
        <w:rPr>
          <w:w w:val="105"/>
        </w:rPr>
        <w:t>el</w:t>
      </w:r>
      <w:r>
        <w:rPr>
          <w:spacing w:val="-10"/>
          <w:w w:val="105"/>
        </w:rPr>
        <w:t> </w:t>
      </w:r>
      <w:r>
        <w:rPr>
          <w:w w:val="105"/>
        </w:rPr>
        <w:t>cálculo</w:t>
      </w:r>
      <w:r>
        <w:rPr>
          <w:spacing w:val="-13"/>
          <w:w w:val="105"/>
        </w:rPr>
        <w:t> </w:t>
      </w:r>
      <w:r>
        <w:rPr>
          <w:w w:val="105"/>
        </w:rPr>
        <w:t>del</w:t>
      </w:r>
      <w:r>
        <w:rPr>
          <w:spacing w:val="-15"/>
          <w:w w:val="105"/>
        </w:rPr>
        <w:t> </w:t>
      </w:r>
      <w:r>
        <w:rPr>
          <w:w w:val="105"/>
        </w:rPr>
        <w:t>indicador.</w:t>
      </w:r>
    </w:p>
    <w:p>
      <w:pPr>
        <w:pStyle w:val="BodyText"/>
        <w:spacing w:line="307" w:lineRule="auto" w:before="156"/>
        <w:ind w:left="143" w:right="709"/>
        <w:jc w:val="both"/>
      </w:pPr>
      <w:r>
        <w:rPr/>
        <w:t>Adicional a ello, se observa que en la ficha técnica no se especifica como se realizará</w:t>
      </w:r>
      <w:r>
        <w:rPr>
          <w:spacing w:val="-11"/>
        </w:rPr>
        <w:t> </w:t>
      </w:r>
      <w:r>
        <w:rPr/>
        <w:t>la</w:t>
      </w:r>
      <w:r>
        <w:rPr>
          <w:spacing w:val="-15"/>
        </w:rPr>
        <w:t> </w:t>
      </w:r>
      <w:r>
        <w:rPr/>
        <w:t>contabilidad</w:t>
      </w:r>
      <w:r>
        <w:rPr>
          <w:spacing w:val="-11"/>
        </w:rPr>
        <w:t> </w:t>
      </w:r>
      <w:r>
        <w:rPr/>
        <w:t>de</w:t>
      </w:r>
      <w:r>
        <w:rPr>
          <w:spacing w:val="-11"/>
        </w:rPr>
        <w:t> </w:t>
      </w:r>
      <w:r>
        <w:rPr/>
        <w:t>las</w:t>
      </w:r>
      <w:r>
        <w:rPr>
          <w:spacing w:val="-11"/>
        </w:rPr>
        <w:t> </w:t>
      </w:r>
      <w:r>
        <w:rPr/>
        <w:t>mujeres</w:t>
      </w:r>
      <w:r>
        <w:rPr>
          <w:spacing w:val="-11"/>
        </w:rPr>
        <w:t> </w:t>
      </w:r>
      <w:r>
        <w:rPr/>
        <w:t>artesanas</w:t>
      </w:r>
      <w:r>
        <w:rPr>
          <w:spacing w:val="-11"/>
        </w:rPr>
        <w:t> </w:t>
      </w:r>
      <w:r>
        <w:rPr/>
        <w:t>cuando</w:t>
      </w:r>
      <w:r>
        <w:rPr>
          <w:spacing w:val="-11"/>
        </w:rPr>
        <w:t> </w:t>
      </w:r>
      <w:r>
        <w:rPr/>
        <w:t>la</w:t>
      </w:r>
      <w:r>
        <w:rPr>
          <w:spacing w:val="-12"/>
        </w:rPr>
        <w:t> </w:t>
      </w:r>
      <w:r>
        <w:rPr/>
        <w:t>persona</w:t>
      </w:r>
      <w:r>
        <w:rPr>
          <w:spacing w:val="-12"/>
        </w:rPr>
        <w:t> </w:t>
      </w:r>
      <w:r>
        <w:rPr/>
        <w:t>inscrita</w:t>
      </w:r>
      <w:r>
        <w:rPr>
          <w:spacing w:val="-12"/>
        </w:rPr>
        <w:t> </w:t>
      </w:r>
      <w:r>
        <w:rPr/>
        <w:t>sea jurídica. Esto dificulta la interpretación de los resultados antes descritos.</w:t>
      </w:r>
    </w:p>
    <w:p>
      <w:pPr>
        <w:pStyle w:val="BodyText"/>
        <w:spacing w:line="307" w:lineRule="auto" w:before="160"/>
        <w:ind w:left="143" w:right="705"/>
        <w:jc w:val="both"/>
      </w:pPr>
      <w:r>
        <w:rPr/>
        <w:t>En ese sentido, adicional a que el indicador es afectado por el contexto señalado, existe una necesidad de ajustar las especificaciones técnicas de los indicadores asi como modificar las metas en función a las condiciones actuales del servicio y su contribución esperada en la política.</w:t>
      </w:r>
    </w:p>
    <w:p>
      <w:pPr>
        <w:pStyle w:val="ListParagraph"/>
        <w:numPr>
          <w:ilvl w:val="2"/>
          <w:numId w:val="3"/>
        </w:numPr>
        <w:tabs>
          <w:tab w:pos="1222" w:val="left" w:leader="none"/>
        </w:tabs>
        <w:spacing w:line="307" w:lineRule="auto" w:before="157" w:after="0"/>
        <w:ind w:left="1222" w:right="710" w:hanging="720"/>
        <w:jc w:val="both"/>
        <w:rPr>
          <w:sz w:val="24"/>
        </w:rPr>
      </w:pPr>
      <w:r>
        <w:rPr>
          <w:color w:val="2E5395"/>
          <w:sz w:val="24"/>
        </w:rPr>
        <w:t>Servicio 05.03.01 Asistencia Técnica para la Incorporación del enfoque de género en los Sistemas Administrativos de la Gestión Pública, de manera oportuna y fiable.</w:t>
      </w:r>
    </w:p>
    <w:p>
      <w:pPr>
        <w:pStyle w:val="BodyText"/>
        <w:spacing w:before="207"/>
      </w:pPr>
    </w:p>
    <w:p>
      <w:pPr>
        <w:pStyle w:val="ListParagraph"/>
        <w:numPr>
          <w:ilvl w:val="3"/>
          <w:numId w:val="3"/>
        </w:numPr>
        <w:tabs>
          <w:tab w:pos="862" w:val="left" w:leader="none"/>
        </w:tabs>
        <w:spacing w:line="240" w:lineRule="auto" w:before="1"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line="307" w:lineRule="auto" w:before="234"/>
        <w:ind w:left="143" w:right="707"/>
        <w:jc w:val="both"/>
      </w:pPr>
      <w:r>
        <w:rPr/>
        <w:t>El servicio consiste en brindar orientaciones técnicas para el conocimiento, la comprensión,</w:t>
      </w:r>
      <w:r>
        <w:rPr>
          <w:spacing w:val="-3"/>
        </w:rPr>
        <w:t> </w:t>
      </w:r>
      <w:r>
        <w:rPr/>
        <w:t>e</w:t>
      </w:r>
      <w:r>
        <w:rPr>
          <w:spacing w:val="-3"/>
        </w:rPr>
        <w:t> </w:t>
      </w:r>
      <w:r>
        <w:rPr/>
        <w:t>incorporación</w:t>
      </w:r>
      <w:r>
        <w:rPr>
          <w:spacing w:val="-4"/>
        </w:rPr>
        <w:t> </w:t>
      </w:r>
      <w:r>
        <w:rPr/>
        <w:t>de</w:t>
      </w:r>
      <w:r>
        <w:rPr>
          <w:spacing w:val="-3"/>
        </w:rPr>
        <w:t> </w:t>
      </w:r>
      <w:r>
        <w:rPr/>
        <w:t>los</w:t>
      </w:r>
      <w:r>
        <w:rPr>
          <w:spacing w:val="-3"/>
        </w:rPr>
        <w:t> </w:t>
      </w:r>
      <w:r>
        <w:rPr/>
        <w:t>enfoques</w:t>
      </w:r>
      <w:r>
        <w:rPr>
          <w:spacing w:val="-3"/>
        </w:rPr>
        <w:t> </w:t>
      </w:r>
      <w:r>
        <w:rPr/>
        <w:t>de</w:t>
      </w:r>
      <w:r>
        <w:rPr>
          <w:spacing w:val="-3"/>
        </w:rPr>
        <w:t> </w:t>
      </w:r>
      <w:r>
        <w:rPr/>
        <w:t>género</w:t>
      </w:r>
      <w:r>
        <w:rPr>
          <w:spacing w:val="-3"/>
        </w:rPr>
        <w:t> </w:t>
      </w:r>
      <w:r>
        <w:rPr/>
        <w:t>e</w:t>
      </w:r>
      <w:r>
        <w:rPr>
          <w:spacing w:val="-3"/>
        </w:rPr>
        <w:t> </w:t>
      </w:r>
      <w:r>
        <w:rPr/>
        <w:t>interseccional</w:t>
      </w:r>
      <w:r>
        <w:rPr>
          <w:spacing w:val="-3"/>
        </w:rPr>
        <w:t> </w:t>
      </w:r>
      <w:r>
        <w:rPr/>
        <w:t>en</w:t>
      </w:r>
      <w:r>
        <w:rPr>
          <w:spacing w:val="-3"/>
        </w:rPr>
        <w:t> </w:t>
      </w:r>
      <w:r>
        <w:rPr/>
        <w:t>los sistemas referidos al Planeamiento Estratégico; a la Programación Multianual y Gestión de Inversiones; al Presupuesto Público y a la Gestión de Recursos </w:t>
      </w:r>
      <w:r>
        <w:rPr>
          <w:spacing w:val="-2"/>
        </w:rPr>
        <w:t>Humanos.</w:t>
      </w:r>
    </w:p>
    <w:p>
      <w:pPr>
        <w:spacing w:line="307" w:lineRule="auto" w:before="156"/>
        <w:ind w:left="143" w:right="704" w:firstLine="0"/>
        <w:jc w:val="both"/>
        <w:rPr>
          <w:sz w:val="24"/>
        </w:rPr>
      </w:pPr>
      <w:r>
        <w:rPr>
          <w:sz w:val="24"/>
        </w:rPr>
        <w:t>El</w:t>
      </w:r>
      <w:r>
        <w:rPr>
          <w:spacing w:val="-11"/>
          <w:sz w:val="24"/>
        </w:rPr>
        <w:t> </w:t>
      </w:r>
      <w:r>
        <w:rPr>
          <w:sz w:val="24"/>
        </w:rPr>
        <w:t>sector</w:t>
      </w:r>
      <w:r>
        <w:rPr>
          <w:spacing w:val="-11"/>
          <w:sz w:val="24"/>
        </w:rPr>
        <w:t> </w:t>
      </w:r>
      <w:r>
        <w:rPr>
          <w:sz w:val="24"/>
        </w:rPr>
        <w:t>a</w:t>
      </w:r>
      <w:r>
        <w:rPr>
          <w:spacing w:val="-14"/>
          <w:sz w:val="24"/>
        </w:rPr>
        <w:t> </w:t>
      </w:r>
      <w:r>
        <w:rPr>
          <w:sz w:val="24"/>
        </w:rPr>
        <w:t>cargo</w:t>
      </w:r>
      <w:r>
        <w:rPr>
          <w:spacing w:val="-13"/>
          <w:sz w:val="24"/>
        </w:rPr>
        <w:t> </w:t>
      </w:r>
      <w:r>
        <w:rPr>
          <w:sz w:val="24"/>
        </w:rPr>
        <w:t>del</w:t>
      </w:r>
      <w:r>
        <w:rPr>
          <w:spacing w:val="-12"/>
          <w:sz w:val="24"/>
        </w:rPr>
        <w:t> </w:t>
      </w:r>
      <w:r>
        <w:rPr>
          <w:sz w:val="24"/>
        </w:rPr>
        <w:t>indicador</w:t>
      </w:r>
      <w:r>
        <w:rPr>
          <w:spacing w:val="-13"/>
          <w:sz w:val="24"/>
        </w:rPr>
        <w:t> </w:t>
      </w:r>
      <w:r>
        <w:rPr>
          <w:sz w:val="24"/>
        </w:rPr>
        <w:t>es</w:t>
      </w:r>
      <w:r>
        <w:rPr>
          <w:spacing w:val="-9"/>
          <w:sz w:val="24"/>
        </w:rPr>
        <w:t> </w:t>
      </w:r>
      <w:r>
        <w:rPr>
          <w:sz w:val="24"/>
        </w:rPr>
        <w:t>el</w:t>
      </w:r>
      <w:r>
        <w:rPr>
          <w:spacing w:val="-12"/>
          <w:sz w:val="24"/>
        </w:rPr>
        <w:t> </w:t>
      </w:r>
      <w:r>
        <w:rPr>
          <w:sz w:val="24"/>
        </w:rPr>
        <w:t>MIMP</w:t>
      </w:r>
      <w:r>
        <w:rPr>
          <w:spacing w:val="-10"/>
          <w:sz w:val="24"/>
        </w:rPr>
        <w:t> </w:t>
      </w:r>
      <w:r>
        <w:rPr>
          <w:sz w:val="24"/>
        </w:rPr>
        <w:t>y</w:t>
      </w:r>
      <w:r>
        <w:rPr>
          <w:spacing w:val="-11"/>
          <w:sz w:val="24"/>
        </w:rPr>
        <w:t> </w:t>
      </w:r>
      <w:r>
        <w:rPr>
          <w:sz w:val="24"/>
        </w:rPr>
        <w:t>el</w:t>
      </w:r>
      <w:r>
        <w:rPr>
          <w:spacing w:val="-13"/>
          <w:sz w:val="24"/>
        </w:rPr>
        <w:t> </w:t>
      </w:r>
      <w:r>
        <w:rPr>
          <w:sz w:val="24"/>
        </w:rPr>
        <w:t>proveedor</w:t>
      </w:r>
      <w:r>
        <w:rPr>
          <w:spacing w:val="-13"/>
          <w:sz w:val="24"/>
        </w:rPr>
        <w:t> </w:t>
      </w:r>
      <w:r>
        <w:rPr>
          <w:sz w:val="24"/>
        </w:rPr>
        <w:t>del</w:t>
      </w:r>
      <w:r>
        <w:rPr>
          <w:spacing w:val="-13"/>
          <w:sz w:val="24"/>
        </w:rPr>
        <w:t> </w:t>
      </w:r>
      <w:r>
        <w:rPr>
          <w:sz w:val="24"/>
        </w:rPr>
        <w:t>servicio</w:t>
      </w:r>
      <w:r>
        <w:rPr>
          <w:spacing w:val="-13"/>
          <w:sz w:val="24"/>
        </w:rPr>
        <w:t> </w:t>
      </w:r>
      <w:r>
        <w:rPr>
          <w:sz w:val="24"/>
        </w:rPr>
        <w:t>es</w:t>
      </w:r>
      <w:r>
        <w:rPr>
          <w:spacing w:val="-13"/>
          <w:sz w:val="24"/>
        </w:rPr>
        <w:t> </w:t>
      </w:r>
      <w:r>
        <w:rPr>
          <w:sz w:val="24"/>
        </w:rPr>
        <w:t>la</w:t>
      </w:r>
      <w:r>
        <w:rPr>
          <w:spacing w:val="-10"/>
          <w:sz w:val="24"/>
        </w:rPr>
        <w:t> </w:t>
      </w:r>
      <w:r>
        <w:rPr>
          <w:sz w:val="24"/>
        </w:rPr>
        <w:t>DTEG del</w:t>
      </w:r>
      <w:r>
        <w:rPr>
          <w:spacing w:val="-2"/>
          <w:sz w:val="24"/>
        </w:rPr>
        <w:t> </w:t>
      </w:r>
      <w:r>
        <w:rPr>
          <w:sz w:val="24"/>
        </w:rPr>
        <w:t>MIMP.</w:t>
      </w:r>
      <w:r>
        <w:rPr>
          <w:spacing w:val="-3"/>
          <w:sz w:val="24"/>
        </w:rPr>
        <w:t> </w:t>
      </w:r>
      <w:r>
        <w:rPr>
          <w:sz w:val="24"/>
        </w:rPr>
        <w:t>En</w:t>
      </w:r>
      <w:r>
        <w:rPr>
          <w:spacing w:val="-4"/>
          <w:sz w:val="24"/>
        </w:rPr>
        <w:t> </w:t>
      </w:r>
      <w:r>
        <w:rPr>
          <w:sz w:val="24"/>
        </w:rPr>
        <w:t>el</w:t>
      </w:r>
      <w:r>
        <w:rPr>
          <w:spacing w:val="-3"/>
          <w:sz w:val="24"/>
        </w:rPr>
        <w:t> </w:t>
      </w:r>
      <w:r>
        <w:rPr>
          <w:sz w:val="24"/>
        </w:rPr>
        <w:t>marco</w:t>
      </w:r>
      <w:r>
        <w:rPr>
          <w:spacing w:val="-5"/>
          <w:sz w:val="24"/>
        </w:rPr>
        <w:t> </w:t>
      </w:r>
      <w:r>
        <w:rPr>
          <w:sz w:val="24"/>
        </w:rPr>
        <w:t>de</w:t>
      </w:r>
      <w:r>
        <w:rPr>
          <w:spacing w:val="-3"/>
          <w:sz w:val="24"/>
        </w:rPr>
        <w:t> </w:t>
      </w:r>
      <w:r>
        <w:rPr>
          <w:sz w:val="24"/>
        </w:rPr>
        <w:t>la</w:t>
      </w:r>
      <w:r>
        <w:rPr>
          <w:spacing w:val="-6"/>
          <w:sz w:val="24"/>
        </w:rPr>
        <w:t> </w:t>
      </w:r>
      <w:r>
        <w:rPr>
          <w:sz w:val="24"/>
        </w:rPr>
        <w:t>política,</w:t>
      </w:r>
      <w:r>
        <w:rPr>
          <w:spacing w:val="-2"/>
          <w:sz w:val="24"/>
        </w:rPr>
        <w:t> </w:t>
      </w:r>
      <w:r>
        <w:rPr>
          <w:sz w:val="24"/>
        </w:rPr>
        <w:t>la</w:t>
      </w:r>
      <w:r>
        <w:rPr>
          <w:spacing w:val="-6"/>
          <w:sz w:val="24"/>
        </w:rPr>
        <w:t> </w:t>
      </w:r>
      <w:r>
        <w:rPr>
          <w:sz w:val="24"/>
        </w:rPr>
        <w:t>eficacia</w:t>
      </w:r>
      <w:r>
        <w:rPr>
          <w:spacing w:val="-3"/>
          <w:sz w:val="24"/>
        </w:rPr>
        <w:t> </w:t>
      </w:r>
      <w:r>
        <w:rPr>
          <w:sz w:val="24"/>
        </w:rPr>
        <w:t>del</w:t>
      </w:r>
      <w:r>
        <w:rPr>
          <w:spacing w:val="-4"/>
          <w:sz w:val="24"/>
        </w:rPr>
        <w:t> </w:t>
      </w:r>
      <w:r>
        <w:rPr>
          <w:sz w:val="24"/>
        </w:rPr>
        <w:t>servicio</w:t>
      </w:r>
      <w:r>
        <w:rPr>
          <w:spacing w:val="-5"/>
          <w:sz w:val="24"/>
        </w:rPr>
        <w:t> </w:t>
      </w:r>
      <w:r>
        <w:rPr>
          <w:sz w:val="24"/>
        </w:rPr>
        <w:t>se</w:t>
      </w:r>
      <w:r>
        <w:rPr>
          <w:spacing w:val="-3"/>
          <w:sz w:val="24"/>
        </w:rPr>
        <w:t> </w:t>
      </w:r>
      <w:r>
        <w:rPr>
          <w:sz w:val="24"/>
        </w:rPr>
        <w:t>mide</w:t>
      </w:r>
      <w:r>
        <w:rPr>
          <w:spacing w:val="-8"/>
          <w:sz w:val="24"/>
        </w:rPr>
        <w:t> </w:t>
      </w:r>
      <w:r>
        <w:rPr>
          <w:sz w:val="24"/>
        </w:rPr>
        <w:t>a</w:t>
      </w:r>
      <w:r>
        <w:rPr>
          <w:spacing w:val="-3"/>
          <w:sz w:val="24"/>
        </w:rPr>
        <w:t> </w:t>
      </w:r>
      <w:r>
        <w:rPr>
          <w:sz w:val="24"/>
        </w:rPr>
        <w:t>través</w:t>
      </w:r>
      <w:r>
        <w:rPr>
          <w:spacing w:val="-5"/>
          <w:sz w:val="24"/>
        </w:rPr>
        <w:t> </w:t>
      </w:r>
      <w:r>
        <w:rPr>
          <w:sz w:val="24"/>
        </w:rPr>
        <w:t>del indicador</w:t>
      </w:r>
      <w:r>
        <w:rPr>
          <w:spacing w:val="-1"/>
          <w:sz w:val="24"/>
        </w:rPr>
        <w:t> </w:t>
      </w:r>
      <w:r>
        <w:rPr>
          <w:sz w:val="24"/>
        </w:rPr>
        <w:t>“</w:t>
      </w:r>
      <w:r>
        <w:rPr>
          <w:rFonts w:ascii="Arial" w:hAnsi="Arial"/>
          <w:i/>
          <w:sz w:val="24"/>
        </w:rPr>
        <w:t>Porcentaje</w:t>
      </w:r>
      <w:r>
        <w:rPr>
          <w:rFonts w:ascii="Arial" w:hAnsi="Arial"/>
          <w:i/>
          <w:spacing w:val="-2"/>
          <w:sz w:val="24"/>
        </w:rPr>
        <w:t> </w:t>
      </w:r>
      <w:r>
        <w:rPr>
          <w:rFonts w:ascii="Arial" w:hAnsi="Arial"/>
          <w:i/>
          <w:sz w:val="24"/>
        </w:rPr>
        <w:t>de</w:t>
      </w:r>
      <w:r>
        <w:rPr>
          <w:rFonts w:ascii="Arial" w:hAnsi="Arial"/>
          <w:i/>
          <w:spacing w:val="-3"/>
          <w:sz w:val="24"/>
        </w:rPr>
        <w:t> </w:t>
      </w:r>
      <w:r>
        <w:rPr>
          <w:rFonts w:ascii="Arial" w:hAnsi="Arial"/>
          <w:i/>
          <w:sz w:val="24"/>
        </w:rPr>
        <w:t>entidades</w:t>
      </w:r>
      <w:r>
        <w:rPr>
          <w:rFonts w:ascii="Arial" w:hAnsi="Arial"/>
          <w:i/>
          <w:spacing w:val="-3"/>
          <w:sz w:val="24"/>
        </w:rPr>
        <w:t> </w:t>
      </w:r>
      <w:r>
        <w:rPr>
          <w:rFonts w:ascii="Arial" w:hAnsi="Arial"/>
          <w:i/>
          <w:sz w:val="24"/>
        </w:rPr>
        <w:t>públicas</w:t>
      </w:r>
      <w:r>
        <w:rPr>
          <w:rFonts w:ascii="Arial" w:hAnsi="Arial"/>
          <w:i/>
          <w:spacing w:val="-1"/>
          <w:sz w:val="24"/>
        </w:rPr>
        <w:t> </w:t>
      </w:r>
      <w:r>
        <w:rPr>
          <w:rFonts w:ascii="Arial" w:hAnsi="Arial"/>
          <w:i/>
          <w:sz w:val="24"/>
        </w:rPr>
        <w:t>que</w:t>
      </w:r>
      <w:r>
        <w:rPr>
          <w:rFonts w:ascii="Arial" w:hAnsi="Arial"/>
          <w:i/>
          <w:spacing w:val="-2"/>
          <w:sz w:val="24"/>
        </w:rPr>
        <w:t> </w:t>
      </w:r>
      <w:r>
        <w:rPr>
          <w:rFonts w:ascii="Arial" w:hAnsi="Arial"/>
          <w:i/>
          <w:sz w:val="24"/>
        </w:rPr>
        <w:t>reciben</w:t>
      </w:r>
      <w:r>
        <w:rPr>
          <w:rFonts w:ascii="Arial" w:hAnsi="Arial"/>
          <w:i/>
          <w:spacing w:val="-2"/>
          <w:sz w:val="24"/>
        </w:rPr>
        <w:t> </w:t>
      </w:r>
      <w:r>
        <w:rPr>
          <w:rFonts w:ascii="Arial" w:hAnsi="Arial"/>
          <w:i/>
          <w:sz w:val="24"/>
        </w:rPr>
        <w:t>asistencia</w:t>
      </w:r>
      <w:r>
        <w:rPr>
          <w:rFonts w:ascii="Arial" w:hAnsi="Arial"/>
          <w:i/>
          <w:spacing w:val="-1"/>
          <w:sz w:val="24"/>
        </w:rPr>
        <w:t> </w:t>
      </w:r>
      <w:r>
        <w:rPr>
          <w:rFonts w:ascii="Arial" w:hAnsi="Arial"/>
          <w:i/>
          <w:sz w:val="24"/>
        </w:rPr>
        <w:t>técnica</w:t>
      </w:r>
      <w:r>
        <w:rPr>
          <w:rFonts w:ascii="Arial" w:hAnsi="Arial"/>
          <w:i/>
          <w:spacing w:val="-2"/>
          <w:sz w:val="24"/>
        </w:rPr>
        <w:t> </w:t>
      </w:r>
      <w:r>
        <w:rPr>
          <w:rFonts w:ascii="Arial" w:hAnsi="Arial"/>
          <w:i/>
          <w:sz w:val="24"/>
        </w:rPr>
        <w:t>para </w:t>
      </w:r>
      <w:r>
        <w:rPr>
          <w:rFonts w:ascii="Arial" w:hAnsi="Arial"/>
          <w:i/>
          <w:spacing w:val="-6"/>
          <w:sz w:val="24"/>
        </w:rPr>
        <w:t>transversalizar</w:t>
      </w:r>
      <w:r>
        <w:rPr>
          <w:rFonts w:ascii="Arial" w:hAnsi="Arial"/>
          <w:i/>
          <w:spacing w:val="-9"/>
          <w:sz w:val="24"/>
        </w:rPr>
        <w:t> </w:t>
      </w:r>
      <w:r>
        <w:rPr>
          <w:rFonts w:ascii="Arial" w:hAnsi="Arial"/>
          <w:i/>
          <w:spacing w:val="-6"/>
          <w:sz w:val="24"/>
        </w:rPr>
        <w:t>el</w:t>
      </w:r>
      <w:r>
        <w:rPr>
          <w:rFonts w:ascii="Arial" w:hAnsi="Arial"/>
          <w:i/>
          <w:spacing w:val="-10"/>
          <w:sz w:val="24"/>
        </w:rPr>
        <w:t> </w:t>
      </w:r>
      <w:r>
        <w:rPr>
          <w:rFonts w:ascii="Arial" w:hAnsi="Arial"/>
          <w:i/>
          <w:spacing w:val="-6"/>
          <w:sz w:val="24"/>
        </w:rPr>
        <w:t>enfoque</w:t>
      </w:r>
      <w:r>
        <w:rPr>
          <w:rFonts w:ascii="Arial" w:hAnsi="Arial"/>
          <w:i/>
          <w:spacing w:val="-9"/>
          <w:sz w:val="24"/>
        </w:rPr>
        <w:t> </w:t>
      </w:r>
      <w:r>
        <w:rPr>
          <w:rFonts w:ascii="Arial" w:hAnsi="Arial"/>
          <w:i/>
          <w:spacing w:val="-6"/>
          <w:sz w:val="24"/>
        </w:rPr>
        <w:t>de</w:t>
      </w:r>
      <w:r>
        <w:rPr>
          <w:rFonts w:ascii="Arial" w:hAnsi="Arial"/>
          <w:i/>
          <w:spacing w:val="-10"/>
          <w:sz w:val="24"/>
        </w:rPr>
        <w:t> </w:t>
      </w:r>
      <w:r>
        <w:rPr>
          <w:rFonts w:ascii="Arial" w:hAnsi="Arial"/>
          <w:i/>
          <w:spacing w:val="-6"/>
          <w:sz w:val="24"/>
        </w:rPr>
        <w:t>género</w:t>
      </w:r>
      <w:r>
        <w:rPr>
          <w:rFonts w:ascii="Arial" w:hAnsi="Arial"/>
          <w:i/>
          <w:spacing w:val="-8"/>
          <w:sz w:val="24"/>
        </w:rPr>
        <w:t> </w:t>
      </w:r>
      <w:r>
        <w:rPr>
          <w:rFonts w:ascii="Arial" w:hAnsi="Arial"/>
          <w:i/>
          <w:spacing w:val="-6"/>
          <w:sz w:val="24"/>
        </w:rPr>
        <w:t>en</w:t>
      </w:r>
      <w:r>
        <w:rPr>
          <w:rFonts w:ascii="Arial" w:hAnsi="Arial"/>
          <w:i/>
          <w:spacing w:val="-9"/>
          <w:sz w:val="24"/>
        </w:rPr>
        <w:t> </w:t>
      </w:r>
      <w:r>
        <w:rPr>
          <w:rFonts w:ascii="Arial" w:hAnsi="Arial"/>
          <w:i/>
          <w:spacing w:val="-6"/>
          <w:sz w:val="24"/>
        </w:rPr>
        <w:t>los</w:t>
      </w:r>
      <w:r>
        <w:rPr>
          <w:rFonts w:ascii="Arial" w:hAnsi="Arial"/>
          <w:i/>
          <w:spacing w:val="-10"/>
          <w:sz w:val="24"/>
        </w:rPr>
        <w:t> </w:t>
      </w:r>
      <w:r>
        <w:rPr>
          <w:rFonts w:ascii="Arial" w:hAnsi="Arial"/>
          <w:i/>
          <w:spacing w:val="-6"/>
          <w:sz w:val="24"/>
        </w:rPr>
        <w:t>sistemas</w:t>
      </w:r>
      <w:r>
        <w:rPr>
          <w:rFonts w:ascii="Arial" w:hAnsi="Arial"/>
          <w:i/>
          <w:spacing w:val="-10"/>
          <w:sz w:val="24"/>
        </w:rPr>
        <w:t> </w:t>
      </w:r>
      <w:r>
        <w:rPr>
          <w:rFonts w:ascii="Arial" w:hAnsi="Arial"/>
          <w:i/>
          <w:spacing w:val="-6"/>
          <w:sz w:val="24"/>
        </w:rPr>
        <w:t>administrativos</w:t>
      </w:r>
      <w:r>
        <w:rPr>
          <w:spacing w:val="-6"/>
          <w:sz w:val="24"/>
        </w:rPr>
        <w:t>”</w:t>
      </w:r>
      <w:r>
        <w:rPr>
          <w:spacing w:val="-9"/>
          <w:sz w:val="24"/>
        </w:rPr>
        <w:t> </w:t>
      </w:r>
      <w:r>
        <w:rPr>
          <w:spacing w:val="-6"/>
          <w:sz w:val="24"/>
        </w:rPr>
        <w:t>y</w:t>
      </w:r>
      <w:r>
        <w:rPr>
          <w:spacing w:val="-8"/>
          <w:sz w:val="24"/>
        </w:rPr>
        <w:t> </w:t>
      </w:r>
      <w:r>
        <w:rPr>
          <w:spacing w:val="-6"/>
          <w:sz w:val="24"/>
        </w:rPr>
        <w:t>la</w:t>
      </w:r>
      <w:r>
        <w:rPr>
          <w:spacing w:val="-9"/>
          <w:sz w:val="24"/>
        </w:rPr>
        <w:t> </w:t>
      </w:r>
      <w:r>
        <w:rPr>
          <w:spacing w:val="-6"/>
          <w:sz w:val="24"/>
        </w:rPr>
        <w:t>calidad</w:t>
      </w:r>
      <w:r>
        <w:rPr>
          <w:spacing w:val="-10"/>
          <w:sz w:val="24"/>
        </w:rPr>
        <w:t> </w:t>
      </w:r>
      <w:r>
        <w:rPr>
          <w:spacing w:val="-6"/>
          <w:sz w:val="24"/>
        </w:rPr>
        <w:t>del </w:t>
      </w:r>
      <w:r>
        <w:rPr>
          <w:sz w:val="24"/>
        </w:rPr>
        <w:t>servicio se mide a través del indicador “Porcentaje de entidades públicas que incorporan el enfoque de género en los sistemas administrativos”.</w:t>
      </w:r>
    </w:p>
    <w:p>
      <w:pPr>
        <w:pStyle w:val="ListParagraph"/>
        <w:numPr>
          <w:ilvl w:val="3"/>
          <w:numId w:val="3"/>
        </w:numPr>
        <w:tabs>
          <w:tab w:pos="862" w:val="left" w:leader="none"/>
        </w:tabs>
        <w:spacing w:line="240" w:lineRule="auto" w:before="161"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7" w:lineRule="auto" w:before="235"/>
        <w:ind w:left="143" w:right="705"/>
        <w:jc w:val="both"/>
      </w:pPr>
      <w:r>
        <w:rPr>
          <w:u w:val="single"/>
        </w:rPr>
        <w:t>Análisis</w:t>
      </w:r>
      <w:r>
        <w:rPr>
          <w:spacing w:val="-14"/>
          <w:u w:val="single"/>
        </w:rPr>
        <w:t> </w:t>
      </w:r>
      <w:r>
        <w:rPr>
          <w:u w:val="single"/>
        </w:rPr>
        <w:t>de</w:t>
      </w:r>
      <w:r>
        <w:rPr>
          <w:spacing w:val="-15"/>
          <w:u w:val="single"/>
        </w:rPr>
        <w:t> </w:t>
      </w:r>
      <w:r>
        <w:rPr>
          <w:u w:val="single"/>
        </w:rPr>
        <w:t>eficacia:</w:t>
      </w:r>
      <w:r>
        <w:rPr>
          <w:spacing w:val="-13"/>
        </w:rPr>
        <w:t> </w:t>
      </w:r>
      <w:r>
        <w:rPr/>
        <w:t>Para</w:t>
      </w:r>
      <w:r>
        <w:rPr>
          <w:spacing w:val="-15"/>
        </w:rPr>
        <w:t> </w:t>
      </w:r>
      <w:r>
        <w:rPr/>
        <w:t>el</w:t>
      </w:r>
      <w:r>
        <w:rPr>
          <w:spacing w:val="-14"/>
        </w:rPr>
        <w:t> </w:t>
      </w:r>
      <w:r>
        <w:rPr/>
        <w:t>año</w:t>
      </w:r>
      <w:r>
        <w:rPr>
          <w:spacing w:val="-14"/>
        </w:rPr>
        <w:t> </w:t>
      </w:r>
      <w:r>
        <w:rPr/>
        <w:t>2023</w:t>
      </w:r>
      <w:r>
        <w:rPr>
          <w:spacing w:val="-14"/>
        </w:rPr>
        <w:t> </w:t>
      </w:r>
      <w:r>
        <w:rPr/>
        <w:t>el</w:t>
      </w:r>
      <w:r>
        <w:rPr>
          <w:spacing w:val="-14"/>
        </w:rPr>
        <w:t> </w:t>
      </w:r>
      <w:r>
        <w:rPr/>
        <w:t>10.1%</w:t>
      </w:r>
      <w:r>
        <w:rPr>
          <w:spacing w:val="-11"/>
        </w:rPr>
        <w:t> </w:t>
      </w:r>
      <w:r>
        <w:rPr/>
        <w:t>de</w:t>
      </w:r>
      <w:r>
        <w:rPr>
          <w:spacing w:val="-15"/>
        </w:rPr>
        <w:t> </w:t>
      </w:r>
      <w:r>
        <w:rPr/>
        <w:t>entidades</w:t>
      </w:r>
      <w:r>
        <w:rPr>
          <w:spacing w:val="-14"/>
        </w:rPr>
        <w:t> </w:t>
      </w:r>
      <w:r>
        <w:rPr/>
        <w:t>públicas</w:t>
      </w:r>
      <w:r>
        <w:rPr>
          <w:spacing w:val="-17"/>
        </w:rPr>
        <w:t> </w:t>
      </w:r>
      <w:r>
        <w:rPr/>
        <w:t>priorizadas por la DTEG recibieron asistencia técnica para transversalizar el enfoque de género en los sistemas administrativos. Así, el indicador alcanzó un nivel de avance de 134.8% respecto a la meta programada.</w:t>
      </w:r>
    </w:p>
    <w:p>
      <w:pPr>
        <w:pStyle w:val="BodyText"/>
        <w:spacing w:after="0" w:line="307" w:lineRule="auto"/>
        <w:jc w:val="both"/>
        <w:sectPr>
          <w:pgSz w:w="11910" w:h="16840"/>
          <w:pgMar w:header="713" w:footer="1000" w:top="1420" w:bottom="1200" w:left="1559" w:right="992"/>
        </w:sectPr>
      </w:pPr>
    </w:p>
    <w:p>
      <w:pPr>
        <w:spacing w:before="120"/>
        <w:ind w:left="0" w:right="562" w:firstLine="0"/>
        <w:jc w:val="center"/>
        <w:rPr>
          <w:sz w:val="22"/>
        </w:rPr>
      </w:pPr>
      <w:r>
        <w:rPr>
          <w:color w:val="44536A"/>
          <w:sz w:val="22"/>
        </w:rPr>
        <w:t>Tabla</w:t>
      </w:r>
      <w:r>
        <w:rPr>
          <w:color w:val="44536A"/>
          <w:spacing w:val="-9"/>
          <w:sz w:val="22"/>
        </w:rPr>
        <w:t> </w:t>
      </w:r>
      <w:r>
        <w:rPr>
          <w:color w:val="44536A"/>
          <w:sz w:val="22"/>
        </w:rPr>
        <w:t>10.</w:t>
      </w:r>
      <w:r>
        <w:rPr>
          <w:color w:val="44536A"/>
          <w:spacing w:val="-9"/>
          <w:sz w:val="22"/>
        </w:rPr>
        <w:t> </w:t>
      </w:r>
      <w:r>
        <w:rPr>
          <w:color w:val="44536A"/>
          <w:sz w:val="22"/>
        </w:rPr>
        <w:t>Análisis</w:t>
      </w:r>
      <w:r>
        <w:rPr>
          <w:color w:val="44536A"/>
          <w:spacing w:val="-12"/>
          <w:sz w:val="22"/>
        </w:rPr>
        <w:t> </w:t>
      </w:r>
      <w:r>
        <w:rPr>
          <w:color w:val="44536A"/>
          <w:sz w:val="22"/>
        </w:rPr>
        <w:t>del</w:t>
      </w:r>
      <w:r>
        <w:rPr>
          <w:color w:val="44536A"/>
          <w:spacing w:val="-9"/>
          <w:sz w:val="22"/>
        </w:rPr>
        <w:t> </w:t>
      </w:r>
      <w:r>
        <w:rPr>
          <w:color w:val="44536A"/>
          <w:sz w:val="22"/>
        </w:rPr>
        <w:t>indicador</w:t>
      </w:r>
      <w:r>
        <w:rPr>
          <w:color w:val="44536A"/>
          <w:spacing w:val="-11"/>
          <w:sz w:val="22"/>
        </w:rPr>
        <w:t> </w:t>
      </w:r>
      <w:r>
        <w:rPr>
          <w:color w:val="44536A"/>
          <w:sz w:val="22"/>
        </w:rPr>
        <w:t>de</w:t>
      </w:r>
      <w:r>
        <w:rPr>
          <w:color w:val="44536A"/>
          <w:spacing w:val="-11"/>
          <w:sz w:val="22"/>
        </w:rPr>
        <w:t> </w:t>
      </w:r>
      <w:r>
        <w:rPr>
          <w:color w:val="44536A"/>
          <w:sz w:val="22"/>
        </w:rPr>
        <w:t>eficacia</w:t>
      </w:r>
      <w:r>
        <w:rPr>
          <w:color w:val="44536A"/>
          <w:spacing w:val="-11"/>
          <w:sz w:val="22"/>
        </w:rPr>
        <w:t> </w:t>
      </w:r>
      <w:r>
        <w:rPr>
          <w:color w:val="44536A"/>
          <w:sz w:val="22"/>
        </w:rPr>
        <w:t>del</w:t>
      </w:r>
      <w:r>
        <w:rPr>
          <w:color w:val="44536A"/>
          <w:spacing w:val="-9"/>
          <w:sz w:val="22"/>
        </w:rPr>
        <w:t> </w:t>
      </w:r>
      <w:r>
        <w:rPr>
          <w:color w:val="44536A"/>
          <w:sz w:val="22"/>
        </w:rPr>
        <w:t>servicio</w:t>
      </w:r>
      <w:r>
        <w:rPr>
          <w:color w:val="44536A"/>
          <w:spacing w:val="-10"/>
          <w:sz w:val="22"/>
        </w:rPr>
        <w:t> </w:t>
      </w:r>
      <w:r>
        <w:rPr>
          <w:color w:val="44536A"/>
          <w:spacing w:val="-2"/>
          <w:sz w:val="22"/>
        </w:rPr>
        <w:t>05.03.01</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0"/>
        <w:gridCol w:w="727"/>
        <w:gridCol w:w="766"/>
        <w:gridCol w:w="763"/>
        <w:gridCol w:w="763"/>
        <w:gridCol w:w="674"/>
        <w:gridCol w:w="672"/>
        <w:gridCol w:w="674"/>
        <w:gridCol w:w="672"/>
        <w:gridCol w:w="672"/>
        <w:gridCol w:w="675"/>
        <w:gridCol w:w="672"/>
      </w:tblGrid>
      <w:tr>
        <w:trPr>
          <w:trHeight w:val="489" w:hRule="atLeast"/>
        </w:trPr>
        <w:tc>
          <w:tcPr>
            <w:tcW w:w="960" w:type="dxa"/>
            <w:shd w:val="clear" w:color="auto" w:fill="44536A"/>
          </w:tcPr>
          <w:p>
            <w:pPr>
              <w:pStyle w:val="TableParagraph"/>
              <w:spacing w:before="154"/>
              <w:ind w:left="9"/>
              <w:jc w:val="center"/>
              <w:rPr>
                <w:sz w:val="16"/>
              </w:rPr>
            </w:pPr>
            <w:r>
              <w:rPr>
                <w:color w:val="FFFFFF"/>
                <w:spacing w:val="-5"/>
                <w:sz w:val="16"/>
              </w:rPr>
              <w:t>OP</w:t>
            </w:r>
          </w:p>
        </w:tc>
        <w:tc>
          <w:tcPr>
            <w:tcW w:w="7730" w:type="dxa"/>
            <w:gridSpan w:val="11"/>
          </w:tcPr>
          <w:p>
            <w:pPr>
              <w:pStyle w:val="TableParagraph"/>
              <w:spacing w:before="23"/>
              <w:ind w:left="69"/>
              <w:rPr>
                <w:sz w:val="18"/>
              </w:rPr>
            </w:pPr>
            <w:r>
              <w:rPr>
                <w:sz w:val="18"/>
              </w:rPr>
              <w:t>OP.05</w:t>
            </w:r>
            <w:r>
              <w:rPr>
                <w:spacing w:val="-2"/>
                <w:sz w:val="18"/>
              </w:rPr>
              <w:t> </w:t>
            </w:r>
            <w:r>
              <w:rPr>
                <w:sz w:val="18"/>
              </w:rPr>
              <w:t>Reducir</w:t>
            </w:r>
            <w:r>
              <w:rPr>
                <w:spacing w:val="-2"/>
                <w:sz w:val="18"/>
              </w:rPr>
              <w:t> </w:t>
            </w:r>
            <w:r>
              <w:rPr>
                <w:sz w:val="18"/>
              </w:rPr>
              <w:t>las</w:t>
            </w:r>
            <w:r>
              <w:rPr>
                <w:spacing w:val="-3"/>
                <w:sz w:val="18"/>
              </w:rPr>
              <w:t> </w:t>
            </w:r>
            <w:r>
              <w:rPr>
                <w:sz w:val="18"/>
              </w:rPr>
              <w:t>barreras</w:t>
            </w:r>
            <w:r>
              <w:rPr>
                <w:spacing w:val="-4"/>
                <w:sz w:val="18"/>
              </w:rPr>
              <w:t> </w:t>
            </w:r>
            <w:r>
              <w:rPr>
                <w:sz w:val="18"/>
              </w:rPr>
              <w:t>institucionales</w:t>
            </w:r>
            <w:r>
              <w:rPr>
                <w:spacing w:val="-2"/>
                <w:sz w:val="18"/>
              </w:rPr>
              <w:t> </w:t>
            </w:r>
            <w:r>
              <w:rPr>
                <w:sz w:val="18"/>
              </w:rPr>
              <w:t>que</w:t>
            </w:r>
            <w:r>
              <w:rPr>
                <w:spacing w:val="-3"/>
                <w:sz w:val="18"/>
              </w:rPr>
              <w:t> </w:t>
            </w:r>
            <w:r>
              <w:rPr>
                <w:sz w:val="18"/>
              </w:rPr>
              <w:t>obstaculizan</w:t>
            </w:r>
            <w:r>
              <w:rPr>
                <w:spacing w:val="-5"/>
                <w:sz w:val="18"/>
              </w:rPr>
              <w:t> </w:t>
            </w:r>
            <w:r>
              <w:rPr>
                <w:sz w:val="18"/>
              </w:rPr>
              <w:t>la</w:t>
            </w:r>
            <w:r>
              <w:rPr>
                <w:spacing w:val="-2"/>
                <w:sz w:val="18"/>
              </w:rPr>
              <w:t> </w:t>
            </w:r>
            <w:r>
              <w:rPr>
                <w:sz w:val="18"/>
              </w:rPr>
              <w:t>igualdad</w:t>
            </w:r>
            <w:r>
              <w:rPr>
                <w:spacing w:val="-1"/>
                <w:sz w:val="18"/>
              </w:rPr>
              <w:t> </w:t>
            </w:r>
            <w:r>
              <w:rPr>
                <w:sz w:val="18"/>
              </w:rPr>
              <w:t>en</w:t>
            </w:r>
            <w:r>
              <w:rPr>
                <w:spacing w:val="-3"/>
                <w:sz w:val="18"/>
              </w:rPr>
              <w:t> </w:t>
            </w:r>
            <w:r>
              <w:rPr>
                <w:sz w:val="18"/>
              </w:rPr>
              <w:t>los</w:t>
            </w:r>
            <w:r>
              <w:rPr>
                <w:spacing w:val="-5"/>
                <w:sz w:val="18"/>
              </w:rPr>
              <w:t> </w:t>
            </w:r>
            <w:r>
              <w:rPr>
                <w:sz w:val="18"/>
              </w:rPr>
              <w:t>ámbitos</w:t>
            </w:r>
            <w:r>
              <w:rPr>
                <w:spacing w:val="-4"/>
                <w:sz w:val="18"/>
              </w:rPr>
              <w:t> </w:t>
            </w:r>
            <w:r>
              <w:rPr>
                <w:spacing w:val="-2"/>
                <w:sz w:val="18"/>
              </w:rPr>
              <w:t>público</w:t>
            </w:r>
          </w:p>
          <w:p>
            <w:pPr>
              <w:pStyle w:val="TableParagraph"/>
              <w:spacing w:line="201" w:lineRule="exact" w:before="37"/>
              <w:ind w:left="69"/>
              <w:rPr>
                <w:sz w:val="18"/>
              </w:rPr>
            </w:pPr>
            <w:r>
              <w:rPr>
                <w:sz w:val="18"/>
              </w:rPr>
              <w:t>y</w:t>
            </w:r>
            <w:r>
              <w:rPr>
                <w:spacing w:val="3"/>
                <w:sz w:val="18"/>
              </w:rPr>
              <w:t> </w:t>
            </w:r>
            <w:r>
              <w:rPr>
                <w:sz w:val="18"/>
              </w:rPr>
              <w:t>privado</w:t>
            </w:r>
            <w:r>
              <w:rPr>
                <w:spacing w:val="5"/>
                <w:sz w:val="18"/>
              </w:rPr>
              <w:t> </w:t>
            </w:r>
            <w:r>
              <w:rPr>
                <w:sz w:val="18"/>
              </w:rPr>
              <w:t>entre</w:t>
            </w:r>
            <w:r>
              <w:rPr>
                <w:spacing w:val="5"/>
                <w:sz w:val="18"/>
              </w:rPr>
              <w:t> </w:t>
            </w:r>
            <w:r>
              <w:rPr>
                <w:sz w:val="18"/>
              </w:rPr>
              <w:t>hombres</w:t>
            </w:r>
            <w:r>
              <w:rPr>
                <w:spacing w:val="4"/>
                <w:sz w:val="18"/>
              </w:rPr>
              <w:t> </w:t>
            </w:r>
            <w:r>
              <w:rPr>
                <w:sz w:val="18"/>
              </w:rPr>
              <w:t>y</w:t>
            </w:r>
            <w:r>
              <w:rPr>
                <w:spacing w:val="4"/>
                <w:sz w:val="18"/>
              </w:rPr>
              <w:t> </w:t>
            </w:r>
            <w:r>
              <w:rPr>
                <w:spacing w:val="-2"/>
                <w:sz w:val="18"/>
              </w:rPr>
              <w:t>mujeres.</w:t>
            </w:r>
          </w:p>
        </w:tc>
      </w:tr>
      <w:tr>
        <w:trPr>
          <w:trHeight w:val="491" w:hRule="atLeast"/>
        </w:trPr>
        <w:tc>
          <w:tcPr>
            <w:tcW w:w="960" w:type="dxa"/>
            <w:shd w:val="clear" w:color="auto" w:fill="44536A"/>
          </w:tcPr>
          <w:p>
            <w:pPr>
              <w:pStyle w:val="TableParagraph"/>
              <w:spacing w:before="145"/>
              <w:ind w:left="167"/>
              <w:rPr>
                <w:sz w:val="18"/>
              </w:rPr>
            </w:pPr>
            <w:r>
              <w:rPr>
                <w:color w:val="FFFFFF"/>
                <w:spacing w:val="-2"/>
                <w:sz w:val="18"/>
              </w:rPr>
              <w:t>Servicio</w:t>
            </w:r>
          </w:p>
        </w:tc>
        <w:tc>
          <w:tcPr>
            <w:tcW w:w="7730" w:type="dxa"/>
            <w:gridSpan w:val="11"/>
          </w:tcPr>
          <w:p>
            <w:pPr>
              <w:pStyle w:val="TableParagraph"/>
              <w:spacing w:before="23"/>
              <w:ind w:left="69"/>
              <w:rPr>
                <w:sz w:val="18"/>
              </w:rPr>
            </w:pPr>
            <w:r>
              <w:rPr>
                <w:sz w:val="18"/>
              </w:rPr>
              <w:t>Asistencia</w:t>
            </w:r>
            <w:r>
              <w:rPr>
                <w:spacing w:val="-1"/>
                <w:sz w:val="18"/>
              </w:rPr>
              <w:t> </w:t>
            </w:r>
            <w:r>
              <w:rPr>
                <w:sz w:val="18"/>
              </w:rPr>
              <w:t>Técnica</w:t>
            </w:r>
            <w:r>
              <w:rPr>
                <w:spacing w:val="-2"/>
                <w:sz w:val="18"/>
              </w:rPr>
              <w:t> </w:t>
            </w:r>
            <w:r>
              <w:rPr>
                <w:sz w:val="18"/>
              </w:rPr>
              <w:t>para</w:t>
            </w:r>
            <w:r>
              <w:rPr>
                <w:spacing w:val="-4"/>
                <w:sz w:val="18"/>
              </w:rPr>
              <w:t> </w:t>
            </w:r>
            <w:r>
              <w:rPr>
                <w:sz w:val="18"/>
              </w:rPr>
              <w:t>la</w:t>
            </w:r>
            <w:r>
              <w:rPr>
                <w:spacing w:val="-2"/>
                <w:sz w:val="18"/>
              </w:rPr>
              <w:t> </w:t>
            </w:r>
            <w:r>
              <w:rPr>
                <w:sz w:val="18"/>
              </w:rPr>
              <w:t>Incorporación</w:t>
            </w:r>
            <w:r>
              <w:rPr>
                <w:spacing w:val="-2"/>
                <w:sz w:val="18"/>
              </w:rPr>
              <w:t> </w:t>
            </w:r>
            <w:r>
              <w:rPr>
                <w:sz w:val="18"/>
              </w:rPr>
              <w:t>del</w:t>
            </w:r>
            <w:r>
              <w:rPr>
                <w:spacing w:val="-3"/>
                <w:sz w:val="18"/>
              </w:rPr>
              <w:t> </w:t>
            </w:r>
            <w:r>
              <w:rPr>
                <w:sz w:val="18"/>
              </w:rPr>
              <w:t>enfoque</w:t>
            </w:r>
            <w:r>
              <w:rPr>
                <w:spacing w:val="-4"/>
                <w:sz w:val="18"/>
              </w:rPr>
              <w:t> </w:t>
            </w:r>
            <w:r>
              <w:rPr>
                <w:sz w:val="18"/>
              </w:rPr>
              <w:t>de</w:t>
            </w:r>
            <w:r>
              <w:rPr>
                <w:spacing w:val="-1"/>
                <w:sz w:val="18"/>
              </w:rPr>
              <w:t> </w:t>
            </w:r>
            <w:r>
              <w:rPr>
                <w:sz w:val="18"/>
              </w:rPr>
              <w:t>género</w:t>
            </w:r>
            <w:r>
              <w:rPr>
                <w:spacing w:val="-2"/>
                <w:sz w:val="18"/>
              </w:rPr>
              <w:t> </w:t>
            </w:r>
            <w:r>
              <w:rPr>
                <w:sz w:val="18"/>
              </w:rPr>
              <w:t>en</w:t>
            </w:r>
            <w:r>
              <w:rPr>
                <w:spacing w:val="-2"/>
                <w:sz w:val="18"/>
              </w:rPr>
              <w:t> </w:t>
            </w:r>
            <w:r>
              <w:rPr>
                <w:sz w:val="18"/>
              </w:rPr>
              <w:t>los </w:t>
            </w:r>
            <w:r>
              <w:rPr>
                <w:spacing w:val="-2"/>
                <w:sz w:val="18"/>
              </w:rPr>
              <w:t>Sistemas</w:t>
            </w:r>
          </w:p>
          <w:p>
            <w:pPr>
              <w:pStyle w:val="TableParagraph"/>
              <w:spacing w:line="204" w:lineRule="exact" w:before="37"/>
              <w:ind w:left="69"/>
              <w:rPr>
                <w:sz w:val="18"/>
              </w:rPr>
            </w:pPr>
            <w:r>
              <w:rPr>
                <w:sz w:val="18"/>
              </w:rPr>
              <w:t>Administrativos de la</w:t>
            </w:r>
            <w:r>
              <w:rPr>
                <w:spacing w:val="-1"/>
                <w:sz w:val="18"/>
              </w:rPr>
              <w:t> </w:t>
            </w:r>
            <w:r>
              <w:rPr>
                <w:sz w:val="18"/>
              </w:rPr>
              <w:t>Gestión</w:t>
            </w:r>
            <w:r>
              <w:rPr>
                <w:spacing w:val="-2"/>
                <w:sz w:val="18"/>
              </w:rPr>
              <w:t> </w:t>
            </w:r>
            <w:r>
              <w:rPr>
                <w:sz w:val="18"/>
              </w:rPr>
              <w:t>Pública,</w:t>
            </w:r>
            <w:r>
              <w:rPr>
                <w:spacing w:val="-3"/>
                <w:sz w:val="18"/>
              </w:rPr>
              <w:t> </w:t>
            </w:r>
            <w:r>
              <w:rPr>
                <w:sz w:val="18"/>
              </w:rPr>
              <w:t>de manera</w:t>
            </w:r>
            <w:r>
              <w:rPr>
                <w:spacing w:val="1"/>
                <w:sz w:val="18"/>
              </w:rPr>
              <w:t> </w:t>
            </w:r>
            <w:r>
              <w:rPr>
                <w:sz w:val="18"/>
              </w:rPr>
              <w:t>oportuna</w:t>
            </w:r>
            <w:r>
              <w:rPr>
                <w:spacing w:val="-2"/>
                <w:sz w:val="18"/>
              </w:rPr>
              <w:t> </w:t>
            </w:r>
            <w:r>
              <w:rPr>
                <w:sz w:val="18"/>
              </w:rPr>
              <w:t>y</w:t>
            </w:r>
            <w:r>
              <w:rPr>
                <w:spacing w:val="-1"/>
                <w:sz w:val="18"/>
              </w:rPr>
              <w:t> </w:t>
            </w:r>
            <w:r>
              <w:rPr>
                <w:spacing w:val="-2"/>
                <w:sz w:val="18"/>
              </w:rPr>
              <w:t>fiable.</w:t>
            </w:r>
          </w:p>
        </w:tc>
      </w:tr>
      <w:tr>
        <w:trPr>
          <w:trHeight w:val="489" w:hRule="atLeast"/>
        </w:trPr>
        <w:tc>
          <w:tcPr>
            <w:tcW w:w="960" w:type="dxa"/>
            <w:shd w:val="clear" w:color="auto" w:fill="44536A"/>
          </w:tcPr>
          <w:p>
            <w:pPr>
              <w:pStyle w:val="TableParagraph"/>
              <w:spacing w:before="145"/>
              <w:ind w:left="98"/>
              <w:rPr>
                <w:sz w:val="18"/>
              </w:rPr>
            </w:pPr>
            <w:r>
              <w:rPr>
                <w:color w:val="FFFFFF"/>
                <w:spacing w:val="-2"/>
                <w:w w:val="105"/>
                <w:sz w:val="18"/>
              </w:rPr>
              <w:t>Indicador</w:t>
            </w:r>
          </w:p>
        </w:tc>
        <w:tc>
          <w:tcPr>
            <w:tcW w:w="7730" w:type="dxa"/>
            <w:gridSpan w:val="11"/>
          </w:tcPr>
          <w:p>
            <w:pPr>
              <w:pStyle w:val="TableParagraph"/>
              <w:spacing w:before="23"/>
              <w:ind w:left="69"/>
              <w:rPr>
                <w:sz w:val="18"/>
              </w:rPr>
            </w:pPr>
            <w:r>
              <w:rPr>
                <w:sz w:val="18"/>
              </w:rPr>
              <w:t>Porcentaje</w:t>
            </w:r>
            <w:r>
              <w:rPr>
                <w:spacing w:val="-3"/>
                <w:sz w:val="18"/>
              </w:rPr>
              <w:t> </w:t>
            </w:r>
            <w:r>
              <w:rPr>
                <w:sz w:val="18"/>
              </w:rPr>
              <w:t>de</w:t>
            </w:r>
            <w:r>
              <w:rPr>
                <w:spacing w:val="-2"/>
                <w:sz w:val="18"/>
              </w:rPr>
              <w:t> </w:t>
            </w:r>
            <w:r>
              <w:rPr>
                <w:sz w:val="18"/>
              </w:rPr>
              <w:t>entidades</w:t>
            </w:r>
            <w:r>
              <w:rPr>
                <w:spacing w:val="-2"/>
                <w:sz w:val="18"/>
              </w:rPr>
              <w:t> </w:t>
            </w:r>
            <w:r>
              <w:rPr>
                <w:sz w:val="18"/>
              </w:rPr>
              <w:t>públicas</w:t>
            </w:r>
            <w:r>
              <w:rPr>
                <w:spacing w:val="-4"/>
                <w:sz w:val="18"/>
              </w:rPr>
              <w:t> </w:t>
            </w:r>
            <w:r>
              <w:rPr>
                <w:sz w:val="18"/>
              </w:rPr>
              <w:t>que</w:t>
            </w:r>
            <w:r>
              <w:rPr>
                <w:spacing w:val="-3"/>
                <w:sz w:val="18"/>
              </w:rPr>
              <w:t> </w:t>
            </w:r>
            <w:r>
              <w:rPr>
                <w:sz w:val="18"/>
              </w:rPr>
              <w:t>reciben</w:t>
            </w:r>
            <w:r>
              <w:rPr>
                <w:spacing w:val="-3"/>
                <w:sz w:val="18"/>
              </w:rPr>
              <w:t> </w:t>
            </w:r>
            <w:r>
              <w:rPr>
                <w:sz w:val="18"/>
              </w:rPr>
              <w:t>asistencia</w:t>
            </w:r>
            <w:r>
              <w:rPr>
                <w:spacing w:val="-1"/>
                <w:sz w:val="18"/>
              </w:rPr>
              <w:t> </w:t>
            </w:r>
            <w:r>
              <w:rPr>
                <w:sz w:val="18"/>
              </w:rPr>
              <w:t>técnica</w:t>
            </w:r>
            <w:r>
              <w:rPr>
                <w:spacing w:val="-1"/>
                <w:sz w:val="18"/>
              </w:rPr>
              <w:t> </w:t>
            </w:r>
            <w:r>
              <w:rPr>
                <w:sz w:val="18"/>
              </w:rPr>
              <w:t>para</w:t>
            </w:r>
            <w:r>
              <w:rPr>
                <w:spacing w:val="-2"/>
                <w:sz w:val="18"/>
              </w:rPr>
              <w:t> </w:t>
            </w:r>
            <w:r>
              <w:rPr>
                <w:sz w:val="18"/>
              </w:rPr>
              <w:t>transversalizar</w:t>
            </w:r>
            <w:r>
              <w:rPr>
                <w:spacing w:val="-5"/>
                <w:sz w:val="18"/>
              </w:rPr>
              <w:t> el</w:t>
            </w:r>
          </w:p>
          <w:p>
            <w:pPr>
              <w:pStyle w:val="TableParagraph"/>
              <w:spacing w:line="201" w:lineRule="exact" w:before="37"/>
              <w:ind w:left="69"/>
              <w:rPr>
                <w:sz w:val="18"/>
              </w:rPr>
            </w:pPr>
            <w:r>
              <w:rPr>
                <w:sz w:val="18"/>
              </w:rPr>
              <w:t>enfoque de</w:t>
            </w:r>
            <w:r>
              <w:rPr>
                <w:spacing w:val="1"/>
                <w:sz w:val="18"/>
              </w:rPr>
              <w:t> </w:t>
            </w:r>
            <w:r>
              <w:rPr>
                <w:sz w:val="18"/>
              </w:rPr>
              <w:t>género</w:t>
            </w:r>
            <w:r>
              <w:rPr>
                <w:spacing w:val="1"/>
                <w:sz w:val="18"/>
              </w:rPr>
              <w:t> </w:t>
            </w:r>
            <w:r>
              <w:rPr>
                <w:sz w:val="18"/>
              </w:rPr>
              <w:t>en los</w:t>
            </w:r>
            <w:r>
              <w:rPr>
                <w:spacing w:val="-2"/>
                <w:sz w:val="18"/>
              </w:rPr>
              <w:t> </w:t>
            </w:r>
            <w:r>
              <w:rPr>
                <w:sz w:val="18"/>
              </w:rPr>
              <w:t>sistemas</w:t>
            </w:r>
            <w:r>
              <w:rPr>
                <w:spacing w:val="1"/>
                <w:sz w:val="18"/>
              </w:rPr>
              <w:t> </w:t>
            </w:r>
            <w:r>
              <w:rPr>
                <w:spacing w:val="-2"/>
                <w:sz w:val="18"/>
              </w:rPr>
              <w:t>administrativos.</w:t>
            </w:r>
          </w:p>
        </w:tc>
      </w:tr>
      <w:tr>
        <w:trPr>
          <w:trHeight w:val="489" w:hRule="atLeast"/>
        </w:trPr>
        <w:tc>
          <w:tcPr>
            <w:tcW w:w="960" w:type="dxa"/>
            <w:shd w:val="clear" w:color="auto" w:fill="808080"/>
          </w:tcPr>
          <w:p>
            <w:pPr>
              <w:pStyle w:val="TableParagraph"/>
              <w:spacing w:before="145"/>
              <w:ind w:left="318"/>
              <w:rPr>
                <w:sz w:val="18"/>
              </w:rPr>
            </w:pPr>
            <w:r>
              <w:rPr>
                <w:color w:val="FFFFFF"/>
                <w:spacing w:val="-5"/>
                <w:sz w:val="18"/>
              </w:rPr>
              <w:t>Año</w:t>
            </w:r>
          </w:p>
        </w:tc>
        <w:tc>
          <w:tcPr>
            <w:tcW w:w="727" w:type="dxa"/>
            <w:shd w:val="clear" w:color="auto" w:fill="808080"/>
          </w:tcPr>
          <w:p>
            <w:pPr>
              <w:pStyle w:val="TableParagraph"/>
              <w:spacing w:before="23"/>
              <w:ind w:left="9"/>
              <w:jc w:val="center"/>
              <w:rPr>
                <w:sz w:val="18"/>
              </w:rPr>
            </w:pPr>
            <w:r>
              <w:rPr>
                <w:color w:val="FFFFFF"/>
                <w:spacing w:val="-2"/>
                <w:sz w:val="18"/>
              </w:rPr>
              <w:t>Valor</w:t>
            </w:r>
          </w:p>
          <w:p>
            <w:pPr>
              <w:pStyle w:val="TableParagraph"/>
              <w:spacing w:line="201" w:lineRule="exact" w:before="37"/>
              <w:ind w:left="9" w:right="1"/>
              <w:jc w:val="center"/>
              <w:rPr>
                <w:sz w:val="18"/>
              </w:rPr>
            </w:pPr>
            <w:r>
              <w:rPr>
                <w:color w:val="FFFFFF"/>
                <w:spacing w:val="-5"/>
                <w:sz w:val="18"/>
              </w:rPr>
              <w:t>LB</w:t>
            </w:r>
          </w:p>
        </w:tc>
        <w:tc>
          <w:tcPr>
            <w:tcW w:w="766" w:type="dxa"/>
            <w:shd w:val="clear" w:color="auto" w:fill="808080"/>
          </w:tcPr>
          <w:p>
            <w:pPr>
              <w:pStyle w:val="TableParagraph"/>
              <w:spacing w:before="145"/>
              <w:ind w:left="7"/>
              <w:jc w:val="center"/>
              <w:rPr>
                <w:sz w:val="18"/>
              </w:rPr>
            </w:pPr>
            <w:r>
              <w:rPr>
                <w:color w:val="FFFFFF"/>
                <w:spacing w:val="-4"/>
                <w:sz w:val="18"/>
              </w:rPr>
              <w:t>2021</w:t>
            </w:r>
          </w:p>
        </w:tc>
        <w:tc>
          <w:tcPr>
            <w:tcW w:w="763" w:type="dxa"/>
            <w:shd w:val="clear" w:color="auto" w:fill="808080"/>
          </w:tcPr>
          <w:p>
            <w:pPr>
              <w:pStyle w:val="TableParagraph"/>
              <w:spacing w:before="145"/>
              <w:ind w:left="12" w:right="2"/>
              <w:jc w:val="center"/>
              <w:rPr>
                <w:sz w:val="18"/>
              </w:rPr>
            </w:pPr>
            <w:r>
              <w:rPr>
                <w:color w:val="FFFFFF"/>
                <w:spacing w:val="-4"/>
                <w:sz w:val="18"/>
              </w:rPr>
              <w:t>2022</w:t>
            </w:r>
          </w:p>
        </w:tc>
        <w:tc>
          <w:tcPr>
            <w:tcW w:w="763" w:type="dxa"/>
            <w:shd w:val="clear" w:color="auto" w:fill="808080"/>
          </w:tcPr>
          <w:p>
            <w:pPr>
              <w:pStyle w:val="TableParagraph"/>
              <w:spacing w:before="145"/>
              <w:ind w:left="12" w:right="2"/>
              <w:jc w:val="center"/>
              <w:rPr>
                <w:sz w:val="18"/>
              </w:rPr>
            </w:pPr>
            <w:r>
              <w:rPr>
                <w:color w:val="FFFFFF"/>
                <w:spacing w:val="-4"/>
                <w:sz w:val="18"/>
              </w:rPr>
              <w:t>2023</w:t>
            </w:r>
          </w:p>
        </w:tc>
        <w:tc>
          <w:tcPr>
            <w:tcW w:w="674" w:type="dxa"/>
            <w:shd w:val="clear" w:color="auto" w:fill="808080"/>
          </w:tcPr>
          <w:p>
            <w:pPr>
              <w:pStyle w:val="TableParagraph"/>
              <w:spacing w:before="145"/>
              <w:ind w:left="13" w:right="4"/>
              <w:jc w:val="center"/>
              <w:rPr>
                <w:sz w:val="18"/>
              </w:rPr>
            </w:pPr>
            <w:r>
              <w:rPr>
                <w:color w:val="FFFFFF"/>
                <w:spacing w:val="-4"/>
                <w:sz w:val="18"/>
              </w:rPr>
              <w:t>2024</w:t>
            </w:r>
          </w:p>
        </w:tc>
        <w:tc>
          <w:tcPr>
            <w:tcW w:w="672" w:type="dxa"/>
            <w:shd w:val="clear" w:color="auto" w:fill="808080"/>
          </w:tcPr>
          <w:p>
            <w:pPr>
              <w:pStyle w:val="TableParagraph"/>
              <w:spacing w:before="145"/>
              <w:ind w:left="15" w:right="4"/>
              <w:jc w:val="center"/>
              <w:rPr>
                <w:sz w:val="18"/>
              </w:rPr>
            </w:pPr>
            <w:r>
              <w:rPr>
                <w:color w:val="FFFFFF"/>
                <w:spacing w:val="-4"/>
                <w:sz w:val="18"/>
              </w:rPr>
              <w:t>2025</w:t>
            </w:r>
          </w:p>
        </w:tc>
        <w:tc>
          <w:tcPr>
            <w:tcW w:w="674" w:type="dxa"/>
            <w:shd w:val="clear" w:color="auto" w:fill="808080"/>
          </w:tcPr>
          <w:p>
            <w:pPr>
              <w:pStyle w:val="TableParagraph"/>
              <w:spacing w:before="145"/>
              <w:ind w:left="13" w:right="3"/>
              <w:jc w:val="center"/>
              <w:rPr>
                <w:sz w:val="18"/>
              </w:rPr>
            </w:pPr>
            <w:r>
              <w:rPr>
                <w:color w:val="FFFFFF"/>
                <w:spacing w:val="-4"/>
                <w:sz w:val="18"/>
              </w:rPr>
              <w:t>2026</w:t>
            </w:r>
          </w:p>
        </w:tc>
        <w:tc>
          <w:tcPr>
            <w:tcW w:w="672" w:type="dxa"/>
            <w:shd w:val="clear" w:color="auto" w:fill="808080"/>
          </w:tcPr>
          <w:p>
            <w:pPr>
              <w:pStyle w:val="TableParagraph"/>
              <w:spacing w:before="145"/>
              <w:ind w:left="15" w:right="2"/>
              <w:jc w:val="center"/>
              <w:rPr>
                <w:sz w:val="18"/>
              </w:rPr>
            </w:pPr>
            <w:r>
              <w:rPr>
                <w:color w:val="FFFFFF"/>
                <w:spacing w:val="-4"/>
                <w:sz w:val="18"/>
              </w:rPr>
              <w:t>2027</w:t>
            </w:r>
          </w:p>
        </w:tc>
        <w:tc>
          <w:tcPr>
            <w:tcW w:w="672" w:type="dxa"/>
            <w:shd w:val="clear" w:color="auto" w:fill="808080"/>
          </w:tcPr>
          <w:p>
            <w:pPr>
              <w:pStyle w:val="TableParagraph"/>
              <w:spacing w:before="145"/>
              <w:ind w:left="15" w:right="2"/>
              <w:jc w:val="center"/>
              <w:rPr>
                <w:sz w:val="18"/>
              </w:rPr>
            </w:pPr>
            <w:r>
              <w:rPr>
                <w:color w:val="FFFFFF"/>
                <w:spacing w:val="-4"/>
                <w:sz w:val="18"/>
              </w:rPr>
              <w:t>2028</w:t>
            </w:r>
          </w:p>
        </w:tc>
        <w:tc>
          <w:tcPr>
            <w:tcW w:w="675" w:type="dxa"/>
            <w:shd w:val="clear" w:color="auto" w:fill="808080"/>
          </w:tcPr>
          <w:p>
            <w:pPr>
              <w:pStyle w:val="TableParagraph"/>
              <w:spacing w:before="145"/>
              <w:ind w:left="11" w:right="1"/>
              <w:jc w:val="center"/>
              <w:rPr>
                <w:sz w:val="18"/>
              </w:rPr>
            </w:pPr>
            <w:r>
              <w:rPr>
                <w:color w:val="FFFFFF"/>
                <w:spacing w:val="-4"/>
                <w:sz w:val="18"/>
              </w:rPr>
              <w:t>2029</w:t>
            </w:r>
          </w:p>
        </w:tc>
        <w:tc>
          <w:tcPr>
            <w:tcW w:w="672" w:type="dxa"/>
            <w:shd w:val="clear" w:color="auto" w:fill="808080"/>
          </w:tcPr>
          <w:p>
            <w:pPr>
              <w:pStyle w:val="TableParagraph"/>
              <w:spacing w:before="145"/>
              <w:ind w:left="15" w:right="2"/>
              <w:jc w:val="center"/>
              <w:rPr>
                <w:sz w:val="18"/>
              </w:rPr>
            </w:pPr>
            <w:r>
              <w:rPr>
                <w:color w:val="FFFFFF"/>
                <w:spacing w:val="-4"/>
                <w:sz w:val="18"/>
              </w:rPr>
              <w:t>2030</w:t>
            </w:r>
          </w:p>
        </w:tc>
      </w:tr>
      <w:tr>
        <w:trPr>
          <w:trHeight w:val="436" w:hRule="atLeast"/>
        </w:trPr>
        <w:tc>
          <w:tcPr>
            <w:tcW w:w="960" w:type="dxa"/>
            <w:shd w:val="clear" w:color="auto" w:fill="44536A"/>
          </w:tcPr>
          <w:p>
            <w:pPr>
              <w:pStyle w:val="TableParagraph"/>
              <w:spacing w:before="119"/>
              <w:ind w:left="69"/>
              <w:rPr>
                <w:sz w:val="18"/>
              </w:rPr>
            </w:pPr>
            <w:r>
              <w:rPr>
                <w:color w:val="FFFFFF"/>
                <w:spacing w:val="-2"/>
                <w:sz w:val="18"/>
              </w:rPr>
              <w:t>Metas</w:t>
            </w:r>
          </w:p>
        </w:tc>
        <w:tc>
          <w:tcPr>
            <w:tcW w:w="727" w:type="dxa"/>
          </w:tcPr>
          <w:p>
            <w:pPr>
              <w:pStyle w:val="TableParagraph"/>
              <w:spacing w:before="20"/>
              <w:ind w:left="9"/>
              <w:jc w:val="center"/>
              <w:rPr>
                <w:sz w:val="16"/>
              </w:rPr>
            </w:pPr>
            <w:r>
              <w:rPr>
                <w:spacing w:val="-5"/>
                <w:sz w:val="16"/>
              </w:rPr>
              <w:t>No</w:t>
            </w:r>
          </w:p>
          <w:p>
            <w:pPr>
              <w:pStyle w:val="TableParagraph"/>
              <w:spacing w:line="178" w:lineRule="exact" w:before="34"/>
              <w:ind w:left="9"/>
              <w:jc w:val="center"/>
              <w:rPr>
                <w:sz w:val="16"/>
              </w:rPr>
            </w:pPr>
            <w:r>
              <w:rPr>
                <w:spacing w:val="-2"/>
                <w:w w:val="105"/>
                <w:sz w:val="16"/>
              </w:rPr>
              <w:t>definido</w:t>
            </w:r>
          </w:p>
        </w:tc>
        <w:tc>
          <w:tcPr>
            <w:tcW w:w="766" w:type="dxa"/>
          </w:tcPr>
          <w:p>
            <w:pPr>
              <w:pStyle w:val="TableParagraph"/>
              <w:spacing w:before="130"/>
              <w:ind w:left="7"/>
              <w:jc w:val="center"/>
              <w:rPr>
                <w:sz w:val="16"/>
              </w:rPr>
            </w:pPr>
            <w:r>
              <w:rPr>
                <w:spacing w:val="-2"/>
                <w:sz w:val="16"/>
              </w:rPr>
              <w:t>4.50%</w:t>
            </w:r>
          </w:p>
        </w:tc>
        <w:tc>
          <w:tcPr>
            <w:tcW w:w="763" w:type="dxa"/>
          </w:tcPr>
          <w:p>
            <w:pPr>
              <w:pStyle w:val="TableParagraph"/>
              <w:spacing w:before="130"/>
              <w:ind w:left="12" w:right="2"/>
              <w:jc w:val="center"/>
              <w:rPr>
                <w:sz w:val="16"/>
              </w:rPr>
            </w:pPr>
            <w:r>
              <w:rPr>
                <w:spacing w:val="-2"/>
                <w:sz w:val="16"/>
              </w:rPr>
              <w:t>6.00%</w:t>
            </w:r>
          </w:p>
        </w:tc>
        <w:tc>
          <w:tcPr>
            <w:tcW w:w="763" w:type="dxa"/>
          </w:tcPr>
          <w:p>
            <w:pPr>
              <w:pStyle w:val="TableParagraph"/>
              <w:spacing w:before="130"/>
              <w:ind w:left="12" w:right="2"/>
              <w:jc w:val="center"/>
              <w:rPr>
                <w:sz w:val="16"/>
              </w:rPr>
            </w:pPr>
            <w:r>
              <w:rPr>
                <w:spacing w:val="-2"/>
                <w:sz w:val="16"/>
              </w:rPr>
              <w:t>7.50%</w:t>
            </w:r>
          </w:p>
        </w:tc>
        <w:tc>
          <w:tcPr>
            <w:tcW w:w="674" w:type="dxa"/>
          </w:tcPr>
          <w:p>
            <w:pPr>
              <w:pStyle w:val="TableParagraph"/>
              <w:spacing w:before="130"/>
              <w:ind w:left="13" w:right="4"/>
              <w:jc w:val="center"/>
              <w:rPr>
                <w:sz w:val="16"/>
              </w:rPr>
            </w:pPr>
            <w:r>
              <w:rPr>
                <w:spacing w:val="-2"/>
                <w:sz w:val="16"/>
              </w:rPr>
              <w:t>10.50%</w:t>
            </w:r>
          </w:p>
        </w:tc>
        <w:tc>
          <w:tcPr>
            <w:tcW w:w="672" w:type="dxa"/>
          </w:tcPr>
          <w:p>
            <w:pPr>
              <w:pStyle w:val="TableParagraph"/>
              <w:spacing w:before="130"/>
              <w:ind w:left="15" w:right="4"/>
              <w:jc w:val="center"/>
              <w:rPr>
                <w:sz w:val="16"/>
              </w:rPr>
            </w:pPr>
            <w:r>
              <w:rPr>
                <w:spacing w:val="-2"/>
                <w:sz w:val="16"/>
              </w:rPr>
              <w:t>13.50%</w:t>
            </w:r>
          </w:p>
        </w:tc>
        <w:tc>
          <w:tcPr>
            <w:tcW w:w="674" w:type="dxa"/>
          </w:tcPr>
          <w:p>
            <w:pPr>
              <w:pStyle w:val="TableParagraph"/>
              <w:spacing w:before="130"/>
              <w:ind w:left="13" w:right="3"/>
              <w:jc w:val="center"/>
              <w:rPr>
                <w:sz w:val="16"/>
              </w:rPr>
            </w:pPr>
            <w:r>
              <w:rPr>
                <w:spacing w:val="-2"/>
                <w:sz w:val="16"/>
              </w:rPr>
              <w:t>16.50%</w:t>
            </w:r>
          </w:p>
        </w:tc>
        <w:tc>
          <w:tcPr>
            <w:tcW w:w="672" w:type="dxa"/>
          </w:tcPr>
          <w:p>
            <w:pPr>
              <w:pStyle w:val="TableParagraph"/>
              <w:spacing w:before="130"/>
              <w:ind w:left="15" w:right="2"/>
              <w:jc w:val="center"/>
              <w:rPr>
                <w:sz w:val="16"/>
              </w:rPr>
            </w:pPr>
            <w:r>
              <w:rPr>
                <w:spacing w:val="-2"/>
                <w:sz w:val="16"/>
              </w:rPr>
              <w:t>19.50%</w:t>
            </w:r>
          </w:p>
        </w:tc>
        <w:tc>
          <w:tcPr>
            <w:tcW w:w="672" w:type="dxa"/>
          </w:tcPr>
          <w:p>
            <w:pPr>
              <w:pStyle w:val="TableParagraph"/>
              <w:spacing w:before="130"/>
              <w:ind w:left="15" w:right="2"/>
              <w:jc w:val="center"/>
              <w:rPr>
                <w:sz w:val="16"/>
              </w:rPr>
            </w:pPr>
            <w:r>
              <w:rPr>
                <w:spacing w:val="-2"/>
                <w:sz w:val="16"/>
              </w:rPr>
              <w:t>22.50%</w:t>
            </w:r>
          </w:p>
        </w:tc>
        <w:tc>
          <w:tcPr>
            <w:tcW w:w="675" w:type="dxa"/>
          </w:tcPr>
          <w:p>
            <w:pPr>
              <w:pStyle w:val="TableParagraph"/>
              <w:spacing w:before="130"/>
              <w:ind w:left="11" w:right="1"/>
              <w:jc w:val="center"/>
              <w:rPr>
                <w:sz w:val="16"/>
              </w:rPr>
            </w:pPr>
            <w:r>
              <w:rPr>
                <w:spacing w:val="-2"/>
                <w:sz w:val="16"/>
              </w:rPr>
              <w:t>25.50%</w:t>
            </w:r>
          </w:p>
        </w:tc>
        <w:tc>
          <w:tcPr>
            <w:tcW w:w="672" w:type="dxa"/>
          </w:tcPr>
          <w:p>
            <w:pPr>
              <w:pStyle w:val="TableParagraph"/>
              <w:spacing w:before="130"/>
              <w:ind w:left="15" w:right="2"/>
              <w:jc w:val="center"/>
              <w:rPr>
                <w:sz w:val="16"/>
              </w:rPr>
            </w:pPr>
            <w:r>
              <w:rPr>
                <w:spacing w:val="-2"/>
                <w:sz w:val="16"/>
              </w:rPr>
              <w:t>30.00%</w:t>
            </w:r>
          </w:p>
        </w:tc>
      </w:tr>
      <w:tr>
        <w:trPr>
          <w:trHeight w:val="570" w:hRule="atLeast"/>
        </w:trPr>
        <w:tc>
          <w:tcPr>
            <w:tcW w:w="960"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727" w:type="dxa"/>
            <w:shd w:val="clear" w:color="auto" w:fill="C8C8C8"/>
          </w:tcPr>
          <w:p>
            <w:pPr>
              <w:pStyle w:val="TableParagraph"/>
              <w:rPr>
                <w:rFonts w:ascii="Times New Roman"/>
                <w:sz w:val="18"/>
              </w:rPr>
            </w:pPr>
          </w:p>
        </w:tc>
        <w:tc>
          <w:tcPr>
            <w:tcW w:w="766" w:type="dxa"/>
          </w:tcPr>
          <w:p>
            <w:pPr>
              <w:pStyle w:val="TableParagraph"/>
              <w:spacing w:before="11"/>
              <w:rPr>
                <w:sz w:val="16"/>
              </w:rPr>
            </w:pPr>
          </w:p>
          <w:p>
            <w:pPr>
              <w:pStyle w:val="TableParagraph"/>
              <w:ind w:left="7"/>
              <w:jc w:val="center"/>
              <w:rPr>
                <w:sz w:val="16"/>
              </w:rPr>
            </w:pPr>
            <w:r>
              <w:rPr>
                <w:spacing w:val="-2"/>
                <w:sz w:val="16"/>
              </w:rPr>
              <w:t>13.11%</w:t>
            </w:r>
          </w:p>
        </w:tc>
        <w:tc>
          <w:tcPr>
            <w:tcW w:w="763" w:type="dxa"/>
          </w:tcPr>
          <w:p>
            <w:pPr>
              <w:pStyle w:val="TableParagraph"/>
              <w:spacing w:before="11"/>
              <w:rPr>
                <w:sz w:val="16"/>
              </w:rPr>
            </w:pPr>
          </w:p>
          <w:p>
            <w:pPr>
              <w:pStyle w:val="TableParagraph"/>
              <w:ind w:left="12" w:right="2"/>
              <w:jc w:val="center"/>
              <w:rPr>
                <w:sz w:val="16"/>
              </w:rPr>
            </w:pPr>
            <w:r>
              <w:rPr>
                <w:spacing w:val="-2"/>
                <w:sz w:val="16"/>
              </w:rPr>
              <w:t>6.95%</w:t>
            </w:r>
          </w:p>
        </w:tc>
        <w:tc>
          <w:tcPr>
            <w:tcW w:w="763" w:type="dxa"/>
          </w:tcPr>
          <w:p>
            <w:pPr>
              <w:pStyle w:val="TableParagraph"/>
              <w:spacing w:before="11"/>
              <w:rPr>
                <w:sz w:val="16"/>
              </w:rPr>
            </w:pPr>
          </w:p>
          <w:p>
            <w:pPr>
              <w:pStyle w:val="TableParagraph"/>
              <w:ind w:left="12" w:right="1"/>
              <w:jc w:val="center"/>
              <w:rPr>
                <w:sz w:val="16"/>
              </w:rPr>
            </w:pPr>
            <w:r>
              <w:rPr>
                <w:spacing w:val="-2"/>
                <w:sz w:val="16"/>
              </w:rPr>
              <w:t>10.11%</w:t>
            </w: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5"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r>
      <w:tr>
        <w:trPr>
          <w:trHeight w:val="571" w:hRule="atLeast"/>
        </w:trPr>
        <w:tc>
          <w:tcPr>
            <w:tcW w:w="960" w:type="dxa"/>
            <w:shd w:val="clear" w:color="auto" w:fill="44536A"/>
          </w:tcPr>
          <w:p>
            <w:pPr>
              <w:pStyle w:val="TableParagraph"/>
              <w:spacing w:line="240" w:lineRule="atLeast" w:before="30"/>
              <w:ind w:left="69" w:right="223"/>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27" w:type="dxa"/>
            <w:shd w:val="clear" w:color="auto" w:fill="C8C8C8"/>
          </w:tcPr>
          <w:p>
            <w:pPr>
              <w:pStyle w:val="TableParagraph"/>
              <w:rPr>
                <w:rFonts w:ascii="Times New Roman"/>
                <w:sz w:val="18"/>
              </w:rPr>
            </w:pPr>
          </w:p>
        </w:tc>
        <w:tc>
          <w:tcPr>
            <w:tcW w:w="766" w:type="dxa"/>
          </w:tcPr>
          <w:p>
            <w:pPr>
              <w:pStyle w:val="TableParagraph"/>
              <w:spacing w:before="11"/>
              <w:rPr>
                <w:sz w:val="16"/>
              </w:rPr>
            </w:pPr>
          </w:p>
          <w:p>
            <w:pPr>
              <w:pStyle w:val="TableParagraph"/>
              <w:ind w:left="7"/>
              <w:jc w:val="center"/>
              <w:rPr>
                <w:sz w:val="16"/>
              </w:rPr>
            </w:pPr>
            <w:r>
              <w:rPr>
                <w:spacing w:val="-2"/>
                <w:sz w:val="16"/>
              </w:rPr>
              <w:t>291.38%</w:t>
            </w:r>
          </w:p>
        </w:tc>
        <w:tc>
          <w:tcPr>
            <w:tcW w:w="763" w:type="dxa"/>
          </w:tcPr>
          <w:p>
            <w:pPr>
              <w:pStyle w:val="TableParagraph"/>
              <w:spacing w:before="11"/>
              <w:rPr>
                <w:sz w:val="16"/>
              </w:rPr>
            </w:pPr>
          </w:p>
          <w:p>
            <w:pPr>
              <w:pStyle w:val="TableParagraph"/>
              <w:ind w:left="12" w:right="2"/>
              <w:jc w:val="center"/>
              <w:rPr>
                <w:sz w:val="16"/>
              </w:rPr>
            </w:pPr>
            <w:r>
              <w:rPr>
                <w:spacing w:val="-2"/>
                <w:sz w:val="16"/>
              </w:rPr>
              <w:t>115.85%</w:t>
            </w:r>
          </w:p>
        </w:tc>
        <w:tc>
          <w:tcPr>
            <w:tcW w:w="763" w:type="dxa"/>
          </w:tcPr>
          <w:p>
            <w:pPr>
              <w:pStyle w:val="TableParagraph"/>
              <w:spacing w:before="11"/>
              <w:rPr>
                <w:sz w:val="16"/>
              </w:rPr>
            </w:pPr>
          </w:p>
          <w:p>
            <w:pPr>
              <w:pStyle w:val="TableParagraph"/>
              <w:ind w:left="12" w:right="2"/>
              <w:jc w:val="center"/>
              <w:rPr>
                <w:sz w:val="16"/>
              </w:rPr>
            </w:pPr>
            <w:r>
              <w:rPr>
                <w:spacing w:val="-2"/>
                <w:sz w:val="16"/>
              </w:rPr>
              <w:t>134.80%</w:t>
            </w: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5"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r>
    </w:tbl>
    <w:p>
      <w:pPr>
        <w:pStyle w:val="BodyText"/>
        <w:spacing w:before="36"/>
        <w:rPr>
          <w:sz w:val="22"/>
        </w:rPr>
      </w:pPr>
    </w:p>
    <w:p>
      <w:pPr>
        <w:spacing w:line="307" w:lineRule="auto" w:before="0"/>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6"/>
        <w:rPr>
          <w:sz w:val="18"/>
        </w:rPr>
      </w:pPr>
    </w:p>
    <w:p>
      <w:pPr>
        <w:pStyle w:val="BodyText"/>
        <w:spacing w:line="307" w:lineRule="auto"/>
        <w:ind w:left="143" w:right="704"/>
        <w:jc w:val="both"/>
      </w:pPr>
      <w:r>
        <w:rPr>
          <w:u w:val="single"/>
        </w:rPr>
        <w:t>Análisis de calidad: </w:t>
      </w:r>
      <w:r>
        <w:rPr/>
        <w:t>Para el año 2023, solo el 0.34% de las entidades públicas que recibieron asistencia técnica de la DTEG lograron incorporar el enfoque de género en</w:t>
      </w:r>
      <w:r>
        <w:rPr>
          <w:spacing w:val="-2"/>
        </w:rPr>
        <w:t> </w:t>
      </w:r>
      <w:r>
        <w:rPr/>
        <w:t>sus</w:t>
      </w:r>
      <w:r>
        <w:rPr>
          <w:spacing w:val="-1"/>
        </w:rPr>
        <w:t> </w:t>
      </w:r>
      <w:r>
        <w:rPr/>
        <w:t>sistemas administrativos. Esto</w:t>
      </w:r>
      <w:r>
        <w:rPr>
          <w:spacing w:val="-1"/>
        </w:rPr>
        <w:t> </w:t>
      </w:r>
      <w:r>
        <w:rPr/>
        <w:t>significa</w:t>
      </w:r>
      <w:r>
        <w:rPr>
          <w:spacing w:val="-2"/>
        </w:rPr>
        <w:t> </w:t>
      </w:r>
      <w:r>
        <w:rPr/>
        <w:t>que</w:t>
      </w:r>
      <w:r>
        <w:rPr>
          <w:spacing w:val="-2"/>
        </w:rPr>
        <w:t> </w:t>
      </w:r>
      <w:r>
        <w:rPr/>
        <w:t>apenas 1</w:t>
      </w:r>
      <w:r>
        <w:rPr>
          <w:spacing w:val="-2"/>
        </w:rPr>
        <w:t> </w:t>
      </w:r>
      <w:r>
        <w:rPr/>
        <w:t>de un</w:t>
      </w:r>
      <w:r>
        <w:rPr>
          <w:spacing w:val="-2"/>
        </w:rPr>
        <w:t> </w:t>
      </w:r>
      <w:r>
        <w:rPr/>
        <w:t>total de 295 entidades consiguió integrar este enfoque. Así, el indicador alcanzó un nivel de avance de 2.6% respecto a la meta programada, resultado que evidencia una posible falla de planeación del indicador.</w:t>
      </w:r>
    </w:p>
    <w:p>
      <w:pPr>
        <w:spacing w:before="259"/>
        <w:ind w:left="0" w:right="562" w:firstLine="0"/>
        <w:jc w:val="center"/>
        <w:rPr>
          <w:sz w:val="22"/>
        </w:rPr>
      </w:pPr>
      <w:r>
        <w:rPr>
          <w:color w:val="44536A"/>
          <w:sz w:val="22"/>
        </w:rPr>
        <w:t>Tabla</w:t>
      </w:r>
      <w:r>
        <w:rPr>
          <w:color w:val="44536A"/>
          <w:spacing w:val="-7"/>
          <w:sz w:val="22"/>
        </w:rPr>
        <w:t> </w:t>
      </w:r>
      <w:r>
        <w:rPr>
          <w:color w:val="44536A"/>
          <w:sz w:val="22"/>
        </w:rPr>
        <w:t>11.</w:t>
      </w:r>
      <w:r>
        <w:rPr>
          <w:color w:val="44536A"/>
          <w:spacing w:val="-8"/>
          <w:sz w:val="22"/>
        </w:rPr>
        <w:t> </w:t>
      </w:r>
      <w:r>
        <w:rPr>
          <w:color w:val="44536A"/>
          <w:sz w:val="22"/>
        </w:rPr>
        <w:t>Análisis</w:t>
      </w:r>
      <w:r>
        <w:rPr>
          <w:color w:val="44536A"/>
          <w:spacing w:val="-9"/>
          <w:sz w:val="22"/>
        </w:rPr>
        <w:t> </w:t>
      </w:r>
      <w:r>
        <w:rPr>
          <w:color w:val="44536A"/>
          <w:sz w:val="22"/>
        </w:rPr>
        <w:t>del</w:t>
      </w:r>
      <w:r>
        <w:rPr>
          <w:color w:val="44536A"/>
          <w:spacing w:val="-8"/>
          <w:sz w:val="22"/>
        </w:rPr>
        <w:t> </w:t>
      </w:r>
      <w:r>
        <w:rPr>
          <w:color w:val="44536A"/>
          <w:sz w:val="22"/>
        </w:rPr>
        <w:t>indicador</w:t>
      </w:r>
      <w:r>
        <w:rPr>
          <w:color w:val="44536A"/>
          <w:spacing w:val="-9"/>
          <w:sz w:val="22"/>
        </w:rPr>
        <w:t> </w:t>
      </w:r>
      <w:r>
        <w:rPr>
          <w:color w:val="44536A"/>
          <w:sz w:val="22"/>
        </w:rPr>
        <w:t>de</w:t>
      </w:r>
      <w:r>
        <w:rPr>
          <w:color w:val="44536A"/>
          <w:spacing w:val="-9"/>
          <w:sz w:val="22"/>
        </w:rPr>
        <w:t> </w:t>
      </w:r>
      <w:r>
        <w:rPr>
          <w:color w:val="44536A"/>
          <w:sz w:val="22"/>
        </w:rPr>
        <w:t>calidad</w:t>
      </w:r>
      <w:r>
        <w:rPr>
          <w:color w:val="44536A"/>
          <w:spacing w:val="-6"/>
          <w:sz w:val="22"/>
        </w:rPr>
        <w:t> </w:t>
      </w:r>
      <w:r>
        <w:rPr>
          <w:color w:val="44536A"/>
          <w:sz w:val="22"/>
        </w:rPr>
        <w:t>del</w:t>
      </w:r>
      <w:r>
        <w:rPr>
          <w:color w:val="44536A"/>
          <w:spacing w:val="-7"/>
          <w:sz w:val="22"/>
        </w:rPr>
        <w:t> </w:t>
      </w:r>
      <w:r>
        <w:rPr>
          <w:color w:val="44536A"/>
          <w:sz w:val="22"/>
        </w:rPr>
        <w:t>servicio</w:t>
      </w:r>
      <w:r>
        <w:rPr>
          <w:color w:val="44536A"/>
          <w:spacing w:val="-9"/>
          <w:sz w:val="22"/>
        </w:rPr>
        <w:t> </w:t>
      </w:r>
      <w:r>
        <w:rPr>
          <w:color w:val="44536A"/>
          <w:spacing w:val="-2"/>
          <w:sz w:val="22"/>
        </w:rPr>
        <w:t>05.03.01</w:t>
      </w:r>
    </w:p>
    <w:p>
      <w:pPr>
        <w:pStyle w:val="BodyText"/>
        <w:spacing w:before="10" w:after="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77"/>
        <w:gridCol w:w="756"/>
        <w:gridCol w:w="687"/>
        <w:gridCol w:w="593"/>
        <w:gridCol w:w="684"/>
        <w:gridCol w:w="686"/>
        <w:gridCol w:w="686"/>
        <w:gridCol w:w="686"/>
        <w:gridCol w:w="686"/>
        <w:gridCol w:w="686"/>
        <w:gridCol w:w="684"/>
        <w:gridCol w:w="686"/>
      </w:tblGrid>
      <w:tr>
        <w:trPr>
          <w:trHeight w:val="434" w:hRule="atLeast"/>
        </w:trPr>
        <w:tc>
          <w:tcPr>
            <w:tcW w:w="977" w:type="dxa"/>
            <w:shd w:val="clear" w:color="auto" w:fill="44536A"/>
          </w:tcPr>
          <w:p>
            <w:pPr>
              <w:pStyle w:val="TableParagraph"/>
              <w:spacing w:before="128"/>
              <w:ind w:left="6"/>
              <w:jc w:val="center"/>
              <w:rPr>
                <w:sz w:val="16"/>
              </w:rPr>
            </w:pPr>
            <w:r>
              <w:rPr>
                <w:color w:val="FFFFFF"/>
                <w:spacing w:val="-5"/>
                <w:sz w:val="16"/>
              </w:rPr>
              <w:t>OP</w:t>
            </w:r>
          </w:p>
        </w:tc>
        <w:tc>
          <w:tcPr>
            <w:tcW w:w="7520" w:type="dxa"/>
            <w:gridSpan w:val="11"/>
          </w:tcPr>
          <w:p>
            <w:pPr>
              <w:pStyle w:val="TableParagraph"/>
              <w:spacing w:before="20"/>
              <w:ind w:left="69"/>
              <w:rPr>
                <w:sz w:val="16"/>
              </w:rPr>
            </w:pPr>
            <w:r>
              <w:rPr>
                <w:sz w:val="16"/>
              </w:rPr>
              <w:t>OP.05</w:t>
            </w:r>
            <w:r>
              <w:rPr>
                <w:spacing w:val="-4"/>
                <w:sz w:val="16"/>
              </w:rPr>
              <w:t> </w:t>
            </w:r>
            <w:r>
              <w:rPr>
                <w:sz w:val="16"/>
              </w:rPr>
              <w:t>Reducir</w:t>
            </w:r>
            <w:r>
              <w:rPr>
                <w:spacing w:val="-2"/>
                <w:sz w:val="16"/>
              </w:rPr>
              <w:t> </w:t>
            </w:r>
            <w:r>
              <w:rPr>
                <w:sz w:val="16"/>
              </w:rPr>
              <w:t>las</w:t>
            </w:r>
            <w:r>
              <w:rPr>
                <w:spacing w:val="-3"/>
                <w:sz w:val="16"/>
              </w:rPr>
              <w:t> </w:t>
            </w:r>
            <w:r>
              <w:rPr>
                <w:sz w:val="16"/>
              </w:rPr>
              <w:t>barreras</w:t>
            </w:r>
            <w:r>
              <w:rPr>
                <w:spacing w:val="-3"/>
                <w:sz w:val="16"/>
              </w:rPr>
              <w:t> </w:t>
            </w:r>
            <w:r>
              <w:rPr>
                <w:sz w:val="16"/>
              </w:rPr>
              <w:t>institucionales</w:t>
            </w:r>
            <w:r>
              <w:rPr>
                <w:spacing w:val="-2"/>
                <w:sz w:val="16"/>
              </w:rPr>
              <w:t> </w:t>
            </w:r>
            <w:r>
              <w:rPr>
                <w:sz w:val="16"/>
              </w:rPr>
              <w:t>que</w:t>
            </w:r>
            <w:r>
              <w:rPr>
                <w:spacing w:val="-2"/>
                <w:sz w:val="16"/>
              </w:rPr>
              <w:t> </w:t>
            </w:r>
            <w:r>
              <w:rPr>
                <w:sz w:val="16"/>
              </w:rPr>
              <w:t>obstaculizan</w:t>
            </w:r>
            <w:r>
              <w:rPr>
                <w:spacing w:val="-1"/>
                <w:sz w:val="16"/>
              </w:rPr>
              <w:t> </w:t>
            </w:r>
            <w:r>
              <w:rPr>
                <w:sz w:val="16"/>
              </w:rPr>
              <w:t>la</w:t>
            </w:r>
            <w:r>
              <w:rPr>
                <w:spacing w:val="-2"/>
                <w:sz w:val="16"/>
              </w:rPr>
              <w:t> </w:t>
            </w:r>
            <w:r>
              <w:rPr>
                <w:sz w:val="16"/>
              </w:rPr>
              <w:t>igualdad</w:t>
            </w:r>
            <w:r>
              <w:rPr>
                <w:spacing w:val="-2"/>
                <w:sz w:val="16"/>
              </w:rPr>
              <w:t> </w:t>
            </w:r>
            <w:r>
              <w:rPr>
                <w:sz w:val="16"/>
              </w:rPr>
              <w:t>en</w:t>
            </w:r>
            <w:r>
              <w:rPr>
                <w:spacing w:val="-1"/>
                <w:sz w:val="16"/>
              </w:rPr>
              <w:t> </w:t>
            </w:r>
            <w:r>
              <w:rPr>
                <w:sz w:val="16"/>
              </w:rPr>
              <w:t>los</w:t>
            </w:r>
            <w:r>
              <w:rPr>
                <w:spacing w:val="-3"/>
                <w:sz w:val="16"/>
              </w:rPr>
              <w:t> </w:t>
            </w:r>
            <w:r>
              <w:rPr>
                <w:sz w:val="16"/>
              </w:rPr>
              <w:t>ámbitos</w:t>
            </w:r>
            <w:r>
              <w:rPr>
                <w:spacing w:val="-3"/>
                <w:sz w:val="16"/>
              </w:rPr>
              <w:t> </w:t>
            </w:r>
            <w:r>
              <w:rPr>
                <w:sz w:val="16"/>
              </w:rPr>
              <w:t>público</w:t>
            </w:r>
            <w:r>
              <w:rPr>
                <w:spacing w:val="-3"/>
                <w:sz w:val="16"/>
              </w:rPr>
              <w:t> </w:t>
            </w:r>
            <w:r>
              <w:rPr>
                <w:spacing w:val="-10"/>
                <w:sz w:val="16"/>
              </w:rPr>
              <w:t>y</w:t>
            </w:r>
          </w:p>
          <w:p>
            <w:pPr>
              <w:pStyle w:val="TableParagraph"/>
              <w:spacing w:line="178" w:lineRule="exact" w:before="32"/>
              <w:ind w:left="69"/>
              <w:rPr>
                <w:sz w:val="16"/>
              </w:rPr>
            </w:pPr>
            <w:r>
              <w:rPr>
                <w:sz w:val="16"/>
              </w:rPr>
              <w:t>privado</w:t>
            </w:r>
            <w:r>
              <w:rPr>
                <w:spacing w:val="6"/>
                <w:sz w:val="16"/>
              </w:rPr>
              <w:t> </w:t>
            </w:r>
            <w:r>
              <w:rPr>
                <w:sz w:val="16"/>
              </w:rPr>
              <w:t>entre</w:t>
            </w:r>
            <w:r>
              <w:rPr>
                <w:spacing w:val="7"/>
                <w:sz w:val="16"/>
              </w:rPr>
              <w:t> </w:t>
            </w:r>
            <w:r>
              <w:rPr>
                <w:sz w:val="16"/>
              </w:rPr>
              <w:t>hombres</w:t>
            </w:r>
            <w:r>
              <w:rPr>
                <w:spacing w:val="6"/>
                <w:sz w:val="16"/>
              </w:rPr>
              <w:t> </w:t>
            </w:r>
            <w:r>
              <w:rPr>
                <w:sz w:val="16"/>
              </w:rPr>
              <w:t>y</w:t>
            </w:r>
            <w:r>
              <w:rPr>
                <w:spacing w:val="7"/>
                <w:sz w:val="16"/>
              </w:rPr>
              <w:t> </w:t>
            </w:r>
            <w:r>
              <w:rPr>
                <w:spacing w:val="-2"/>
                <w:sz w:val="16"/>
              </w:rPr>
              <w:t>mujeres.</w:t>
            </w:r>
          </w:p>
        </w:tc>
      </w:tr>
      <w:tr>
        <w:trPr>
          <w:trHeight w:val="491" w:hRule="atLeast"/>
        </w:trPr>
        <w:tc>
          <w:tcPr>
            <w:tcW w:w="977" w:type="dxa"/>
            <w:shd w:val="clear" w:color="auto" w:fill="44536A"/>
          </w:tcPr>
          <w:p>
            <w:pPr>
              <w:pStyle w:val="TableParagraph"/>
              <w:spacing w:before="147"/>
              <w:ind w:left="177"/>
              <w:rPr>
                <w:sz w:val="18"/>
              </w:rPr>
            </w:pPr>
            <w:r>
              <w:rPr>
                <w:color w:val="FFFFFF"/>
                <w:spacing w:val="-2"/>
                <w:sz w:val="18"/>
              </w:rPr>
              <w:t>Servicio</w:t>
            </w:r>
          </w:p>
        </w:tc>
        <w:tc>
          <w:tcPr>
            <w:tcW w:w="7520" w:type="dxa"/>
            <w:gridSpan w:val="11"/>
          </w:tcPr>
          <w:p>
            <w:pPr>
              <w:pStyle w:val="TableParagraph"/>
              <w:spacing w:before="25"/>
              <w:ind w:left="69"/>
              <w:rPr>
                <w:sz w:val="18"/>
              </w:rPr>
            </w:pPr>
            <w:r>
              <w:rPr>
                <w:sz w:val="18"/>
              </w:rPr>
              <w:t>Asistencia</w:t>
            </w:r>
            <w:r>
              <w:rPr>
                <w:spacing w:val="-1"/>
                <w:sz w:val="18"/>
              </w:rPr>
              <w:t> </w:t>
            </w:r>
            <w:r>
              <w:rPr>
                <w:sz w:val="18"/>
              </w:rPr>
              <w:t>Técnica</w:t>
            </w:r>
            <w:r>
              <w:rPr>
                <w:spacing w:val="-2"/>
                <w:sz w:val="18"/>
              </w:rPr>
              <w:t> </w:t>
            </w:r>
            <w:r>
              <w:rPr>
                <w:sz w:val="18"/>
              </w:rPr>
              <w:t>para</w:t>
            </w:r>
            <w:r>
              <w:rPr>
                <w:spacing w:val="-4"/>
                <w:sz w:val="18"/>
              </w:rPr>
              <w:t> </w:t>
            </w:r>
            <w:r>
              <w:rPr>
                <w:sz w:val="18"/>
              </w:rPr>
              <w:t>la</w:t>
            </w:r>
            <w:r>
              <w:rPr>
                <w:spacing w:val="-2"/>
                <w:sz w:val="18"/>
              </w:rPr>
              <w:t> </w:t>
            </w:r>
            <w:r>
              <w:rPr>
                <w:sz w:val="18"/>
              </w:rPr>
              <w:t>Incorporación</w:t>
            </w:r>
            <w:r>
              <w:rPr>
                <w:spacing w:val="-2"/>
                <w:sz w:val="18"/>
              </w:rPr>
              <w:t> </w:t>
            </w:r>
            <w:r>
              <w:rPr>
                <w:sz w:val="18"/>
              </w:rPr>
              <w:t>del</w:t>
            </w:r>
            <w:r>
              <w:rPr>
                <w:spacing w:val="-3"/>
                <w:sz w:val="18"/>
              </w:rPr>
              <w:t> </w:t>
            </w:r>
            <w:r>
              <w:rPr>
                <w:sz w:val="18"/>
              </w:rPr>
              <w:t>enfoque</w:t>
            </w:r>
            <w:r>
              <w:rPr>
                <w:spacing w:val="-4"/>
                <w:sz w:val="18"/>
              </w:rPr>
              <w:t> </w:t>
            </w:r>
            <w:r>
              <w:rPr>
                <w:sz w:val="18"/>
              </w:rPr>
              <w:t>de</w:t>
            </w:r>
            <w:r>
              <w:rPr>
                <w:spacing w:val="-1"/>
                <w:sz w:val="18"/>
              </w:rPr>
              <w:t> </w:t>
            </w:r>
            <w:r>
              <w:rPr>
                <w:sz w:val="18"/>
              </w:rPr>
              <w:t>género</w:t>
            </w:r>
            <w:r>
              <w:rPr>
                <w:spacing w:val="-2"/>
                <w:sz w:val="18"/>
              </w:rPr>
              <w:t> </w:t>
            </w:r>
            <w:r>
              <w:rPr>
                <w:sz w:val="18"/>
              </w:rPr>
              <w:t>en</w:t>
            </w:r>
            <w:r>
              <w:rPr>
                <w:spacing w:val="-2"/>
                <w:sz w:val="18"/>
              </w:rPr>
              <w:t> </w:t>
            </w:r>
            <w:r>
              <w:rPr>
                <w:sz w:val="18"/>
              </w:rPr>
              <w:t>los </w:t>
            </w:r>
            <w:r>
              <w:rPr>
                <w:spacing w:val="-2"/>
                <w:sz w:val="18"/>
              </w:rPr>
              <w:t>Sistemas</w:t>
            </w:r>
          </w:p>
          <w:p>
            <w:pPr>
              <w:pStyle w:val="TableParagraph"/>
              <w:spacing w:line="201" w:lineRule="exact" w:before="38"/>
              <w:ind w:left="69"/>
              <w:rPr>
                <w:sz w:val="18"/>
              </w:rPr>
            </w:pPr>
            <w:r>
              <w:rPr>
                <w:sz w:val="18"/>
              </w:rPr>
              <w:t>Administrativos de la</w:t>
            </w:r>
            <w:r>
              <w:rPr>
                <w:spacing w:val="-1"/>
                <w:sz w:val="18"/>
              </w:rPr>
              <w:t> </w:t>
            </w:r>
            <w:r>
              <w:rPr>
                <w:sz w:val="18"/>
              </w:rPr>
              <w:t>Gestión</w:t>
            </w:r>
            <w:r>
              <w:rPr>
                <w:spacing w:val="-2"/>
                <w:sz w:val="18"/>
              </w:rPr>
              <w:t> </w:t>
            </w:r>
            <w:r>
              <w:rPr>
                <w:sz w:val="18"/>
              </w:rPr>
              <w:t>Pública,</w:t>
            </w:r>
            <w:r>
              <w:rPr>
                <w:spacing w:val="-3"/>
                <w:sz w:val="18"/>
              </w:rPr>
              <w:t> </w:t>
            </w:r>
            <w:r>
              <w:rPr>
                <w:sz w:val="18"/>
              </w:rPr>
              <w:t>de manera</w:t>
            </w:r>
            <w:r>
              <w:rPr>
                <w:spacing w:val="1"/>
                <w:sz w:val="18"/>
              </w:rPr>
              <w:t> </w:t>
            </w:r>
            <w:r>
              <w:rPr>
                <w:sz w:val="18"/>
              </w:rPr>
              <w:t>oportuna</w:t>
            </w:r>
            <w:r>
              <w:rPr>
                <w:spacing w:val="-2"/>
                <w:sz w:val="18"/>
              </w:rPr>
              <w:t> </w:t>
            </w:r>
            <w:r>
              <w:rPr>
                <w:sz w:val="18"/>
              </w:rPr>
              <w:t>y</w:t>
            </w:r>
            <w:r>
              <w:rPr>
                <w:spacing w:val="-1"/>
                <w:sz w:val="18"/>
              </w:rPr>
              <w:t> </w:t>
            </w:r>
            <w:r>
              <w:rPr>
                <w:spacing w:val="-2"/>
                <w:sz w:val="18"/>
              </w:rPr>
              <w:t>fiable.</w:t>
            </w:r>
          </w:p>
        </w:tc>
      </w:tr>
      <w:tr>
        <w:trPr>
          <w:trHeight w:val="489" w:hRule="atLeast"/>
        </w:trPr>
        <w:tc>
          <w:tcPr>
            <w:tcW w:w="977" w:type="dxa"/>
            <w:shd w:val="clear" w:color="auto" w:fill="44536A"/>
          </w:tcPr>
          <w:p>
            <w:pPr>
              <w:pStyle w:val="TableParagraph"/>
              <w:spacing w:before="145"/>
              <w:ind w:left="105"/>
              <w:rPr>
                <w:sz w:val="18"/>
              </w:rPr>
            </w:pPr>
            <w:r>
              <w:rPr>
                <w:color w:val="FFFFFF"/>
                <w:spacing w:val="-2"/>
                <w:w w:val="105"/>
                <w:sz w:val="18"/>
              </w:rPr>
              <w:t>Indicador</w:t>
            </w:r>
          </w:p>
        </w:tc>
        <w:tc>
          <w:tcPr>
            <w:tcW w:w="7520" w:type="dxa"/>
            <w:gridSpan w:val="11"/>
          </w:tcPr>
          <w:p>
            <w:pPr>
              <w:pStyle w:val="TableParagraph"/>
              <w:spacing w:before="23"/>
              <w:ind w:left="69"/>
              <w:rPr>
                <w:sz w:val="18"/>
              </w:rPr>
            </w:pPr>
            <w:r>
              <w:rPr>
                <w:sz w:val="18"/>
              </w:rPr>
              <w:t>Porcentaje</w:t>
            </w:r>
            <w:r>
              <w:rPr>
                <w:spacing w:val="3"/>
                <w:sz w:val="18"/>
              </w:rPr>
              <w:t> </w:t>
            </w:r>
            <w:r>
              <w:rPr>
                <w:sz w:val="18"/>
              </w:rPr>
              <w:t>de</w:t>
            </w:r>
            <w:r>
              <w:rPr>
                <w:spacing w:val="4"/>
                <w:sz w:val="18"/>
              </w:rPr>
              <w:t> </w:t>
            </w:r>
            <w:r>
              <w:rPr>
                <w:sz w:val="18"/>
              </w:rPr>
              <w:t>entidades</w:t>
            </w:r>
            <w:r>
              <w:rPr>
                <w:spacing w:val="3"/>
                <w:sz w:val="18"/>
              </w:rPr>
              <w:t> </w:t>
            </w:r>
            <w:r>
              <w:rPr>
                <w:sz w:val="18"/>
              </w:rPr>
              <w:t>públicas</w:t>
            </w:r>
            <w:r>
              <w:rPr>
                <w:spacing w:val="1"/>
                <w:sz w:val="18"/>
              </w:rPr>
              <w:t> </w:t>
            </w:r>
            <w:r>
              <w:rPr>
                <w:sz w:val="18"/>
              </w:rPr>
              <w:t>que</w:t>
            </w:r>
            <w:r>
              <w:rPr>
                <w:spacing w:val="4"/>
                <w:sz w:val="18"/>
              </w:rPr>
              <w:t> </w:t>
            </w:r>
            <w:r>
              <w:rPr>
                <w:sz w:val="18"/>
              </w:rPr>
              <w:t>incorporan</w:t>
            </w:r>
            <w:r>
              <w:rPr>
                <w:spacing w:val="3"/>
                <w:sz w:val="18"/>
              </w:rPr>
              <w:t> </w:t>
            </w:r>
            <w:r>
              <w:rPr>
                <w:sz w:val="18"/>
              </w:rPr>
              <w:t>el</w:t>
            </w:r>
            <w:r>
              <w:rPr>
                <w:spacing w:val="2"/>
                <w:sz w:val="18"/>
              </w:rPr>
              <w:t> </w:t>
            </w:r>
            <w:r>
              <w:rPr>
                <w:sz w:val="18"/>
              </w:rPr>
              <w:t>enfoque</w:t>
            </w:r>
            <w:r>
              <w:rPr>
                <w:spacing w:val="3"/>
                <w:sz w:val="18"/>
              </w:rPr>
              <w:t> </w:t>
            </w:r>
            <w:r>
              <w:rPr>
                <w:sz w:val="18"/>
              </w:rPr>
              <w:t>de</w:t>
            </w:r>
            <w:r>
              <w:rPr>
                <w:spacing w:val="4"/>
                <w:sz w:val="18"/>
              </w:rPr>
              <w:t> </w:t>
            </w:r>
            <w:r>
              <w:rPr>
                <w:sz w:val="18"/>
              </w:rPr>
              <w:t>género</w:t>
            </w:r>
            <w:r>
              <w:rPr>
                <w:spacing w:val="3"/>
                <w:sz w:val="18"/>
              </w:rPr>
              <w:t> </w:t>
            </w:r>
            <w:r>
              <w:rPr>
                <w:sz w:val="18"/>
              </w:rPr>
              <w:t>en</w:t>
            </w:r>
            <w:r>
              <w:rPr>
                <w:spacing w:val="3"/>
                <w:sz w:val="18"/>
              </w:rPr>
              <w:t> </w:t>
            </w:r>
            <w:r>
              <w:rPr>
                <w:sz w:val="18"/>
              </w:rPr>
              <w:t>los</w:t>
            </w:r>
            <w:r>
              <w:rPr>
                <w:spacing w:val="4"/>
                <w:sz w:val="18"/>
              </w:rPr>
              <w:t> </w:t>
            </w:r>
            <w:r>
              <w:rPr>
                <w:spacing w:val="-2"/>
                <w:sz w:val="18"/>
              </w:rPr>
              <w:t>sistemas</w:t>
            </w:r>
          </w:p>
          <w:p>
            <w:pPr>
              <w:pStyle w:val="TableParagraph"/>
              <w:spacing w:line="201" w:lineRule="exact" w:before="37"/>
              <w:ind w:left="69"/>
              <w:rPr>
                <w:sz w:val="18"/>
              </w:rPr>
            </w:pPr>
            <w:r>
              <w:rPr>
                <w:spacing w:val="-2"/>
                <w:sz w:val="18"/>
              </w:rPr>
              <w:t>administrativos.</w:t>
            </w:r>
          </w:p>
        </w:tc>
      </w:tr>
      <w:tr>
        <w:trPr>
          <w:trHeight w:val="491" w:hRule="atLeast"/>
        </w:trPr>
        <w:tc>
          <w:tcPr>
            <w:tcW w:w="977" w:type="dxa"/>
            <w:shd w:val="clear" w:color="auto" w:fill="808080"/>
          </w:tcPr>
          <w:p>
            <w:pPr>
              <w:pStyle w:val="TableParagraph"/>
              <w:spacing w:before="147"/>
              <w:ind w:left="328"/>
              <w:rPr>
                <w:sz w:val="18"/>
              </w:rPr>
            </w:pPr>
            <w:r>
              <w:rPr>
                <w:color w:val="FFFFFF"/>
                <w:spacing w:val="-5"/>
                <w:sz w:val="18"/>
              </w:rPr>
              <w:t>Año</w:t>
            </w:r>
          </w:p>
        </w:tc>
        <w:tc>
          <w:tcPr>
            <w:tcW w:w="756" w:type="dxa"/>
            <w:shd w:val="clear" w:color="auto" w:fill="808080"/>
          </w:tcPr>
          <w:p>
            <w:pPr>
              <w:pStyle w:val="TableParagraph"/>
              <w:spacing w:before="25"/>
              <w:ind w:left="8" w:right="4"/>
              <w:jc w:val="center"/>
              <w:rPr>
                <w:sz w:val="18"/>
              </w:rPr>
            </w:pPr>
            <w:r>
              <w:rPr>
                <w:color w:val="FFFFFF"/>
                <w:spacing w:val="-2"/>
                <w:sz w:val="18"/>
              </w:rPr>
              <w:t>Valor</w:t>
            </w:r>
          </w:p>
          <w:p>
            <w:pPr>
              <w:pStyle w:val="TableParagraph"/>
              <w:spacing w:line="201" w:lineRule="exact" w:before="38"/>
              <w:ind w:left="8"/>
              <w:jc w:val="center"/>
              <w:rPr>
                <w:sz w:val="18"/>
              </w:rPr>
            </w:pPr>
            <w:r>
              <w:rPr>
                <w:color w:val="FFFFFF"/>
                <w:spacing w:val="-5"/>
                <w:sz w:val="18"/>
              </w:rPr>
              <w:t>LB</w:t>
            </w:r>
          </w:p>
        </w:tc>
        <w:tc>
          <w:tcPr>
            <w:tcW w:w="687" w:type="dxa"/>
            <w:shd w:val="clear" w:color="auto" w:fill="808080"/>
          </w:tcPr>
          <w:p>
            <w:pPr>
              <w:pStyle w:val="TableParagraph"/>
              <w:spacing w:before="147"/>
              <w:ind w:left="18" w:right="10"/>
              <w:jc w:val="center"/>
              <w:rPr>
                <w:sz w:val="18"/>
              </w:rPr>
            </w:pPr>
            <w:r>
              <w:rPr>
                <w:color w:val="FFFFFF"/>
                <w:spacing w:val="-4"/>
                <w:sz w:val="18"/>
              </w:rPr>
              <w:t>2021</w:t>
            </w:r>
          </w:p>
        </w:tc>
        <w:tc>
          <w:tcPr>
            <w:tcW w:w="593" w:type="dxa"/>
            <w:shd w:val="clear" w:color="auto" w:fill="808080"/>
          </w:tcPr>
          <w:p>
            <w:pPr>
              <w:pStyle w:val="TableParagraph"/>
              <w:spacing w:before="147"/>
              <w:ind w:left="12" w:right="6"/>
              <w:jc w:val="center"/>
              <w:rPr>
                <w:sz w:val="18"/>
              </w:rPr>
            </w:pPr>
            <w:r>
              <w:rPr>
                <w:color w:val="FFFFFF"/>
                <w:spacing w:val="-4"/>
                <w:sz w:val="18"/>
              </w:rPr>
              <w:t>2022</w:t>
            </w:r>
          </w:p>
        </w:tc>
        <w:tc>
          <w:tcPr>
            <w:tcW w:w="684" w:type="dxa"/>
            <w:shd w:val="clear" w:color="auto" w:fill="808080"/>
          </w:tcPr>
          <w:p>
            <w:pPr>
              <w:pStyle w:val="TableParagraph"/>
              <w:spacing w:before="147"/>
              <w:ind w:left="15" w:right="4"/>
              <w:jc w:val="center"/>
              <w:rPr>
                <w:sz w:val="18"/>
              </w:rPr>
            </w:pPr>
            <w:r>
              <w:rPr>
                <w:color w:val="FFFFFF"/>
                <w:spacing w:val="-4"/>
                <w:sz w:val="18"/>
              </w:rPr>
              <w:t>2023</w:t>
            </w:r>
          </w:p>
        </w:tc>
        <w:tc>
          <w:tcPr>
            <w:tcW w:w="686" w:type="dxa"/>
            <w:shd w:val="clear" w:color="auto" w:fill="808080"/>
          </w:tcPr>
          <w:p>
            <w:pPr>
              <w:pStyle w:val="TableParagraph"/>
              <w:spacing w:before="147"/>
              <w:ind w:left="19" w:right="10"/>
              <w:jc w:val="center"/>
              <w:rPr>
                <w:sz w:val="18"/>
              </w:rPr>
            </w:pPr>
            <w:r>
              <w:rPr>
                <w:color w:val="FFFFFF"/>
                <w:spacing w:val="-4"/>
                <w:sz w:val="18"/>
              </w:rPr>
              <w:t>2024</w:t>
            </w:r>
          </w:p>
        </w:tc>
        <w:tc>
          <w:tcPr>
            <w:tcW w:w="686" w:type="dxa"/>
            <w:shd w:val="clear" w:color="auto" w:fill="808080"/>
          </w:tcPr>
          <w:p>
            <w:pPr>
              <w:pStyle w:val="TableParagraph"/>
              <w:spacing w:before="147"/>
              <w:ind w:left="19" w:right="10"/>
              <w:jc w:val="center"/>
              <w:rPr>
                <w:sz w:val="18"/>
              </w:rPr>
            </w:pPr>
            <w:r>
              <w:rPr>
                <w:color w:val="FFFFFF"/>
                <w:spacing w:val="-4"/>
                <w:sz w:val="18"/>
              </w:rPr>
              <w:t>2025</w:t>
            </w:r>
          </w:p>
        </w:tc>
        <w:tc>
          <w:tcPr>
            <w:tcW w:w="686" w:type="dxa"/>
            <w:shd w:val="clear" w:color="auto" w:fill="808080"/>
          </w:tcPr>
          <w:p>
            <w:pPr>
              <w:pStyle w:val="TableParagraph"/>
              <w:spacing w:before="147"/>
              <w:ind w:left="19" w:right="8"/>
              <w:jc w:val="center"/>
              <w:rPr>
                <w:sz w:val="18"/>
              </w:rPr>
            </w:pPr>
            <w:r>
              <w:rPr>
                <w:color w:val="FFFFFF"/>
                <w:spacing w:val="-4"/>
                <w:sz w:val="18"/>
              </w:rPr>
              <w:t>2026</w:t>
            </w:r>
          </w:p>
        </w:tc>
        <w:tc>
          <w:tcPr>
            <w:tcW w:w="686" w:type="dxa"/>
            <w:shd w:val="clear" w:color="auto" w:fill="808080"/>
          </w:tcPr>
          <w:p>
            <w:pPr>
              <w:pStyle w:val="TableParagraph"/>
              <w:spacing w:before="147"/>
              <w:ind w:left="19" w:right="7"/>
              <w:jc w:val="center"/>
              <w:rPr>
                <w:sz w:val="18"/>
              </w:rPr>
            </w:pPr>
            <w:r>
              <w:rPr>
                <w:color w:val="FFFFFF"/>
                <w:spacing w:val="-4"/>
                <w:sz w:val="18"/>
              </w:rPr>
              <w:t>2027</w:t>
            </w:r>
          </w:p>
        </w:tc>
        <w:tc>
          <w:tcPr>
            <w:tcW w:w="686" w:type="dxa"/>
            <w:shd w:val="clear" w:color="auto" w:fill="808080"/>
          </w:tcPr>
          <w:p>
            <w:pPr>
              <w:pStyle w:val="TableParagraph"/>
              <w:spacing w:before="147"/>
              <w:ind w:left="19" w:right="6"/>
              <w:jc w:val="center"/>
              <w:rPr>
                <w:sz w:val="18"/>
              </w:rPr>
            </w:pPr>
            <w:r>
              <w:rPr>
                <w:color w:val="FFFFFF"/>
                <w:spacing w:val="-4"/>
                <w:sz w:val="18"/>
              </w:rPr>
              <w:t>2028</w:t>
            </w:r>
          </w:p>
        </w:tc>
        <w:tc>
          <w:tcPr>
            <w:tcW w:w="684" w:type="dxa"/>
            <w:shd w:val="clear" w:color="auto" w:fill="808080"/>
          </w:tcPr>
          <w:p>
            <w:pPr>
              <w:pStyle w:val="TableParagraph"/>
              <w:spacing w:before="147"/>
              <w:ind w:left="15"/>
              <w:jc w:val="center"/>
              <w:rPr>
                <w:sz w:val="18"/>
              </w:rPr>
            </w:pPr>
            <w:r>
              <w:rPr>
                <w:color w:val="FFFFFF"/>
                <w:spacing w:val="-4"/>
                <w:sz w:val="18"/>
              </w:rPr>
              <w:t>2029</w:t>
            </w:r>
          </w:p>
        </w:tc>
        <w:tc>
          <w:tcPr>
            <w:tcW w:w="686" w:type="dxa"/>
            <w:shd w:val="clear" w:color="auto" w:fill="808080"/>
          </w:tcPr>
          <w:p>
            <w:pPr>
              <w:pStyle w:val="TableParagraph"/>
              <w:spacing w:before="147"/>
              <w:ind w:left="19" w:right="4"/>
              <w:jc w:val="center"/>
              <w:rPr>
                <w:sz w:val="18"/>
              </w:rPr>
            </w:pPr>
            <w:r>
              <w:rPr>
                <w:color w:val="FFFFFF"/>
                <w:spacing w:val="-4"/>
                <w:sz w:val="18"/>
              </w:rPr>
              <w:t>2030</w:t>
            </w:r>
          </w:p>
        </w:tc>
      </w:tr>
      <w:tr>
        <w:trPr>
          <w:trHeight w:val="436" w:hRule="atLeast"/>
        </w:trPr>
        <w:tc>
          <w:tcPr>
            <w:tcW w:w="977" w:type="dxa"/>
            <w:shd w:val="clear" w:color="auto" w:fill="44536A"/>
          </w:tcPr>
          <w:p>
            <w:pPr>
              <w:pStyle w:val="TableParagraph"/>
              <w:spacing w:before="119"/>
              <w:ind w:left="69"/>
              <w:rPr>
                <w:sz w:val="18"/>
              </w:rPr>
            </w:pPr>
            <w:r>
              <w:rPr>
                <w:color w:val="FFFFFF"/>
                <w:spacing w:val="-2"/>
                <w:sz w:val="18"/>
              </w:rPr>
              <w:t>Metas</w:t>
            </w:r>
          </w:p>
        </w:tc>
        <w:tc>
          <w:tcPr>
            <w:tcW w:w="756" w:type="dxa"/>
          </w:tcPr>
          <w:p>
            <w:pPr>
              <w:pStyle w:val="TableParagraph"/>
              <w:spacing w:before="20"/>
              <w:ind w:left="8" w:right="4"/>
              <w:jc w:val="center"/>
              <w:rPr>
                <w:sz w:val="16"/>
              </w:rPr>
            </w:pPr>
            <w:r>
              <w:rPr>
                <w:spacing w:val="-5"/>
                <w:sz w:val="16"/>
              </w:rPr>
              <w:t>No</w:t>
            </w:r>
          </w:p>
          <w:p>
            <w:pPr>
              <w:pStyle w:val="TableParagraph"/>
              <w:spacing w:line="178" w:lineRule="exact" w:before="34"/>
              <w:ind w:left="8"/>
              <w:jc w:val="center"/>
              <w:rPr>
                <w:sz w:val="16"/>
              </w:rPr>
            </w:pPr>
            <w:r>
              <w:rPr>
                <w:spacing w:val="-2"/>
                <w:w w:val="105"/>
                <w:sz w:val="16"/>
              </w:rPr>
              <w:t>definido</w:t>
            </w:r>
          </w:p>
        </w:tc>
        <w:tc>
          <w:tcPr>
            <w:tcW w:w="687" w:type="dxa"/>
          </w:tcPr>
          <w:p>
            <w:pPr>
              <w:pStyle w:val="TableParagraph"/>
              <w:spacing w:before="128"/>
              <w:ind w:left="18" w:right="10"/>
              <w:jc w:val="center"/>
              <w:rPr>
                <w:sz w:val="16"/>
              </w:rPr>
            </w:pPr>
            <w:r>
              <w:rPr>
                <w:spacing w:val="-2"/>
                <w:sz w:val="16"/>
              </w:rPr>
              <w:t>9.00%</w:t>
            </w:r>
          </w:p>
        </w:tc>
        <w:tc>
          <w:tcPr>
            <w:tcW w:w="593" w:type="dxa"/>
          </w:tcPr>
          <w:p>
            <w:pPr>
              <w:pStyle w:val="TableParagraph"/>
              <w:spacing w:before="128"/>
              <w:ind w:left="12" w:right="11"/>
              <w:jc w:val="center"/>
              <w:rPr>
                <w:sz w:val="16"/>
              </w:rPr>
            </w:pPr>
            <w:r>
              <w:rPr>
                <w:spacing w:val="-2"/>
                <w:sz w:val="16"/>
              </w:rPr>
              <w:t>9.80%</w:t>
            </w:r>
          </w:p>
        </w:tc>
        <w:tc>
          <w:tcPr>
            <w:tcW w:w="684" w:type="dxa"/>
          </w:tcPr>
          <w:p>
            <w:pPr>
              <w:pStyle w:val="TableParagraph"/>
              <w:spacing w:before="128"/>
              <w:ind w:left="15" w:right="4"/>
              <w:jc w:val="center"/>
              <w:rPr>
                <w:sz w:val="16"/>
              </w:rPr>
            </w:pPr>
            <w:r>
              <w:rPr>
                <w:spacing w:val="-2"/>
                <w:sz w:val="16"/>
              </w:rPr>
              <w:t>13.30%</w:t>
            </w:r>
          </w:p>
        </w:tc>
        <w:tc>
          <w:tcPr>
            <w:tcW w:w="686" w:type="dxa"/>
          </w:tcPr>
          <w:p>
            <w:pPr>
              <w:pStyle w:val="TableParagraph"/>
              <w:spacing w:before="128"/>
              <w:ind w:left="19" w:right="10"/>
              <w:jc w:val="center"/>
              <w:rPr>
                <w:sz w:val="16"/>
              </w:rPr>
            </w:pPr>
            <w:r>
              <w:rPr>
                <w:spacing w:val="-2"/>
                <w:sz w:val="16"/>
              </w:rPr>
              <w:t>16.80%</w:t>
            </w:r>
          </w:p>
        </w:tc>
        <w:tc>
          <w:tcPr>
            <w:tcW w:w="686" w:type="dxa"/>
          </w:tcPr>
          <w:p>
            <w:pPr>
              <w:pStyle w:val="TableParagraph"/>
              <w:spacing w:before="128"/>
              <w:ind w:left="19" w:right="10"/>
              <w:jc w:val="center"/>
              <w:rPr>
                <w:sz w:val="16"/>
              </w:rPr>
            </w:pPr>
            <w:r>
              <w:rPr>
                <w:spacing w:val="-2"/>
                <w:sz w:val="16"/>
              </w:rPr>
              <w:t>20.30%</w:t>
            </w:r>
          </w:p>
        </w:tc>
        <w:tc>
          <w:tcPr>
            <w:tcW w:w="686" w:type="dxa"/>
          </w:tcPr>
          <w:p>
            <w:pPr>
              <w:pStyle w:val="TableParagraph"/>
              <w:spacing w:before="128"/>
              <w:ind w:left="19" w:right="8"/>
              <w:jc w:val="center"/>
              <w:rPr>
                <w:sz w:val="16"/>
              </w:rPr>
            </w:pPr>
            <w:r>
              <w:rPr>
                <w:spacing w:val="-2"/>
                <w:sz w:val="16"/>
              </w:rPr>
              <w:t>23.80%</w:t>
            </w:r>
          </w:p>
        </w:tc>
        <w:tc>
          <w:tcPr>
            <w:tcW w:w="686" w:type="dxa"/>
          </w:tcPr>
          <w:p>
            <w:pPr>
              <w:pStyle w:val="TableParagraph"/>
              <w:spacing w:before="128"/>
              <w:ind w:left="19" w:right="7"/>
              <w:jc w:val="center"/>
              <w:rPr>
                <w:sz w:val="16"/>
              </w:rPr>
            </w:pPr>
            <w:r>
              <w:rPr>
                <w:spacing w:val="-2"/>
                <w:sz w:val="16"/>
              </w:rPr>
              <w:t>27.30%</w:t>
            </w:r>
          </w:p>
        </w:tc>
        <w:tc>
          <w:tcPr>
            <w:tcW w:w="686" w:type="dxa"/>
          </w:tcPr>
          <w:p>
            <w:pPr>
              <w:pStyle w:val="TableParagraph"/>
              <w:spacing w:before="128"/>
              <w:ind w:left="19" w:right="6"/>
              <w:jc w:val="center"/>
              <w:rPr>
                <w:sz w:val="16"/>
              </w:rPr>
            </w:pPr>
            <w:r>
              <w:rPr>
                <w:spacing w:val="-2"/>
                <w:sz w:val="16"/>
              </w:rPr>
              <w:t>30.80%</w:t>
            </w:r>
          </w:p>
        </w:tc>
        <w:tc>
          <w:tcPr>
            <w:tcW w:w="684" w:type="dxa"/>
          </w:tcPr>
          <w:p>
            <w:pPr>
              <w:pStyle w:val="TableParagraph"/>
              <w:spacing w:before="128"/>
              <w:ind w:left="15"/>
              <w:jc w:val="center"/>
              <w:rPr>
                <w:sz w:val="16"/>
              </w:rPr>
            </w:pPr>
            <w:r>
              <w:rPr>
                <w:spacing w:val="-2"/>
                <w:sz w:val="16"/>
              </w:rPr>
              <w:t>34.30%</w:t>
            </w:r>
          </w:p>
        </w:tc>
        <w:tc>
          <w:tcPr>
            <w:tcW w:w="686" w:type="dxa"/>
          </w:tcPr>
          <w:p>
            <w:pPr>
              <w:pStyle w:val="TableParagraph"/>
              <w:spacing w:before="128"/>
              <w:ind w:left="19" w:right="4"/>
              <w:jc w:val="center"/>
              <w:rPr>
                <w:sz w:val="16"/>
              </w:rPr>
            </w:pPr>
            <w:r>
              <w:rPr>
                <w:spacing w:val="-2"/>
                <w:sz w:val="16"/>
              </w:rPr>
              <w:t>37.80%</w:t>
            </w:r>
          </w:p>
        </w:tc>
      </w:tr>
      <w:tr>
        <w:trPr>
          <w:trHeight w:val="568" w:hRule="atLeast"/>
        </w:trPr>
        <w:tc>
          <w:tcPr>
            <w:tcW w:w="977" w:type="dxa"/>
            <w:shd w:val="clear" w:color="auto" w:fill="44536A"/>
          </w:tcPr>
          <w:p>
            <w:pPr>
              <w:pStyle w:val="TableParagraph"/>
              <w:spacing w:line="240" w:lineRule="atLeast" w:before="28"/>
              <w:ind w:left="69"/>
              <w:rPr>
                <w:sz w:val="18"/>
              </w:rPr>
            </w:pPr>
            <w:r>
              <w:rPr>
                <w:color w:val="FFFFFF"/>
                <w:spacing w:val="-4"/>
                <w:w w:val="105"/>
                <w:sz w:val="18"/>
              </w:rPr>
              <w:t>Valor </w:t>
            </w:r>
            <w:r>
              <w:rPr>
                <w:color w:val="FFFFFF"/>
                <w:spacing w:val="-2"/>
                <w:w w:val="105"/>
                <w:sz w:val="18"/>
              </w:rPr>
              <w:t>reportado</w:t>
            </w:r>
          </w:p>
        </w:tc>
        <w:tc>
          <w:tcPr>
            <w:tcW w:w="756" w:type="dxa"/>
            <w:shd w:val="clear" w:color="auto" w:fill="C8C8C8"/>
          </w:tcPr>
          <w:p>
            <w:pPr>
              <w:pStyle w:val="TableParagraph"/>
              <w:rPr>
                <w:rFonts w:ascii="Times New Roman"/>
                <w:sz w:val="18"/>
              </w:rPr>
            </w:pPr>
          </w:p>
        </w:tc>
        <w:tc>
          <w:tcPr>
            <w:tcW w:w="687" w:type="dxa"/>
          </w:tcPr>
          <w:p>
            <w:pPr>
              <w:pStyle w:val="TableParagraph"/>
              <w:spacing w:before="11"/>
              <w:rPr>
                <w:sz w:val="16"/>
              </w:rPr>
            </w:pPr>
          </w:p>
          <w:p>
            <w:pPr>
              <w:pStyle w:val="TableParagraph"/>
              <w:ind w:left="18" w:right="10"/>
              <w:jc w:val="center"/>
              <w:rPr>
                <w:sz w:val="16"/>
              </w:rPr>
            </w:pPr>
            <w:r>
              <w:rPr>
                <w:spacing w:val="-2"/>
                <w:sz w:val="16"/>
              </w:rPr>
              <w:t>1.36%</w:t>
            </w:r>
          </w:p>
        </w:tc>
        <w:tc>
          <w:tcPr>
            <w:tcW w:w="593" w:type="dxa"/>
          </w:tcPr>
          <w:p>
            <w:pPr>
              <w:pStyle w:val="TableParagraph"/>
              <w:spacing w:before="11"/>
              <w:rPr>
                <w:sz w:val="16"/>
              </w:rPr>
            </w:pPr>
          </w:p>
          <w:p>
            <w:pPr>
              <w:pStyle w:val="TableParagraph"/>
              <w:ind w:left="12" w:right="11"/>
              <w:jc w:val="center"/>
              <w:rPr>
                <w:sz w:val="16"/>
              </w:rPr>
            </w:pPr>
            <w:r>
              <w:rPr>
                <w:spacing w:val="-2"/>
                <w:sz w:val="16"/>
              </w:rPr>
              <w:t>0.00%</w:t>
            </w:r>
          </w:p>
        </w:tc>
        <w:tc>
          <w:tcPr>
            <w:tcW w:w="684" w:type="dxa"/>
          </w:tcPr>
          <w:p>
            <w:pPr>
              <w:pStyle w:val="TableParagraph"/>
              <w:spacing w:before="11"/>
              <w:rPr>
                <w:sz w:val="16"/>
              </w:rPr>
            </w:pPr>
          </w:p>
          <w:p>
            <w:pPr>
              <w:pStyle w:val="TableParagraph"/>
              <w:ind w:left="15" w:right="4"/>
              <w:jc w:val="center"/>
              <w:rPr>
                <w:sz w:val="16"/>
              </w:rPr>
            </w:pPr>
            <w:r>
              <w:rPr>
                <w:spacing w:val="-2"/>
                <w:sz w:val="16"/>
              </w:rPr>
              <w:t>0.34%</w:t>
            </w: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4"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r>
      <w:tr>
        <w:trPr>
          <w:trHeight w:val="571" w:hRule="atLeast"/>
        </w:trPr>
        <w:tc>
          <w:tcPr>
            <w:tcW w:w="977" w:type="dxa"/>
            <w:shd w:val="clear" w:color="auto" w:fill="44536A"/>
          </w:tcPr>
          <w:p>
            <w:pPr>
              <w:pStyle w:val="TableParagraph"/>
              <w:spacing w:line="240" w:lineRule="atLeast" w:before="30"/>
              <w:ind w:left="69" w:right="240"/>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56" w:type="dxa"/>
            <w:shd w:val="clear" w:color="auto" w:fill="C8C8C8"/>
          </w:tcPr>
          <w:p>
            <w:pPr>
              <w:pStyle w:val="TableParagraph"/>
              <w:rPr>
                <w:rFonts w:ascii="Times New Roman"/>
                <w:sz w:val="18"/>
              </w:rPr>
            </w:pPr>
          </w:p>
        </w:tc>
        <w:tc>
          <w:tcPr>
            <w:tcW w:w="687" w:type="dxa"/>
          </w:tcPr>
          <w:p>
            <w:pPr>
              <w:pStyle w:val="TableParagraph"/>
              <w:spacing w:before="13"/>
              <w:rPr>
                <w:sz w:val="16"/>
              </w:rPr>
            </w:pPr>
          </w:p>
          <w:p>
            <w:pPr>
              <w:pStyle w:val="TableParagraph"/>
              <w:ind w:left="18" w:right="10"/>
              <w:jc w:val="center"/>
              <w:rPr>
                <w:sz w:val="16"/>
              </w:rPr>
            </w:pPr>
            <w:r>
              <w:rPr>
                <w:spacing w:val="-2"/>
                <w:sz w:val="16"/>
              </w:rPr>
              <w:t>15.11%</w:t>
            </w:r>
          </w:p>
        </w:tc>
        <w:tc>
          <w:tcPr>
            <w:tcW w:w="593" w:type="dxa"/>
          </w:tcPr>
          <w:p>
            <w:pPr>
              <w:pStyle w:val="TableParagraph"/>
              <w:spacing w:before="13"/>
              <w:rPr>
                <w:sz w:val="16"/>
              </w:rPr>
            </w:pPr>
          </w:p>
          <w:p>
            <w:pPr>
              <w:pStyle w:val="TableParagraph"/>
              <w:ind w:left="12" w:right="11"/>
              <w:jc w:val="center"/>
              <w:rPr>
                <w:sz w:val="16"/>
              </w:rPr>
            </w:pPr>
            <w:r>
              <w:rPr>
                <w:spacing w:val="-2"/>
                <w:sz w:val="16"/>
              </w:rPr>
              <w:t>0.00%</w:t>
            </w:r>
          </w:p>
        </w:tc>
        <w:tc>
          <w:tcPr>
            <w:tcW w:w="684" w:type="dxa"/>
          </w:tcPr>
          <w:p>
            <w:pPr>
              <w:pStyle w:val="TableParagraph"/>
              <w:spacing w:before="13"/>
              <w:rPr>
                <w:sz w:val="16"/>
              </w:rPr>
            </w:pPr>
          </w:p>
          <w:p>
            <w:pPr>
              <w:pStyle w:val="TableParagraph"/>
              <w:ind w:left="15" w:right="4"/>
              <w:jc w:val="center"/>
              <w:rPr>
                <w:sz w:val="16"/>
              </w:rPr>
            </w:pPr>
            <w:r>
              <w:rPr>
                <w:spacing w:val="-2"/>
                <w:sz w:val="16"/>
              </w:rPr>
              <w:t>2.56%</w:t>
            </w: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c>
          <w:tcPr>
            <w:tcW w:w="684" w:type="dxa"/>
            <w:shd w:val="clear" w:color="auto" w:fill="C8C8C8"/>
          </w:tcPr>
          <w:p>
            <w:pPr>
              <w:pStyle w:val="TableParagraph"/>
              <w:rPr>
                <w:rFonts w:ascii="Times New Roman"/>
                <w:sz w:val="18"/>
              </w:rPr>
            </w:pPr>
          </w:p>
        </w:tc>
        <w:tc>
          <w:tcPr>
            <w:tcW w:w="686" w:type="dxa"/>
            <w:shd w:val="clear" w:color="auto" w:fill="C8C8C8"/>
          </w:tcPr>
          <w:p>
            <w:pPr>
              <w:pStyle w:val="TableParagraph"/>
              <w:rPr>
                <w:rFonts w:ascii="Times New Roman"/>
                <w:sz w:val="18"/>
              </w:rPr>
            </w:pPr>
          </w:p>
        </w:tc>
      </w:tr>
    </w:tbl>
    <w:p>
      <w:pPr>
        <w:pStyle w:val="BodyText"/>
        <w:spacing w:before="47"/>
        <w:rPr>
          <w:sz w:val="22"/>
        </w:rPr>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9" w:lineRule="auto" w:before="234"/>
        <w:ind w:left="143" w:right="708"/>
        <w:jc w:val="both"/>
      </w:pPr>
      <w:r>
        <w:rPr/>
        <w:t>El</w:t>
      </w:r>
      <w:r>
        <w:rPr>
          <w:spacing w:val="-6"/>
        </w:rPr>
        <w:t> </w:t>
      </w:r>
      <w:r>
        <w:rPr/>
        <w:t>indicador</w:t>
      </w:r>
      <w:r>
        <w:rPr>
          <w:spacing w:val="-6"/>
        </w:rPr>
        <w:t> </w:t>
      </w:r>
      <w:r>
        <w:rPr/>
        <w:t>de</w:t>
      </w:r>
      <w:r>
        <w:rPr>
          <w:spacing w:val="-5"/>
        </w:rPr>
        <w:t> </w:t>
      </w:r>
      <w:r>
        <w:rPr/>
        <w:t>calidad</w:t>
      </w:r>
      <w:r>
        <w:rPr>
          <w:spacing w:val="-6"/>
        </w:rPr>
        <w:t> </w:t>
      </w:r>
      <w:r>
        <w:rPr/>
        <w:t>alcanza</w:t>
      </w:r>
      <w:r>
        <w:rPr>
          <w:spacing w:val="-7"/>
        </w:rPr>
        <w:t> </w:t>
      </w:r>
      <w:r>
        <w:rPr/>
        <w:t>un</w:t>
      </w:r>
      <w:r>
        <w:rPr>
          <w:spacing w:val="-7"/>
        </w:rPr>
        <w:t> </w:t>
      </w:r>
      <w:r>
        <w:rPr/>
        <w:t>valor</w:t>
      </w:r>
      <w:r>
        <w:rPr>
          <w:spacing w:val="-6"/>
        </w:rPr>
        <w:t> </w:t>
      </w:r>
      <w:r>
        <w:rPr/>
        <w:t>de</w:t>
      </w:r>
      <w:r>
        <w:rPr>
          <w:spacing w:val="-6"/>
        </w:rPr>
        <w:t> </w:t>
      </w:r>
      <w:r>
        <w:rPr/>
        <w:t>0.3%,</w:t>
      </w:r>
      <w:r>
        <w:rPr>
          <w:spacing w:val="-5"/>
        </w:rPr>
        <w:t> </w:t>
      </w:r>
      <w:r>
        <w:rPr/>
        <w:t>porcentaje</w:t>
      </w:r>
      <w:r>
        <w:rPr>
          <w:spacing w:val="-5"/>
        </w:rPr>
        <w:t> </w:t>
      </w:r>
      <w:r>
        <w:rPr/>
        <w:t>mucho</w:t>
      </w:r>
      <w:r>
        <w:rPr>
          <w:spacing w:val="-8"/>
        </w:rPr>
        <w:t> </w:t>
      </w:r>
      <w:r>
        <w:rPr/>
        <w:t>menor</w:t>
      </w:r>
      <w:r>
        <w:rPr>
          <w:spacing w:val="-6"/>
        </w:rPr>
        <w:t> </w:t>
      </w:r>
      <w:r>
        <w:rPr/>
        <w:t>a</w:t>
      </w:r>
      <w:r>
        <w:rPr>
          <w:spacing w:val="-7"/>
        </w:rPr>
        <w:t> </w:t>
      </w:r>
      <w:r>
        <w:rPr/>
        <w:t>las metas programadas durante la implementación del servicio.</w:t>
      </w:r>
    </w:p>
    <w:p>
      <w:pPr>
        <w:pStyle w:val="BodyText"/>
        <w:spacing w:after="0" w:line="309" w:lineRule="auto"/>
        <w:jc w:val="both"/>
        <w:sectPr>
          <w:pgSz w:w="11910" w:h="16840"/>
          <w:pgMar w:header="713" w:footer="1000" w:top="1420" w:bottom="1200" w:left="1559" w:right="992"/>
        </w:sectPr>
      </w:pPr>
    </w:p>
    <w:p>
      <w:pPr>
        <w:pStyle w:val="BodyText"/>
        <w:spacing w:line="307" w:lineRule="auto" w:before="123"/>
        <w:ind w:left="143" w:right="705"/>
        <w:jc w:val="both"/>
      </w:pPr>
      <w:r>
        <w:rPr/>
        <w:t>Respecto</w:t>
      </w:r>
      <w:r>
        <w:rPr>
          <w:spacing w:val="-4"/>
        </w:rPr>
        <w:t> </w:t>
      </w:r>
      <w:r>
        <w:rPr/>
        <w:t>a</w:t>
      </w:r>
      <w:r>
        <w:rPr>
          <w:spacing w:val="-2"/>
        </w:rPr>
        <w:t> </w:t>
      </w:r>
      <w:r>
        <w:rPr/>
        <w:t>ello,</w:t>
      </w:r>
      <w:r>
        <w:rPr>
          <w:spacing w:val="-4"/>
        </w:rPr>
        <w:t> </w:t>
      </w:r>
      <w:r>
        <w:rPr/>
        <w:t>la</w:t>
      </w:r>
      <w:r>
        <w:rPr>
          <w:spacing w:val="-6"/>
        </w:rPr>
        <w:t> </w:t>
      </w:r>
      <w:r>
        <w:rPr/>
        <w:t>débil</w:t>
      </w:r>
      <w:r>
        <w:rPr>
          <w:spacing w:val="-2"/>
        </w:rPr>
        <w:t> </w:t>
      </w:r>
      <w:r>
        <w:rPr/>
        <w:t>articulación, limitado</w:t>
      </w:r>
      <w:r>
        <w:rPr>
          <w:spacing w:val="-8"/>
        </w:rPr>
        <w:t> </w:t>
      </w:r>
      <w:r>
        <w:rPr/>
        <w:t>presupuesto, insuficiente</w:t>
      </w:r>
      <w:r>
        <w:rPr>
          <w:spacing w:val="-6"/>
        </w:rPr>
        <w:t> </w:t>
      </w:r>
      <w:r>
        <w:rPr/>
        <w:t>personal especializado, limitación en las competencias funcionales y los cambios de gestión dificultaron que se logre un avance en el indicador de calidad del servicio. En ese sentido, es posible que las condiciones del servicio sean más adversas a las consideradas al momento de la proyección de metas y se sobreestimaran los resultados de la implementación del servicio.</w:t>
      </w:r>
    </w:p>
    <w:p>
      <w:pPr>
        <w:pStyle w:val="BodyText"/>
        <w:spacing w:line="307" w:lineRule="auto" w:before="156"/>
        <w:ind w:left="143" w:right="703"/>
        <w:jc w:val="both"/>
      </w:pPr>
      <w:r>
        <w:rPr/>
        <w:t>A lo anterior se suma el hecho de que existen indicios de desconocimiento de</w:t>
      </w:r>
      <w:r>
        <w:rPr>
          <w:spacing w:val="40"/>
        </w:rPr>
        <w:t> </w:t>
      </w:r>
      <w:r>
        <w:rPr/>
        <w:t>la situación previo al establecimiento de metas debido a que el indicador de calidad no cuenta con línea base. Esto pudo originar que, al momento de proyectar las metas, se estableciera situación inicial más optimista a la real.</w:t>
      </w:r>
    </w:p>
    <w:p>
      <w:pPr>
        <w:pStyle w:val="BodyText"/>
        <w:spacing w:line="307" w:lineRule="auto" w:before="157"/>
        <w:ind w:left="143" w:right="703"/>
        <w:jc w:val="both"/>
      </w:pPr>
      <w:r>
        <w:rPr/>
        <w:t>Respecto</w:t>
      </w:r>
      <w:r>
        <w:rPr>
          <w:spacing w:val="-2"/>
        </w:rPr>
        <w:t> </w:t>
      </w:r>
      <w:r>
        <w:rPr/>
        <w:t>al</w:t>
      </w:r>
      <w:r>
        <w:rPr>
          <w:spacing w:val="-5"/>
        </w:rPr>
        <w:t> </w:t>
      </w:r>
      <w:r>
        <w:rPr/>
        <w:t>cálculo</w:t>
      </w:r>
      <w:r>
        <w:rPr>
          <w:spacing w:val="-5"/>
        </w:rPr>
        <w:t> </w:t>
      </w:r>
      <w:r>
        <w:rPr/>
        <w:t>del</w:t>
      </w:r>
      <w:r>
        <w:rPr>
          <w:spacing w:val="-4"/>
        </w:rPr>
        <w:t> </w:t>
      </w:r>
      <w:r>
        <w:rPr/>
        <w:t>indicador,</w:t>
      </w:r>
      <w:r>
        <w:rPr>
          <w:spacing w:val="-2"/>
        </w:rPr>
        <w:t> </w:t>
      </w:r>
      <w:r>
        <w:rPr/>
        <w:t>es</w:t>
      </w:r>
      <w:r>
        <w:rPr>
          <w:spacing w:val="-5"/>
        </w:rPr>
        <w:t> </w:t>
      </w:r>
      <w:r>
        <w:rPr/>
        <w:t>importante</w:t>
      </w:r>
      <w:r>
        <w:rPr>
          <w:spacing w:val="-3"/>
        </w:rPr>
        <w:t> </w:t>
      </w:r>
      <w:r>
        <w:rPr/>
        <w:t>mencionar</w:t>
      </w:r>
      <w:r>
        <w:rPr>
          <w:spacing w:val="-3"/>
        </w:rPr>
        <w:t> </w:t>
      </w:r>
      <w:r>
        <w:rPr/>
        <w:t>que</w:t>
      </w:r>
      <w:r>
        <w:rPr>
          <w:spacing w:val="-3"/>
        </w:rPr>
        <w:t> </w:t>
      </w:r>
      <w:r>
        <w:rPr/>
        <w:t>la</w:t>
      </w:r>
      <w:r>
        <w:rPr>
          <w:spacing w:val="-6"/>
        </w:rPr>
        <w:t> </w:t>
      </w:r>
      <w:r>
        <w:rPr/>
        <w:t>DTEG</w:t>
      </w:r>
      <w:r>
        <w:rPr>
          <w:spacing w:val="-4"/>
        </w:rPr>
        <w:t> </w:t>
      </w:r>
      <w:r>
        <w:rPr/>
        <w:t>diseñó una herramienta de autodiagnóstico que permite a las entidades públicas conocer cuál es el nivel de incorporación del enfoque de género en sus diferentes sistemas administrativos. En ese sentido, para considerar a una entidad pública en el numerador del indicador de calidad se requiere que</w:t>
      </w:r>
      <w:r>
        <w:rPr>
          <w:spacing w:val="40"/>
        </w:rPr>
        <w:t> </w:t>
      </w:r>
      <w:r>
        <w:rPr/>
        <w:t>registe un 60% de respuestas correctas en la herramienta de autodiagnóstico aplicada para cada sistema administrativo (Planeamiento Estratégico; Programación Multianual y Gestión de Inversiones; Presupuesto Público y Gestión</w:t>
      </w:r>
      <w:r>
        <w:rPr>
          <w:spacing w:val="-10"/>
        </w:rPr>
        <w:t> </w:t>
      </w:r>
      <w:r>
        <w:rPr/>
        <w:t>de</w:t>
      </w:r>
      <w:r>
        <w:rPr>
          <w:spacing w:val="-10"/>
        </w:rPr>
        <w:t> </w:t>
      </w:r>
      <w:r>
        <w:rPr/>
        <w:t>Recursos</w:t>
      </w:r>
      <w:r>
        <w:rPr>
          <w:spacing w:val="-9"/>
        </w:rPr>
        <w:t> </w:t>
      </w:r>
      <w:r>
        <w:rPr/>
        <w:t>Humanos).</w:t>
      </w:r>
      <w:r>
        <w:rPr>
          <w:spacing w:val="-10"/>
        </w:rPr>
        <w:t> </w:t>
      </w:r>
      <w:r>
        <w:rPr/>
        <w:t>Esto</w:t>
      </w:r>
      <w:r>
        <w:rPr>
          <w:spacing w:val="-9"/>
        </w:rPr>
        <w:t> </w:t>
      </w:r>
      <w:r>
        <w:rPr/>
        <w:t>significa</w:t>
      </w:r>
      <w:r>
        <w:rPr>
          <w:spacing w:val="-12"/>
        </w:rPr>
        <w:t> </w:t>
      </w:r>
      <w:r>
        <w:rPr/>
        <w:t>que</w:t>
      </w:r>
      <w:r>
        <w:rPr>
          <w:spacing w:val="-8"/>
        </w:rPr>
        <w:t> </w:t>
      </w:r>
      <w:r>
        <w:rPr/>
        <w:t>el</w:t>
      </w:r>
      <w:r>
        <w:rPr>
          <w:spacing w:val="-9"/>
        </w:rPr>
        <w:t> </w:t>
      </w:r>
      <w:r>
        <w:rPr/>
        <w:t>indicador</w:t>
      </w:r>
      <w:r>
        <w:rPr>
          <w:spacing w:val="-10"/>
        </w:rPr>
        <w:t> </w:t>
      </w:r>
      <w:r>
        <w:rPr/>
        <w:t>solo</w:t>
      </w:r>
      <w:r>
        <w:rPr>
          <w:spacing w:val="-9"/>
        </w:rPr>
        <w:t> </w:t>
      </w:r>
      <w:r>
        <w:rPr/>
        <w:t>identifica</w:t>
      </w:r>
      <w:r>
        <w:rPr>
          <w:spacing w:val="-10"/>
        </w:rPr>
        <w:t> </w:t>
      </w:r>
      <w:r>
        <w:rPr/>
        <w:t>en el numerador a las entidades públicas que alcanzan el estándar mínimo requerido, pero no visibiliza el avance en la incorporación del enfoque de género por debajo de ese estándar.</w:t>
      </w:r>
    </w:p>
    <w:p>
      <w:pPr>
        <w:pStyle w:val="BodyText"/>
        <w:spacing w:line="307" w:lineRule="auto" w:before="156"/>
        <w:ind w:left="143" w:right="706"/>
        <w:jc w:val="both"/>
      </w:pPr>
      <w:r>
        <w:rPr/>
        <w:t>En ese sentido, adicional al que el indicador es afectado por el contexto señalado, existe una necesidad de ajustar las especificaciones técnicas del indicador asi como modificar las metas que correspondan, en función a las condiciones actuales del servicio y su contribución esperada en la política.</w:t>
      </w:r>
    </w:p>
    <w:p>
      <w:pPr>
        <w:pStyle w:val="BodyText"/>
      </w:pPr>
    </w:p>
    <w:p>
      <w:pPr>
        <w:pStyle w:val="BodyText"/>
        <w:spacing w:before="118"/>
      </w:pPr>
    </w:p>
    <w:p>
      <w:pPr>
        <w:pStyle w:val="ListParagraph"/>
        <w:numPr>
          <w:ilvl w:val="2"/>
          <w:numId w:val="3"/>
        </w:numPr>
        <w:tabs>
          <w:tab w:pos="1222" w:val="left" w:leader="none"/>
        </w:tabs>
        <w:spacing w:line="307" w:lineRule="auto" w:before="0" w:after="0"/>
        <w:ind w:left="1222" w:right="709" w:hanging="720"/>
        <w:jc w:val="both"/>
        <w:rPr>
          <w:sz w:val="24"/>
        </w:rPr>
      </w:pPr>
      <w:r>
        <w:rPr>
          <w:color w:val="2E5395"/>
          <w:sz w:val="24"/>
        </w:rPr>
        <w:t>Servicio 06.01.02 Programas de formación inicial y programas de formación en servicio</w:t>
      </w:r>
      <w:r>
        <w:rPr>
          <w:color w:val="2E5395"/>
          <w:spacing w:val="-1"/>
          <w:sz w:val="24"/>
        </w:rPr>
        <w:t> </w:t>
      </w:r>
      <w:r>
        <w:rPr>
          <w:color w:val="2E5395"/>
          <w:sz w:val="24"/>
        </w:rPr>
        <w:t>a docentes con enfoque de igualdad de género de la Política Nacional de Igualdad de Género PNIG.</w:t>
      </w:r>
    </w:p>
    <w:p>
      <w:pPr>
        <w:pStyle w:val="BodyText"/>
        <w:spacing w:before="208"/>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line="307" w:lineRule="auto" w:before="234"/>
        <w:ind w:left="143" w:right="708"/>
        <w:jc w:val="both"/>
      </w:pPr>
      <w:r>
        <w:rPr/>
        <w:t>El servicio consiste en la incorporación del Enfoque de Igualdad de Género en la formulación, elaboración de instrumentos e implementación de los Diseños Curriculares Básicos Nacionales de la formación inicial docente como en los diseños</w:t>
      </w:r>
      <w:r>
        <w:rPr>
          <w:spacing w:val="63"/>
          <w:w w:val="150"/>
        </w:rPr>
        <w:t> </w:t>
      </w:r>
      <w:r>
        <w:rPr/>
        <w:t>instruccionales</w:t>
      </w:r>
      <w:r>
        <w:rPr>
          <w:spacing w:val="66"/>
          <w:w w:val="150"/>
        </w:rPr>
        <w:t> </w:t>
      </w:r>
      <w:r>
        <w:rPr/>
        <w:t>de</w:t>
      </w:r>
      <w:r>
        <w:rPr>
          <w:spacing w:val="63"/>
          <w:w w:val="150"/>
        </w:rPr>
        <w:t> </w:t>
      </w:r>
      <w:r>
        <w:rPr/>
        <w:t>los</w:t>
      </w:r>
      <w:r>
        <w:rPr>
          <w:spacing w:val="63"/>
          <w:w w:val="150"/>
        </w:rPr>
        <w:t> </w:t>
      </w:r>
      <w:r>
        <w:rPr/>
        <w:t>programas</w:t>
      </w:r>
      <w:r>
        <w:rPr>
          <w:spacing w:val="66"/>
          <w:w w:val="150"/>
        </w:rPr>
        <w:t> </w:t>
      </w:r>
      <w:r>
        <w:rPr/>
        <w:t>y</w:t>
      </w:r>
      <w:r>
        <w:rPr>
          <w:spacing w:val="65"/>
          <w:w w:val="150"/>
        </w:rPr>
        <w:t> </w:t>
      </w:r>
      <w:r>
        <w:rPr/>
        <w:t>acciones</w:t>
      </w:r>
      <w:r>
        <w:rPr>
          <w:spacing w:val="67"/>
          <w:w w:val="150"/>
        </w:rPr>
        <w:t> </w:t>
      </w:r>
      <w:r>
        <w:rPr/>
        <w:t>formativas</w:t>
      </w:r>
      <w:r>
        <w:rPr>
          <w:spacing w:val="66"/>
          <w:w w:val="150"/>
        </w:rPr>
        <w:t> </w:t>
      </w:r>
      <w:r>
        <w:rPr/>
        <w:t>que</w:t>
      </w:r>
      <w:r>
        <w:rPr>
          <w:spacing w:val="63"/>
          <w:w w:val="150"/>
        </w:rPr>
        <w:t> </w:t>
      </w:r>
      <w:r>
        <w:rPr>
          <w:spacing w:val="-5"/>
        </w:rPr>
        <w:t>se</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4"/>
        <w:jc w:val="both"/>
      </w:pPr>
      <w:r>
        <w:rPr/>
        <w:t>aprueben como parte de la formación en servicio de las y los docentes en el marco de la Carrera Pública Magisterial.</w:t>
      </w:r>
    </w:p>
    <w:p>
      <w:pPr>
        <w:pStyle w:val="BodyText"/>
        <w:spacing w:line="307" w:lineRule="auto" w:before="158"/>
        <w:ind w:left="143" w:right="702"/>
        <w:jc w:val="both"/>
      </w:pPr>
      <w:r>
        <w:rPr/>
        <w:t>El sector a cargo del indicador es el Ministerio de educación (MINEDU) y el proveedor</w:t>
      </w:r>
      <w:r>
        <w:rPr>
          <w:spacing w:val="-8"/>
        </w:rPr>
        <w:t> </w:t>
      </w:r>
      <w:r>
        <w:rPr/>
        <w:t>del</w:t>
      </w:r>
      <w:r>
        <w:rPr>
          <w:spacing w:val="-5"/>
        </w:rPr>
        <w:t> </w:t>
      </w:r>
      <w:r>
        <w:rPr/>
        <w:t>servicio</w:t>
      </w:r>
      <w:r>
        <w:rPr>
          <w:spacing w:val="-7"/>
        </w:rPr>
        <w:t> </w:t>
      </w:r>
      <w:r>
        <w:rPr/>
        <w:t>es</w:t>
      </w:r>
      <w:r>
        <w:rPr>
          <w:spacing w:val="-7"/>
        </w:rPr>
        <w:t> </w:t>
      </w:r>
      <w:r>
        <w:rPr/>
        <w:t>la</w:t>
      </w:r>
      <w:r>
        <w:rPr>
          <w:spacing w:val="-1"/>
        </w:rPr>
        <w:t> </w:t>
      </w:r>
      <w:r>
        <w:rPr/>
        <w:t>Dirección</w:t>
      </w:r>
      <w:r>
        <w:rPr>
          <w:spacing w:val="-6"/>
        </w:rPr>
        <w:t> </w:t>
      </w:r>
      <w:r>
        <w:rPr/>
        <w:t>General</w:t>
      </w:r>
      <w:r>
        <w:rPr>
          <w:spacing w:val="-5"/>
        </w:rPr>
        <w:t> </w:t>
      </w:r>
      <w:r>
        <w:rPr/>
        <w:t>de</w:t>
      </w:r>
      <w:r>
        <w:rPr>
          <w:spacing w:val="-8"/>
        </w:rPr>
        <w:t> </w:t>
      </w:r>
      <w:r>
        <w:rPr/>
        <w:t>Desarrollo</w:t>
      </w:r>
      <w:r>
        <w:rPr>
          <w:spacing w:val="-7"/>
        </w:rPr>
        <w:t> </w:t>
      </w:r>
      <w:r>
        <w:rPr/>
        <w:t>Docente</w:t>
      </w:r>
      <w:r>
        <w:rPr>
          <w:spacing w:val="-1"/>
        </w:rPr>
        <w:t> </w:t>
      </w:r>
      <w:r>
        <w:rPr/>
        <w:t>(DIGEDD) y</w:t>
      </w:r>
      <w:r>
        <w:rPr>
          <w:spacing w:val="-6"/>
        </w:rPr>
        <w:t> </w:t>
      </w:r>
      <w:r>
        <w:rPr/>
        <w:t>Dirección</w:t>
      </w:r>
      <w:r>
        <w:rPr>
          <w:spacing w:val="-9"/>
        </w:rPr>
        <w:t> </w:t>
      </w:r>
      <w:r>
        <w:rPr/>
        <w:t>de</w:t>
      </w:r>
      <w:r>
        <w:rPr>
          <w:spacing w:val="-7"/>
        </w:rPr>
        <w:t> </w:t>
      </w:r>
      <w:r>
        <w:rPr/>
        <w:t>Formación</w:t>
      </w:r>
      <w:r>
        <w:rPr>
          <w:spacing w:val="-7"/>
        </w:rPr>
        <w:t> </w:t>
      </w:r>
      <w:r>
        <w:rPr/>
        <w:t>Inicial</w:t>
      </w:r>
      <w:r>
        <w:rPr>
          <w:spacing w:val="-8"/>
        </w:rPr>
        <w:t> </w:t>
      </w:r>
      <w:r>
        <w:rPr/>
        <w:t>Docente</w:t>
      </w:r>
      <w:r>
        <w:rPr>
          <w:spacing w:val="-2"/>
        </w:rPr>
        <w:t> </w:t>
      </w:r>
      <w:r>
        <w:rPr/>
        <w:t>(DIFOID)</w:t>
      </w:r>
      <w:r>
        <w:rPr>
          <w:spacing w:val="-7"/>
        </w:rPr>
        <w:t> </w:t>
      </w:r>
      <w:r>
        <w:rPr/>
        <w:t>del</w:t>
      </w:r>
      <w:r>
        <w:rPr>
          <w:spacing w:val="-5"/>
        </w:rPr>
        <w:t> </w:t>
      </w:r>
      <w:r>
        <w:rPr/>
        <w:t>MINEDU.</w:t>
      </w:r>
      <w:r>
        <w:rPr>
          <w:spacing w:val="-6"/>
        </w:rPr>
        <w:t> </w:t>
      </w:r>
      <w:r>
        <w:rPr/>
        <w:t>En</w:t>
      </w:r>
      <w:r>
        <w:rPr>
          <w:spacing w:val="-10"/>
        </w:rPr>
        <w:t> </w:t>
      </w:r>
      <w:r>
        <w:rPr/>
        <w:t>el</w:t>
      </w:r>
      <w:r>
        <w:rPr>
          <w:spacing w:val="-6"/>
        </w:rPr>
        <w:t> </w:t>
      </w:r>
      <w:r>
        <w:rPr/>
        <w:t>marco</w:t>
      </w:r>
      <w:r>
        <w:rPr>
          <w:spacing w:val="-8"/>
        </w:rPr>
        <w:t> </w:t>
      </w:r>
      <w:r>
        <w:rPr/>
        <w:t>de la</w:t>
      </w:r>
      <w:r>
        <w:rPr>
          <w:spacing w:val="-13"/>
        </w:rPr>
        <w:t> </w:t>
      </w:r>
      <w:r>
        <w:rPr/>
        <w:t>política,</w:t>
      </w:r>
      <w:r>
        <w:rPr>
          <w:spacing w:val="-15"/>
        </w:rPr>
        <w:t> </w:t>
      </w:r>
      <w:r>
        <w:rPr/>
        <w:t>la</w:t>
      </w:r>
      <w:r>
        <w:rPr>
          <w:spacing w:val="-12"/>
        </w:rPr>
        <w:t> </w:t>
      </w:r>
      <w:r>
        <w:rPr/>
        <w:t>calidad</w:t>
      </w:r>
      <w:r>
        <w:rPr>
          <w:spacing w:val="-14"/>
        </w:rPr>
        <w:t> </w:t>
      </w:r>
      <w:r>
        <w:rPr/>
        <w:t>del</w:t>
      </w:r>
      <w:r>
        <w:rPr>
          <w:spacing w:val="-13"/>
        </w:rPr>
        <w:t> </w:t>
      </w:r>
      <w:r>
        <w:rPr/>
        <w:t>servicio</w:t>
      </w:r>
      <w:r>
        <w:rPr>
          <w:spacing w:val="-15"/>
        </w:rPr>
        <w:t> </w:t>
      </w:r>
      <w:r>
        <w:rPr/>
        <w:t>se</w:t>
      </w:r>
      <w:r>
        <w:rPr>
          <w:spacing w:val="-13"/>
        </w:rPr>
        <w:t> </w:t>
      </w:r>
      <w:r>
        <w:rPr/>
        <w:t>mide</w:t>
      </w:r>
      <w:r>
        <w:rPr>
          <w:spacing w:val="-13"/>
        </w:rPr>
        <w:t> </w:t>
      </w:r>
      <w:r>
        <w:rPr/>
        <w:t>a</w:t>
      </w:r>
      <w:r>
        <w:rPr>
          <w:spacing w:val="-13"/>
        </w:rPr>
        <w:t> </w:t>
      </w:r>
      <w:r>
        <w:rPr/>
        <w:t>través</w:t>
      </w:r>
      <w:r>
        <w:rPr>
          <w:spacing w:val="-9"/>
        </w:rPr>
        <w:t> </w:t>
      </w:r>
      <w:r>
        <w:rPr/>
        <w:t>de</w:t>
      </w:r>
      <w:r>
        <w:rPr>
          <w:spacing w:val="-15"/>
        </w:rPr>
        <w:t> </w:t>
      </w:r>
      <w:r>
        <w:rPr/>
        <w:t>tres</w:t>
      </w:r>
      <w:r>
        <w:rPr>
          <w:spacing w:val="-12"/>
        </w:rPr>
        <w:t> </w:t>
      </w:r>
      <w:r>
        <w:rPr/>
        <w:t>indicadores</w:t>
      </w:r>
      <w:r>
        <w:rPr>
          <w:spacing w:val="-15"/>
        </w:rPr>
        <w:t> </w:t>
      </w:r>
      <w:r>
        <w:rPr/>
        <w:t>“Porcentaje de IESP/EESP que implementan el DCBN de los Programas de Estudio de Formación</w:t>
      </w:r>
      <w:r>
        <w:rPr>
          <w:spacing w:val="-2"/>
        </w:rPr>
        <w:t> </w:t>
      </w:r>
      <w:r>
        <w:rPr/>
        <w:t>Inicial</w:t>
      </w:r>
      <w:r>
        <w:rPr>
          <w:spacing w:val="-1"/>
        </w:rPr>
        <w:t> </w:t>
      </w:r>
      <w:r>
        <w:rPr/>
        <w:t>Docente</w:t>
      </w:r>
      <w:r>
        <w:rPr>
          <w:spacing w:val="-2"/>
        </w:rPr>
        <w:t> </w:t>
      </w:r>
      <w:r>
        <w:rPr/>
        <w:t>con Enfoque</w:t>
      </w:r>
      <w:r>
        <w:rPr>
          <w:spacing w:val="-2"/>
        </w:rPr>
        <w:t> </w:t>
      </w:r>
      <w:r>
        <w:rPr/>
        <w:t>de</w:t>
      </w:r>
      <w:r>
        <w:rPr>
          <w:spacing w:val="-2"/>
        </w:rPr>
        <w:t> </w:t>
      </w:r>
      <w:r>
        <w:rPr/>
        <w:t>Igualdad</w:t>
      </w:r>
      <w:r>
        <w:rPr>
          <w:spacing w:val="-1"/>
        </w:rPr>
        <w:t> </w:t>
      </w:r>
      <w:r>
        <w:rPr/>
        <w:t>de</w:t>
      </w:r>
      <w:r>
        <w:rPr>
          <w:spacing w:val="-2"/>
        </w:rPr>
        <w:t> </w:t>
      </w:r>
      <w:r>
        <w:rPr/>
        <w:t>Género”, “Porcentaje</w:t>
      </w:r>
      <w:r>
        <w:rPr>
          <w:spacing w:val="-2"/>
        </w:rPr>
        <w:t> </w:t>
      </w:r>
      <w:r>
        <w:rPr/>
        <w:t>de programas y/o acciones de formación docente en servicio implementados con </w:t>
      </w:r>
      <w:r>
        <w:rPr>
          <w:spacing w:val="-2"/>
        </w:rPr>
        <w:t>Enfoque</w:t>
      </w:r>
      <w:r>
        <w:rPr>
          <w:spacing w:val="-15"/>
        </w:rPr>
        <w:t> </w:t>
      </w:r>
      <w:r>
        <w:rPr>
          <w:spacing w:val="-2"/>
        </w:rPr>
        <w:t>de</w:t>
      </w:r>
      <w:r>
        <w:rPr>
          <w:spacing w:val="-15"/>
        </w:rPr>
        <w:t> </w:t>
      </w:r>
      <w:r>
        <w:rPr>
          <w:spacing w:val="-2"/>
        </w:rPr>
        <w:t>Igualdad</w:t>
      </w:r>
      <w:r>
        <w:rPr>
          <w:spacing w:val="-14"/>
        </w:rPr>
        <w:t> </w:t>
      </w:r>
      <w:r>
        <w:rPr>
          <w:spacing w:val="-2"/>
        </w:rPr>
        <w:t>de</w:t>
      </w:r>
      <w:r>
        <w:rPr>
          <w:spacing w:val="-15"/>
        </w:rPr>
        <w:t> </w:t>
      </w:r>
      <w:r>
        <w:rPr>
          <w:spacing w:val="-2"/>
        </w:rPr>
        <w:t>Género”</w:t>
      </w:r>
      <w:r>
        <w:rPr>
          <w:spacing w:val="-15"/>
        </w:rPr>
        <w:t> </w:t>
      </w:r>
      <w:r>
        <w:rPr>
          <w:spacing w:val="-2"/>
        </w:rPr>
        <w:t>y</w:t>
      </w:r>
      <w:r>
        <w:rPr>
          <w:spacing w:val="-15"/>
        </w:rPr>
        <w:t> </w:t>
      </w:r>
      <w:r>
        <w:rPr>
          <w:spacing w:val="-2"/>
        </w:rPr>
        <w:t>“Porcentaje</w:t>
      </w:r>
      <w:r>
        <w:rPr>
          <w:spacing w:val="-14"/>
        </w:rPr>
        <w:t> </w:t>
      </w:r>
      <w:r>
        <w:rPr>
          <w:spacing w:val="-2"/>
        </w:rPr>
        <w:t>de</w:t>
      </w:r>
      <w:r>
        <w:rPr>
          <w:spacing w:val="-15"/>
        </w:rPr>
        <w:t> </w:t>
      </w:r>
      <w:r>
        <w:rPr>
          <w:spacing w:val="-2"/>
        </w:rPr>
        <w:t>IESP/EESP</w:t>
      </w:r>
      <w:r>
        <w:rPr>
          <w:spacing w:val="-15"/>
        </w:rPr>
        <w:t> </w:t>
      </w:r>
      <w:r>
        <w:rPr>
          <w:spacing w:val="-2"/>
        </w:rPr>
        <w:t>e</w:t>
      </w:r>
      <w:r>
        <w:rPr>
          <w:spacing w:val="-14"/>
        </w:rPr>
        <w:t> </w:t>
      </w:r>
      <w:r>
        <w:rPr>
          <w:spacing w:val="-2"/>
        </w:rPr>
        <w:t>IGED</w:t>
      </w:r>
      <w:r>
        <w:rPr>
          <w:spacing w:val="-15"/>
        </w:rPr>
        <w:t> </w:t>
      </w:r>
      <w:r>
        <w:rPr>
          <w:spacing w:val="-2"/>
        </w:rPr>
        <w:t>que</w:t>
      </w:r>
      <w:r>
        <w:rPr>
          <w:spacing w:val="-15"/>
        </w:rPr>
        <w:t> </w:t>
      </w:r>
      <w:r>
        <w:rPr>
          <w:spacing w:val="-2"/>
        </w:rPr>
        <w:t>reciben </w:t>
      </w:r>
      <w:r>
        <w:rPr/>
        <w:t>asistencia técnica oportunamente para implementar los programas de</w:t>
      </w:r>
      <w:r>
        <w:rPr>
          <w:spacing w:val="40"/>
        </w:rPr>
        <w:t> </w:t>
      </w:r>
      <w:r>
        <w:rPr/>
        <w:t>formación inicial y formación en servicio con Enfoque de Igualdad de Género”.</w:t>
      </w:r>
    </w:p>
    <w:p>
      <w:pPr>
        <w:pStyle w:val="ListParagraph"/>
        <w:numPr>
          <w:ilvl w:val="3"/>
          <w:numId w:val="3"/>
        </w:numPr>
        <w:tabs>
          <w:tab w:pos="862" w:val="left" w:leader="none"/>
        </w:tabs>
        <w:spacing w:line="240" w:lineRule="auto" w:before="157"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before="236"/>
        <w:ind w:left="143"/>
        <w:jc w:val="both"/>
      </w:pPr>
      <w:r>
        <w:rPr>
          <w:spacing w:val="-2"/>
          <w:u w:val="single"/>
        </w:rPr>
        <w:t>Análisis</w:t>
      </w:r>
      <w:r>
        <w:rPr>
          <w:spacing w:val="-11"/>
          <w:u w:val="single"/>
        </w:rPr>
        <w:t> </w:t>
      </w:r>
      <w:r>
        <w:rPr>
          <w:spacing w:val="-2"/>
          <w:u w:val="single"/>
        </w:rPr>
        <w:t>de</w:t>
      </w:r>
      <w:r>
        <w:rPr>
          <w:spacing w:val="-7"/>
          <w:u w:val="single"/>
        </w:rPr>
        <w:t> </w:t>
      </w:r>
      <w:r>
        <w:rPr>
          <w:spacing w:val="-2"/>
          <w:u w:val="single"/>
        </w:rPr>
        <w:t>calidad:</w:t>
      </w:r>
    </w:p>
    <w:p>
      <w:pPr>
        <w:pStyle w:val="BodyText"/>
        <w:spacing w:line="309" w:lineRule="auto" w:before="235"/>
        <w:ind w:left="143" w:right="715"/>
        <w:jc w:val="both"/>
      </w:pPr>
      <w:r>
        <w:rPr/>
        <w:t>Dado que el servicio reporta tres indicadores de calidad, a continuación, se analizará cada uno.</w:t>
      </w:r>
    </w:p>
    <w:p>
      <w:pPr>
        <w:pStyle w:val="BodyText"/>
        <w:spacing w:line="307" w:lineRule="auto" w:before="152"/>
        <w:ind w:left="143" w:right="704"/>
        <w:jc w:val="both"/>
      </w:pPr>
      <w:r>
        <w:rPr>
          <w:w w:val="105"/>
        </w:rPr>
        <w:t>Respecto</w:t>
      </w:r>
      <w:r>
        <w:rPr>
          <w:w w:val="105"/>
        </w:rPr>
        <w:t> al</w:t>
      </w:r>
      <w:r>
        <w:rPr>
          <w:w w:val="105"/>
        </w:rPr>
        <w:t> primer</w:t>
      </w:r>
      <w:r>
        <w:rPr>
          <w:w w:val="105"/>
        </w:rPr>
        <w:t> indicador,</w:t>
      </w:r>
      <w:r>
        <w:rPr>
          <w:w w:val="105"/>
        </w:rPr>
        <w:t> para</w:t>
      </w:r>
      <w:r>
        <w:rPr>
          <w:w w:val="105"/>
        </w:rPr>
        <w:t> el</w:t>
      </w:r>
      <w:r>
        <w:rPr>
          <w:w w:val="105"/>
        </w:rPr>
        <w:t> año</w:t>
      </w:r>
      <w:r>
        <w:rPr>
          <w:w w:val="105"/>
        </w:rPr>
        <w:t> 2023</w:t>
      </w:r>
      <w:r>
        <w:rPr>
          <w:w w:val="105"/>
        </w:rPr>
        <w:t> el</w:t>
      </w:r>
      <w:r>
        <w:rPr>
          <w:w w:val="105"/>
        </w:rPr>
        <w:t> 100%</w:t>
      </w:r>
      <w:r>
        <w:rPr>
          <w:w w:val="105"/>
        </w:rPr>
        <w:t> de</w:t>
      </w:r>
      <w:r>
        <w:rPr>
          <w:w w:val="105"/>
        </w:rPr>
        <w:t> las</w:t>
      </w:r>
      <w:r>
        <w:rPr>
          <w:w w:val="105"/>
        </w:rPr>
        <w:t> institutos</w:t>
      </w:r>
      <w:r>
        <w:rPr>
          <w:w w:val="105"/>
        </w:rPr>
        <w:t> y escuelas</w:t>
      </w:r>
      <w:r>
        <w:rPr>
          <w:spacing w:val="-1"/>
          <w:w w:val="105"/>
        </w:rPr>
        <w:t> </w:t>
      </w:r>
      <w:r>
        <w:rPr>
          <w:w w:val="105"/>
        </w:rPr>
        <w:t>de</w:t>
      </w:r>
      <w:r>
        <w:rPr>
          <w:spacing w:val="-1"/>
          <w:w w:val="105"/>
        </w:rPr>
        <w:t> </w:t>
      </w:r>
      <w:r>
        <w:rPr>
          <w:w w:val="105"/>
        </w:rPr>
        <w:t>educación</w:t>
      </w:r>
      <w:r>
        <w:rPr>
          <w:spacing w:val="-1"/>
          <w:w w:val="105"/>
        </w:rPr>
        <w:t> </w:t>
      </w:r>
      <w:r>
        <w:rPr>
          <w:w w:val="105"/>
        </w:rPr>
        <w:t>superior</w:t>
      </w:r>
      <w:r>
        <w:rPr>
          <w:spacing w:val="-1"/>
          <w:w w:val="105"/>
        </w:rPr>
        <w:t> </w:t>
      </w:r>
      <w:r>
        <w:rPr>
          <w:w w:val="105"/>
        </w:rPr>
        <w:t>pedagógica</w:t>
      </w:r>
      <w:r>
        <w:rPr>
          <w:spacing w:val="-1"/>
          <w:w w:val="105"/>
        </w:rPr>
        <w:t> </w:t>
      </w:r>
      <w:r>
        <w:rPr>
          <w:w w:val="105"/>
        </w:rPr>
        <w:t>(IESP/EESP)</w:t>
      </w:r>
      <w:r>
        <w:rPr>
          <w:spacing w:val="-1"/>
          <w:w w:val="105"/>
        </w:rPr>
        <w:t> </w:t>
      </w:r>
      <w:r>
        <w:rPr>
          <w:w w:val="105"/>
        </w:rPr>
        <w:t>implementaron</w:t>
      </w:r>
      <w:r>
        <w:rPr>
          <w:spacing w:val="-2"/>
          <w:w w:val="105"/>
        </w:rPr>
        <w:t> </w:t>
      </w:r>
      <w:r>
        <w:rPr>
          <w:w w:val="105"/>
        </w:rPr>
        <w:t>el Diseño</w:t>
      </w:r>
      <w:r>
        <w:rPr>
          <w:w w:val="105"/>
        </w:rPr>
        <w:t> Curricular</w:t>
      </w:r>
      <w:r>
        <w:rPr>
          <w:w w:val="105"/>
        </w:rPr>
        <w:t> Básico</w:t>
      </w:r>
      <w:r>
        <w:rPr>
          <w:w w:val="105"/>
        </w:rPr>
        <w:t> Nacional</w:t>
      </w:r>
      <w:r>
        <w:rPr>
          <w:w w:val="105"/>
        </w:rPr>
        <w:t> (DCBN)</w:t>
      </w:r>
      <w:r>
        <w:rPr>
          <w:w w:val="105"/>
        </w:rPr>
        <w:t> de</w:t>
      </w:r>
      <w:r>
        <w:rPr>
          <w:w w:val="105"/>
        </w:rPr>
        <w:t> los</w:t>
      </w:r>
      <w:r>
        <w:rPr>
          <w:w w:val="105"/>
        </w:rPr>
        <w:t> programas</w:t>
      </w:r>
      <w:r>
        <w:rPr>
          <w:w w:val="105"/>
        </w:rPr>
        <w:t> de</w:t>
      </w:r>
      <w:r>
        <w:rPr>
          <w:w w:val="105"/>
        </w:rPr>
        <w:t> estudio</w:t>
      </w:r>
      <w:r>
        <w:rPr>
          <w:w w:val="105"/>
        </w:rPr>
        <w:t> de </w:t>
      </w:r>
      <w:r>
        <w:rPr/>
        <w:t>formación inicial docente con enfoque de igualdad de género. Así, el indicador </w:t>
      </w:r>
      <w:r>
        <w:rPr>
          <w:w w:val="105"/>
        </w:rPr>
        <w:t>alcanzó</w:t>
      </w:r>
      <w:r>
        <w:rPr>
          <w:w w:val="105"/>
        </w:rPr>
        <w:t> un</w:t>
      </w:r>
      <w:r>
        <w:rPr>
          <w:w w:val="105"/>
        </w:rPr>
        <w:t> nivel</w:t>
      </w:r>
      <w:r>
        <w:rPr>
          <w:w w:val="105"/>
        </w:rPr>
        <w:t> de</w:t>
      </w:r>
      <w:r>
        <w:rPr>
          <w:w w:val="105"/>
        </w:rPr>
        <w:t> avance</w:t>
      </w:r>
      <w:r>
        <w:rPr>
          <w:w w:val="105"/>
        </w:rPr>
        <w:t> de</w:t>
      </w:r>
      <w:r>
        <w:rPr>
          <w:w w:val="105"/>
        </w:rPr>
        <w:t> 666.67</w:t>
      </w:r>
      <w:r>
        <w:rPr>
          <w:w w:val="105"/>
        </w:rPr>
        <w:t> %</w:t>
      </w:r>
      <w:r>
        <w:rPr>
          <w:w w:val="105"/>
        </w:rPr>
        <w:t> respecto</w:t>
      </w:r>
      <w:r>
        <w:rPr>
          <w:w w:val="105"/>
        </w:rPr>
        <w:t> a</w:t>
      </w:r>
      <w:r>
        <w:rPr>
          <w:w w:val="105"/>
        </w:rPr>
        <w:t> la</w:t>
      </w:r>
      <w:r>
        <w:rPr>
          <w:w w:val="105"/>
        </w:rPr>
        <w:t> meta</w:t>
      </w:r>
      <w:r>
        <w:rPr>
          <w:w w:val="105"/>
        </w:rPr>
        <w:t> programada, resultado</w:t>
      </w:r>
      <w:r>
        <w:rPr>
          <w:spacing w:val="-18"/>
          <w:w w:val="105"/>
        </w:rPr>
        <w:t> </w:t>
      </w:r>
      <w:r>
        <w:rPr>
          <w:w w:val="105"/>
        </w:rPr>
        <w:t>con</w:t>
      </w:r>
      <w:r>
        <w:rPr>
          <w:spacing w:val="-17"/>
          <w:w w:val="105"/>
        </w:rPr>
        <w:t> </w:t>
      </w:r>
      <w:r>
        <w:rPr>
          <w:w w:val="105"/>
        </w:rPr>
        <w:t>el</w:t>
      </w:r>
      <w:r>
        <w:rPr>
          <w:spacing w:val="-18"/>
          <w:w w:val="105"/>
        </w:rPr>
        <w:t> </w:t>
      </w:r>
      <w:r>
        <w:rPr>
          <w:w w:val="105"/>
        </w:rPr>
        <w:t>cual</w:t>
      </w:r>
      <w:r>
        <w:rPr>
          <w:spacing w:val="-18"/>
          <w:w w:val="105"/>
        </w:rPr>
        <w:t> </w:t>
      </w:r>
      <w:r>
        <w:rPr>
          <w:w w:val="105"/>
        </w:rPr>
        <w:t>se</w:t>
      </w:r>
      <w:r>
        <w:rPr>
          <w:spacing w:val="-17"/>
          <w:w w:val="105"/>
        </w:rPr>
        <w:t> </w:t>
      </w:r>
      <w:r>
        <w:rPr>
          <w:w w:val="105"/>
        </w:rPr>
        <w:t>alerta</w:t>
      </w:r>
      <w:r>
        <w:rPr>
          <w:spacing w:val="-18"/>
          <w:w w:val="105"/>
        </w:rPr>
        <w:t> </w:t>
      </w:r>
      <w:r>
        <w:rPr>
          <w:w w:val="105"/>
        </w:rPr>
        <w:t>de</w:t>
      </w:r>
      <w:r>
        <w:rPr>
          <w:spacing w:val="-17"/>
          <w:w w:val="105"/>
        </w:rPr>
        <w:t> </w:t>
      </w:r>
      <w:r>
        <w:rPr>
          <w:w w:val="105"/>
        </w:rPr>
        <w:t>una</w:t>
      </w:r>
      <w:r>
        <w:rPr>
          <w:spacing w:val="-18"/>
          <w:w w:val="105"/>
        </w:rPr>
        <w:t> </w:t>
      </w:r>
      <w:r>
        <w:rPr>
          <w:w w:val="105"/>
        </w:rPr>
        <w:t>posible</w:t>
      </w:r>
      <w:r>
        <w:rPr>
          <w:spacing w:val="-17"/>
          <w:w w:val="105"/>
        </w:rPr>
        <w:t> </w:t>
      </w:r>
      <w:r>
        <w:rPr>
          <w:w w:val="105"/>
        </w:rPr>
        <w:t>falla</w:t>
      </w:r>
      <w:r>
        <w:rPr>
          <w:spacing w:val="-18"/>
          <w:w w:val="105"/>
        </w:rPr>
        <w:t> </w:t>
      </w:r>
      <w:r>
        <w:rPr>
          <w:w w:val="105"/>
        </w:rPr>
        <w:t>de</w:t>
      </w:r>
      <w:r>
        <w:rPr>
          <w:spacing w:val="-17"/>
          <w:w w:val="105"/>
        </w:rPr>
        <w:t> </w:t>
      </w:r>
      <w:r>
        <w:rPr>
          <w:w w:val="105"/>
        </w:rPr>
        <w:t>planeación</w:t>
      </w:r>
      <w:r>
        <w:rPr>
          <w:spacing w:val="-18"/>
          <w:w w:val="105"/>
        </w:rPr>
        <w:t> </w:t>
      </w:r>
      <w:r>
        <w:rPr>
          <w:w w:val="105"/>
        </w:rPr>
        <w:t>del</w:t>
      </w:r>
      <w:r>
        <w:rPr>
          <w:spacing w:val="-17"/>
          <w:w w:val="105"/>
        </w:rPr>
        <w:t> </w:t>
      </w:r>
      <w:r>
        <w:rPr>
          <w:w w:val="105"/>
        </w:rPr>
        <w:t>indicador (Tabla</w:t>
      </w:r>
      <w:r>
        <w:rPr>
          <w:spacing w:val="-16"/>
          <w:w w:val="105"/>
        </w:rPr>
        <w:t> </w:t>
      </w:r>
      <w:r>
        <w:rPr>
          <w:w w:val="105"/>
        </w:rPr>
        <w:t>12).</w:t>
      </w:r>
      <w:r>
        <w:rPr>
          <w:spacing w:val="-16"/>
          <w:w w:val="105"/>
        </w:rPr>
        <w:t> </w:t>
      </w:r>
      <w:r>
        <w:rPr>
          <w:w w:val="105"/>
        </w:rPr>
        <w:t>Cabe</w:t>
      </w:r>
      <w:r>
        <w:rPr>
          <w:spacing w:val="-17"/>
          <w:w w:val="105"/>
        </w:rPr>
        <w:t> </w:t>
      </w:r>
      <w:r>
        <w:rPr>
          <w:w w:val="105"/>
        </w:rPr>
        <w:t>precisar</w:t>
      </w:r>
      <w:r>
        <w:rPr>
          <w:spacing w:val="-16"/>
          <w:w w:val="105"/>
        </w:rPr>
        <w:t> </w:t>
      </w:r>
      <w:r>
        <w:rPr>
          <w:w w:val="105"/>
        </w:rPr>
        <w:t>que</w:t>
      </w:r>
      <w:r>
        <w:rPr>
          <w:spacing w:val="-17"/>
          <w:w w:val="105"/>
        </w:rPr>
        <w:t> </w:t>
      </w:r>
      <w:r>
        <w:rPr>
          <w:w w:val="105"/>
        </w:rPr>
        <w:t>el</w:t>
      </w:r>
      <w:r>
        <w:rPr>
          <w:spacing w:val="-17"/>
          <w:w w:val="105"/>
        </w:rPr>
        <w:t> </w:t>
      </w:r>
      <w:r>
        <w:rPr>
          <w:w w:val="105"/>
        </w:rPr>
        <w:t>servicio</w:t>
      </w:r>
      <w:r>
        <w:rPr>
          <w:spacing w:val="-16"/>
          <w:w w:val="105"/>
        </w:rPr>
        <w:t> </w:t>
      </w:r>
      <w:r>
        <w:rPr>
          <w:w w:val="105"/>
        </w:rPr>
        <w:t>no</w:t>
      </w:r>
      <w:r>
        <w:rPr>
          <w:spacing w:val="-17"/>
          <w:w w:val="105"/>
        </w:rPr>
        <w:t> </w:t>
      </w:r>
      <w:r>
        <w:rPr>
          <w:w w:val="105"/>
        </w:rPr>
        <w:t>remitió</w:t>
      </w:r>
      <w:r>
        <w:rPr>
          <w:spacing w:val="-16"/>
          <w:w w:val="105"/>
        </w:rPr>
        <w:t> </w:t>
      </w:r>
      <w:r>
        <w:rPr>
          <w:w w:val="105"/>
        </w:rPr>
        <w:t>información</w:t>
      </w:r>
      <w:r>
        <w:rPr>
          <w:spacing w:val="-14"/>
          <w:w w:val="105"/>
        </w:rPr>
        <w:t> </w:t>
      </w:r>
      <w:r>
        <w:rPr>
          <w:w w:val="105"/>
        </w:rPr>
        <w:t>desagregada respecto al</w:t>
      </w:r>
      <w:r>
        <w:rPr>
          <w:spacing w:val="-2"/>
          <w:w w:val="105"/>
        </w:rPr>
        <w:t> </w:t>
      </w:r>
      <w:r>
        <w:rPr>
          <w:w w:val="105"/>
        </w:rPr>
        <w:t>indicador</w:t>
      </w:r>
      <w:r>
        <w:rPr>
          <w:spacing w:val="-5"/>
          <w:w w:val="105"/>
        </w:rPr>
        <w:t> </w:t>
      </w:r>
      <w:r>
        <w:rPr>
          <w:w w:val="105"/>
        </w:rPr>
        <w:t>por</w:t>
      </w:r>
      <w:r>
        <w:rPr>
          <w:spacing w:val="-2"/>
          <w:w w:val="105"/>
        </w:rPr>
        <w:t> </w:t>
      </w:r>
      <w:r>
        <w:rPr>
          <w:w w:val="105"/>
        </w:rPr>
        <w:t>lo</w:t>
      </w:r>
      <w:r>
        <w:rPr>
          <w:spacing w:val="-2"/>
          <w:w w:val="105"/>
        </w:rPr>
        <w:t> </w:t>
      </w:r>
      <w:r>
        <w:rPr>
          <w:w w:val="105"/>
        </w:rPr>
        <w:t>que</w:t>
      </w:r>
      <w:r>
        <w:rPr>
          <w:spacing w:val="-1"/>
          <w:w w:val="105"/>
        </w:rPr>
        <w:t> </w:t>
      </w:r>
      <w:r>
        <w:rPr>
          <w:w w:val="105"/>
        </w:rPr>
        <w:t>no</w:t>
      </w:r>
      <w:r>
        <w:rPr>
          <w:spacing w:val="-2"/>
          <w:w w:val="105"/>
        </w:rPr>
        <w:t> </w:t>
      </w:r>
      <w:r>
        <w:rPr>
          <w:w w:val="105"/>
        </w:rPr>
        <w:t>se</w:t>
      </w:r>
      <w:r>
        <w:rPr>
          <w:spacing w:val="-2"/>
          <w:w w:val="105"/>
        </w:rPr>
        <w:t> </w:t>
      </w:r>
      <w:r>
        <w:rPr>
          <w:w w:val="105"/>
        </w:rPr>
        <w:t>puede</w:t>
      </w:r>
      <w:r>
        <w:rPr>
          <w:spacing w:val="-1"/>
          <w:w w:val="105"/>
        </w:rPr>
        <w:t> </w:t>
      </w:r>
      <w:r>
        <w:rPr>
          <w:w w:val="105"/>
        </w:rPr>
        <w:t>realizar</w:t>
      </w:r>
      <w:r>
        <w:rPr>
          <w:spacing w:val="-2"/>
          <w:w w:val="105"/>
        </w:rPr>
        <w:t> </w:t>
      </w:r>
      <w:r>
        <w:rPr>
          <w:w w:val="105"/>
        </w:rPr>
        <w:t>la</w:t>
      </w:r>
      <w:r>
        <w:rPr>
          <w:spacing w:val="-1"/>
          <w:w w:val="105"/>
        </w:rPr>
        <w:t> </w:t>
      </w:r>
      <w:r>
        <w:rPr>
          <w:w w:val="105"/>
        </w:rPr>
        <w:t>verificación</w:t>
      </w:r>
      <w:r>
        <w:rPr>
          <w:spacing w:val="-1"/>
          <w:w w:val="105"/>
        </w:rPr>
        <w:t> </w:t>
      </w:r>
      <w:r>
        <w:rPr>
          <w:w w:val="105"/>
        </w:rPr>
        <w:t>de</w:t>
      </w:r>
      <w:r>
        <w:rPr>
          <w:spacing w:val="-2"/>
          <w:w w:val="105"/>
        </w:rPr>
        <w:t> </w:t>
      </w:r>
      <w:r>
        <w:rPr>
          <w:w w:val="105"/>
        </w:rPr>
        <w:t>dicho </w:t>
      </w:r>
      <w:r>
        <w:rPr>
          <w:spacing w:val="-2"/>
          <w:w w:val="105"/>
        </w:rPr>
        <w:t>cálculo.</w:t>
      </w:r>
    </w:p>
    <w:p>
      <w:pPr>
        <w:spacing w:before="155"/>
        <w:ind w:left="0" w:right="562" w:firstLine="0"/>
        <w:jc w:val="center"/>
        <w:rPr>
          <w:sz w:val="22"/>
        </w:rPr>
      </w:pPr>
      <w:r>
        <w:rPr>
          <w:color w:val="44536A"/>
          <w:sz w:val="22"/>
        </w:rPr>
        <w:t>Tabla</w:t>
      </w:r>
      <w:r>
        <w:rPr>
          <w:color w:val="44536A"/>
          <w:spacing w:val="-7"/>
          <w:sz w:val="22"/>
        </w:rPr>
        <w:t> </w:t>
      </w:r>
      <w:r>
        <w:rPr>
          <w:color w:val="44536A"/>
          <w:sz w:val="22"/>
        </w:rPr>
        <w:t>12.</w:t>
      </w:r>
      <w:r>
        <w:rPr>
          <w:color w:val="44536A"/>
          <w:spacing w:val="-7"/>
          <w:sz w:val="22"/>
        </w:rPr>
        <w:t> </w:t>
      </w:r>
      <w:r>
        <w:rPr>
          <w:color w:val="44536A"/>
          <w:sz w:val="22"/>
        </w:rPr>
        <w:t>Análisis</w:t>
      </w:r>
      <w:r>
        <w:rPr>
          <w:color w:val="44536A"/>
          <w:spacing w:val="-9"/>
          <w:sz w:val="22"/>
        </w:rPr>
        <w:t> </w:t>
      </w:r>
      <w:r>
        <w:rPr>
          <w:color w:val="44536A"/>
          <w:sz w:val="22"/>
        </w:rPr>
        <w:t>del</w:t>
      </w:r>
      <w:r>
        <w:rPr>
          <w:color w:val="44536A"/>
          <w:spacing w:val="-7"/>
          <w:sz w:val="22"/>
        </w:rPr>
        <w:t> </w:t>
      </w:r>
      <w:r>
        <w:rPr>
          <w:color w:val="44536A"/>
          <w:sz w:val="22"/>
        </w:rPr>
        <w:t>indicador</w:t>
      </w:r>
      <w:r>
        <w:rPr>
          <w:color w:val="44536A"/>
          <w:spacing w:val="-10"/>
          <w:sz w:val="22"/>
        </w:rPr>
        <w:t> </w:t>
      </w:r>
      <w:r>
        <w:rPr>
          <w:color w:val="44536A"/>
          <w:sz w:val="22"/>
        </w:rPr>
        <w:t>de</w:t>
      </w:r>
      <w:r>
        <w:rPr>
          <w:color w:val="44536A"/>
          <w:spacing w:val="-5"/>
          <w:sz w:val="22"/>
        </w:rPr>
        <w:t> </w:t>
      </w:r>
      <w:r>
        <w:rPr>
          <w:color w:val="44536A"/>
          <w:sz w:val="22"/>
        </w:rPr>
        <w:t>calidad</w:t>
      </w:r>
      <w:r>
        <w:rPr>
          <w:color w:val="44536A"/>
          <w:spacing w:val="-7"/>
          <w:sz w:val="22"/>
        </w:rPr>
        <w:t> </w:t>
      </w:r>
      <w:r>
        <w:rPr>
          <w:color w:val="44536A"/>
          <w:sz w:val="22"/>
        </w:rPr>
        <w:t>1</w:t>
      </w:r>
      <w:r>
        <w:rPr>
          <w:color w:val="44536A"/>
          <w:spacing w:val="-8"/>
          <w:sz w:val="22"/>
        </w:rPr>
        <w:t> </w:t>
      </w:r>
      <w:r>
        <w:rPr>
          <w:color w:val="44536A"/>
          <w:sz w:val="22"/>
        </w:rPr>
        <w:t>del</w:t>
      </w:r>
      <w:r>
        <w:rPr>
          <w:color w:val="44536A"/>
          <w:spacing w:val="-8"/>
          <w:sz w:val="22"/>
        </w:rPr>
        <w:t> </w:t>
      </w:r>
      <w:r>
        <w:rPr>
          <w:color w:val="44536A"/>
          <w:sz w:val="22"/>
        </w:rPr>
        <w:t>servicio</w:t>
      </w:r>
      <w:r>
        <w:rPr>
          <w:color w:val="44536A"/>
          <w:spacing w:val="-6"/>
          <w:sz w:val="22"/>
        </w:rPr>
        <w:t> </w:t>
      </w:r>
      <w:r>
        <w:rPr>
          <w:color w:val="44536A"/>
          <w:spacing w:val="-2"/>
          <w:sz w:val="22"/>
        </w:rPr>
        <w:t>06.01.02</w:t>
      </w:r>
    </w:p>
    <w:p>
      <w:pPr>
        <w:pStyle w:val="BodyText"/>
        <w:spacing w:before="10"/>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850"/>
        <w:gridCol w:w="639"/>
        <w:gridCol w:w="838"/>
        <w:gridCol w:w="737"/>
        <w:gridCol w:w="739"/>
        <w:gridCol w:w="737"/>
        <w:gridCol w:w="739"/>
        <w:gridCol w:w="737"/>
        <w:gridCol w:w="740"/>
        <w:gridCol w:w="737"/>
      </w:tblGrid>
      <w:tr>
        <w:trPr>
          <w:trHeight w:val="489" w:hRule="atLeast"/>
        </w:trPr>
        <w:tc>
          <w:tcPr>
            <w:tcW w:w="1008" w:type="dxa"/>
            <w:shd w:val="clear" w:color="auto" w:fill="44536A"/>
          </w:tcPr>
          <w:p>
            <w:pPr>
              <w:pStyle w:val="TableParagraph"/>
              <w:spacing w:before="154"/>
              <w:ind w:left="9"/>
              <w:jc w:val="center"/>
              <w:rPr>
                <w:sz w:val="16"/>
              </w:rPr>
            </w:pPr>
            <w:r>
              <w:rPr>
                <w:color w:val="FFFFFF"/>
                <w:spacing w:val="-5"/>
                <w:sz w:val="16"/>
              </w:rPr>
              <w:t>OP</w:t>
            </w:r>
          </w:p>
        </w:tc>
        <w:tc>
          <w:tcPr>
            <w:tcW w:w="7493" w:type="dxa"/>
            <w:gridSpan w:val="10"/>
          </w:tcPr>
          <w:p>
            <w:pPr>
              <w:pStyle w:val="TableParagraph"/>
              <w:spacing w:before="23"/>
              <w:ind w:left="69"/>
              <w:rPr>
                <w:sz w:val="18"/>
              </w:rPr>
            </w:pPr>
            <w:r>
              <w:rPr>
                <w:sz w:val="18"/>
              </w:rPr>
              <w:t>OP.06</w:t>
            </w:r>
            <w:r>
              <w:rPr>
                <w:spacing w:val="1"/>
                <w:sz w:val="18"/>
              </w:rPr>
              <w:t> </w:t>
            </w:r>
            <w:r>
              <w:rPr>
                <w:sz w:val="18"/>
              </w:rPr>
              <w:t>Reducir la</w:t>
            </w:r>
            <w:r>
              <w:rPr>
                <w:spacing w:val="-2"/>
                <w:sz w:val="18"/>
              </w:rPr>
              <w:t> </w:t>
            </w:r>
            <w:r>
              <w:rPr>
                <w:sz w:val="18"/>
              </w:rPr>
              <w:t>incidencia</w:t>
            </w:r>
            <w:r>
              <w:rPr>
                <w:spacing w:val="1"/>
                <w:sz w:val="18"/>
              </w:rPr>
              <w:t> </w:t>
            </w:r>
            <w:r>
              <w:rPr>
                <w:sz w:val="18"/>
              </w:rPr>
              <w:t>de</w:t>
            </w:r>
            <w:r>
              <w:rPr>
                <w:spacing w:val="-2"/>
                <w:sz w:val="18"/>
              </w:rPr>
              <w:t> </w:t>
            </w:r>
            <w:r>
              <w:rPr>
                <w:sz w:val="18"/>
              </w:rPr>
              <w:t>los</w:t>
            </w:r>
            <w:r>
              <w:rPr>
                <w:spacing w:val="-2"/>
                <w:sz w:val="18"/>
              </w:rPr>
              <w:t> </w:t>
            </w:r>
            <w:r>
              <w:rPr>
                <w:sz w:val="18"/>
              </w:rPr>
              <w:t>patrones socioculturales</w:t>
            </w:r>
            <w:r>
              <w:rPr>
                <w:spacing w:val="-2"/>
                <w:sz w:val="18"/>
              </w:rPr>
              <w:t> </w:t>
            </w:r>
            <w:r>
              <w:rPr>
                <w:sz w:val="18"/>
              </w:rPr>
              <w:t>discriminatorios en</w:t>
            </w:r>
            <w:r>
              <w:rPr>
                <w:spacing w:val="-1"/>
                <w:sz w:val="18"/>
              </w:rPr>
              <w:t> </w:t>
            </w:r>
            <w:r>
              <w:rPr>
                <w:spacing w:val="-5"/>
                <w:sz w:val="18"/>
              </w:rPr>
              <w:t>la</w:t>
            </w:r>
          </w:p>
          <w:p>
            <w:pPr>
              <w:pStyle w:val="TableParagraph"/>
              <w:spacing w:line="201" w:lineRule="exact" w:before="37"/>
              <w:ind w:left="69"/>
              <w:rPr>
                <w:sz w:val="18"/>
              </w:rPr>
            </w:pPr>
            <w:r>
              <w:rPr>
                <w:spacing w:val="-2"/>
                <w:sz w:val="18"/>
              </w:rPr>
              <w:t>población.</w:t>
            </w:r>
          </w:p>
        </w:tc>
      </w:tr>
      <w:tr>
        <w:trPr>
          <w:trHeight w:val="491" w:hRule="atLeast"/>
        </w:trPr>
        <w:tc>
          <w:tcPr>
            <w:tcW w:w="1008" w:type="dxa"/>
            <w:shd w:val="clear" w:color="auto" w:fill="44536A"/>
          </w:tcPr>
          <w:p>
            <w:pPr>
              <w:pStyle w:val="TableParagraph"/>
              <w:spacing w:before="145"/>
              <w:ind w:left="191"/>
              <w:rPr>
                <w:sz w:val="18"/>
              </w:rPr>
            </w:pPr>
            <w:r>
              <w:rPr>
                <w:color w:val="FFFFFF"/>
                <w:spacing w:val="-2"/>
                <w:sz w:val="18"/>
              </w:rPr>
              <w:t>Servicio</w:t>
            </w:r>
          </w:p>
        </w:tc>
        <w:tc>
          <w:tcPr>
            <w:tcW w:w="7493" w:type="dxa"/>
            <w:gridSpan w:val="10"/>
          </w:tcPr>
          <w:p>
            <w:pPr>
              <w:pStyle w:val="TableParagraph"/>
              <w:spacing w:before="23"/>
              <w:ind w:left="69"/>
              <w:rPr>
                <w:sz w:val="18"/>
              </w:rPr>
            </w:pPr>
            <w:r>
              <w:rPr>
                <w:sz w:val="18"/>
              </w:rPr>
              <w:t>Programas</w:t>
            </w:r>
            <w:r>
              <w:rPr>
                <w:spacing w:val="2"/>
                <w:sz w:val="18"/>
              </w:rPr>
              <w:t> </w:t>
            </w:r>
            <w:r>
              <w:rPr>
                <w:sz w:val="18"/>
              </w:rPr>
              <w:t>de</w:t>
            </w:r>
            <w:r>
              <w:rPr>
                <w:spacing w:val="-1"/>
                <w:sz w:val="18"/>
              </w:rPr>
              <w:t> </w:t>
            </w:r>
            <w:r>
              <w:rPr>
                <w:sz w:val="18"/>
              </w:rPr>
              <w:t>formación</w:t>
            </w:r>
            <w:r>
              <w:rPr>
                <w:spacing w:val="1"/>
                <w:sz w:val="18"/>
              </w:rPr>
              <w:t> </w:t>
            </w:r>
            <w:r>
              <w:rPr>
                <w:sz w:val="18"/>
              </w:rPr>
              <w:t>inicial</w:t>
            </w:r>
            <w:r>
              <w:rPr>
                <w:spacing w:val="1"/>
                <w:sz w:val="18"/>
              </w:rPr>
              <w:t> </w:t>
            </w:r>
            <w:r>
              <w:rPr>
                <w:sz w:val="18"/>
              </w:rPr>
              <w:t>y programas</w:t>
            </w:r>
            <w:r>
              <w:rPr>
                <w:spacing w:val="-1"/>
                <w:sz w:val="18"/>
              </w:rPr>
              <w:t> </w:t>
            </w:r>
            <w:r>
              <w:rPr>
                <w:sz w:val="18"/>
              </w:rPr>
              <w:t>de</w:t>
            </w:r>
            <w:r>
              <w:rPr>
                <w:spacing w:val="-1"/>
                <w:sz w:val="18"/>
              </w:rPr>
              <w:t> </w:t>
            </w:r>
            <w:r>
              <w:rPr>
                <w:sz w:val="18"/>
              </w:rPr>
              <w:t>formación</w:t>
            </w:r>
            <w:r>
              <w:rPr>
                <w:spacing w:val="1"/>
                <w:sz w:val="18"/>
              </w:rPr>
              <w:t> </w:t>
            </w:r>
            <w:r>
              <w:rPr>
                <w:sz w:val="18"/>
              </w:rPr>
              <w:t>en</w:t>
            </w:r>
            <w:r>
              <w:rPr>
                <w:spacing w:val="1"/>
                <w:sz w:val="18"/>
              </w:rPr>
              <w:t> </w:t>
            </w:r>
            <w:r>
              <w:rPr>
                <w:sz w:val="18"/>
              </w:rPr>
              <w:t>servicio</w:t>
            </w:r>
            <w:r>
              <w:rPr>
                <w:spacing w:val="2"/>
                <w:sz w:val="18"/>
              </w:rPr>
              <w:t> </w:t>
            </w:r>
            <w:r>
              <w:rPr>
                <w:sz w:val="18"/>
              </w:rPr>
              <w:t>a</w:t>
            </w:r>
            <w:r>
              <w:rPr>
                <w:spacing w:val="-1"/>
                <w:sz w:val="18"/>
              </w:rPr>
              <w:t> </w:t>
            </w:r>
            <w:r>
              <w:rPr>
                <w:sz w:val="18"/>
              </w:rPr>
              <w:t>docentes</w:t>
            </w:r>
            <w:r>
              <w:rPr>
                <w:spacing w:val="1"/>
                <w:sz w:val="18"/>
              </w:rPr>
              <w:t> </w:t>
            </w:r>
            <w:r>
              <w:rPr>
                <w:spacing w:val="-5"/>
                <w:sz w:val="18"/>
              </w:rPr>
              <w:t>con</w:t>
            </w:r>
          </w:p>
          <w:p>
            <w:pPr>
              <w:pStyle w:val="TableParagraph"/>
              <w:spacing w:line="204" w:lineRule="exact" w:before="37"/>
              <w:ind w:left="69"/>
              <w:rPr>
                <w:sz w:val="18"/>
              </w:rPr>
            </w:pPr>
            <w:r>
              <w:rPr>
                <w:sz w:val="18"/>
              </w:rPr>
              <w:t>enfoque</w:t>
            </w:r>
            <w:r>
              <w:rPr>
                <w:spacing w:val="-3"/>
                <w:sz w:val="18"/>
              </w:rPr>
              <w:t> </w:t>
            </w:r>
            <w:r>
              <w:rPr>
                <w:sz w:val="18"/>
              </w:rPr>
              <w:t>de</w:t>
            </w:r>
            <w:r>
              <w:rPr>
                <w:spacing w:val="-3"/>
                <w:sz w:val="18"/>
              </w:rPr>
              <w:t> </w:t>
            </w:r>
            <w:r>
              <w:rPr>
                <w:sz w:val="18"/>
              </w:rPr>
              <w:t>igualdad</w:t>
            </w:r>
            <w:r>
              <w:rPr>
                <w:spacing w:val="-3"/>
                <w:sz w:val="18"/>
              </w:rPr>
              <w:t> </w:t>
            </w:r>
            <w:r>
              <w:rPr>
                <w:sz w:val="18"/>
              </w:rPr>
              <w:t>de</w:t>
            </w:r>
            <w:r>
              <w:rPr>
                <w:spacing w:val="-3"/>
                <w:sz w:val="18"/>
              </w:rPr>
              <w:t> </w:t>
            </w:r>
            <w:r>
              <w:rPr>
                <w:sz w:val="18"/>
              </w:rPr>
              <w:t>género</w:t>
            </w:r>
            <w:r>
              <w:rPr>
                <w:spacing w:val="-3"/>
                <w:sz w:val="18"/>
              </w:rPr>
              <w:t> </w:t>
            </w:r>
            <w:r>
              <w:rPr>
                <w:sz w:val="18"/>
              </w:rPr>
              <w:t>de</w:t>
            </w:r>
            <w:r>
              <w:rPr>
                <w:spacing w:val="-2"/>
                <w:sz w:val="18"/>
              </w:rPr>
              <w:t> </w:t>
            </w:r>
            <w:r>
              <w:rPr>
                <w:sz w:val="18"/>
              </w:rPr>
              <w:t>la</w:t>
            </w:r>
            <w:r>
              <w:rPr>
                <w:spacing w:val="-2"/>
                <w:sz w:val="18"/>
              </w:rPr>
              <w:t> </w:t>
            </w:r>
            <w:r>
              <w:rPr>
                <w:sz w:val="18"/>
              </w:rPr>
              <w:t>Política</w:t>
            </w:r>
            <w:r>
              <w:rPr>
                <w:spacing w:val="-2"/>
                <w:sz w:val="18"/>
              </w:rPr>
              <w:t> </w:t>
            </w:r>
            <w:r>
              <w:rPr>
                <w:sz w:val="18"/>
              </w:rPr>
              <w:t>Nacional</w:t>
            </w:r>
            <w:r>
              <w:rPr>
                <w:spacing w:val="-4"/>
                <w:sz w:val="18"/>
              </w:rPr>
              <w:t> </w:t>
            </w:r>
            <w:r>
              <w:rPr>
                <w:sz w:val="18"/>
              </w:rPr>
              <w:t>de</w:t>
            </w:r>
            <w:r>
              <w:rPr>
                <w:spacing w:val="-3"/>
                <w:sz w:val="18"/>
              </w:rPr>
              <w:t> </w:t>
            </w:r>
            <w:r>
              <w:rPr>
                <w:sz w:val="18"/>
              </w:rPr>
              <w:t>Igualdad</w:t>
            </w:r>
            <w:r>
              <w:rPr>
                <w:spacing w:val="-4"/>
                <w:sz w:val="18"/>
              </w:rPr>
              <w:t> </w:t>
            </w:r>
            <w:r>
              <w:rPr>
                <w:sz w:val="18"/>
              </w:rPr>
              <w:t>de</w:t>
            </w:r>
            <w:r>
              <w:rPr>
                <w:spacing w:val="-4"/>
                <w:sz w:val="18"/>
              </w:rPr>
              <w:t> </w:t>
            </w:r>
            <w:r>
              <w:rPr>
                <w:sz w:val="18"/>
              </w:rPr>
              <w:t>Género</w:t>
            </w:r>
            <w:r>
              <w:rPr>
                <w:spacing w:val="-3"/>
                <w:sz w:val="18"/>
              </w:rPr>
              <w:t> </w:t>
            </w:r>
            <w:r>
              <w:rPr>
                <w:spacing w:val="-2"/>
                <w:sz w:val="18"/>
              </w:rPr>
              <w:t>PNIG.</w:t>
            </w:r>
          </w:p>
        </w:tc>
      </w:tr>
      <w:tr>
        <w:trPr>
          <w:trHeight w:val="489" w:hRule="atLeast"/>
        </w:trPr>
        <w:tc>
          <w:tcPr>
            <w:tcW w:w="1008" w:type="dxa"/>
            <w:shd w:val="clear" w:color="auto" w:fill="44536A"/>
          </w:tcPr>
          <w:p>
            <w:pPr>
              <w:pStyle w:val="TableParagraph"/>
              <w:spacing w:before="146"/>
              <w:ind w:left="122"/>
              <w:rPr>
                <w:sz w:val="18"/>
              </w:rPr>
            </w:pPr>
            <w:r>
              <w:rPr>
                <w:color w:val="FFFFFF"/>
                <w:spacing w:val="-2"/>
                <w:w w:val="105"/>
                <w:sz w:val="18"/>
              </w:rPr>
              <w:t>Indicador</w:t>
            </w:r>
          </w:p>
        </w:tc>
        <w:tc>
          <w:tcPr>
            <w:tcW w:w="7493" w:type="dxa"/>
            <w:gridSpan w:val="10"/>
          </w:tcPr>
          <w:p>
            <w:pPr>
              <w:pStyle w:val="TableParagraph"/>
              <w:spacing w:before="23"/>
              <w:ind w:left="69"/>
              <w:rPr>
                <w:sz w:val="18"/>
              </w:rPr>
            </w:pPr>
            <w:r>
              <w:rPr>
                <w:spacing w:val="-2"/>
                <w:sz w:val="18"/>
              </w:rPr>
              <w:t>Porcentaje</w:t>
            </w:r>
            <w:r>
              <w:rPr>
                <w:spacing w:val="-5"/>
                <w:sz w:val="18"/>
              </w:rPr>
              <w:t> </w:t>
            </w:r>
            <w:r>
              <w:rPr>
                <w:spacing w:val="-2"/>
                <w:sz w:val="18"/>
              </w:rPr>
              <w:t>de</w:t>
            </w:r>
            <w:r>
              <w:rPr>
                <w:spacing w:val="-4"/>
                <w:sz w:val="18"/>
              </w:rPr>
              <w:t> </w:t>
            </w:r>
            <w:r>
              <w:rPr>
                <w:spacing w:val="-2"/>
                <w:sz w:val="18"/>
              </w:rPr>
              <w:t>IESP/EESP</w:t>
            </w:r>
            <w:r>
              <w:rPr>
                <w:spacing w:val="-3"/>
                <w:sz w:val="18"/>
              </w:rPr>
              <w:t> </w:t>
            </w:r>
            <w:r>
              <w:rPr>
                <w:spacing w:val="-2"/>
                <w:sz w:val="18"/>
              </w:rPr>
              <w:t>que</w:t>
            </w:r>
            <w:r>
              <w:rPr>
                <w:spacing w:val="-5"/>
                <w:sz w:val="18"/>
              </w:rPr>
              <w:t> </w:t>
            </w:r>
            <w:r>
              <w:rPr>
                <w:spacing w:val="-2"/>
                <w:sz w:val="18"/>
              </w:rPr>
              <w:t>implementan</w:t>
            </w:r>
            <w:r>
              <w:rPr>
                <w:spacing w:val="-4"/>
                <w:sz w:val="18"/>
              </w:rPr>
              <w:t> </w:t>
            </w:r>
            <w:r>
              <w:rPr>
                <w:spacing w:val="-2"/>
                <w:sz w:val="18"/>
              </w:rPr>
              <w:t>el</w:t>
            </w:r>
            <w:r>
              <w:rPr>
                <w:spacing w:val="-4"/>
                <w:sz w:val="18"/>
              </w:rPr>
              <w:t> </w:t>
            </w:r>
            <w:r>
              <w:rPr>
                <w:spacing w:val="-2"/>
                <w:sz w:val="18"/>
              </w:rPr>
              <w:t>DCBN</w:t>
            </w:r>
            <w:r>
              <w:rPr>
                <w:spacing w:val="-4"/>
                <w:sz w:val="18"/>
              </w:rPr>
              <w:t> </w:t>
            </w:r>
            <w:r>
              <w:rPr>
                <w:spacing w:val="-2"/>
                <w:sz w:val="18"/>
              </w:rPr>
              <w:t>de</w:t>
            </w:r>
            <w:r>
              <w:rPr>
                <w:spacing w:val="-7"/>
                <w:sz w:val="18"/>
              </w:rPr>
              <w:t> </w:t>
            </w:r>
            <w:r>
              <w:rPr>
                <w:spacing w:val="-2"/>
                <w:sz w:val="18"/>
              </w:rPr>
              <w:t>los</w:t>
            </w:r>
            <w:r>
              <w:rPr>
                <w:spacing w:val="-6"/>
                <w:sz w:val="18"/>
              </w:rPr>
              <w:t> </w:t>
            </w:r>
            <w:r>
              <w:rPr>
                <w:spacing w:val="-2"/>
                <w:sz w:val="18"/>
              </w:rPr>
              <w:t>Programas</w:t>
            </w:r>
            <w:r>
              <w:rPr>
                <w:spacing w:val="-3"/>
                <w:sz w:val="18"/>
              </w:rPr>
              <w:t> </w:t>
            </w:r>
            <w:r>
              <w:rPr>
                <w:spacing w:val="-2"/>
                <w:sz w:val="18"/>
              </w:rPr>
              <w:t>de</w:t>
            </w:r>
            <w:r>
              <w:rPr>
                <w:spacing w:val="-4"/>
                <w:sz w:val="18"/>
              </w:rPr>
              <w:t> </w:t>
            </w:r>
            <w:r>
              <w:rPr>
                <w:spacing w:val="-2"/>
                <w:sz w:val="18"/>
              </w:rPr>
              <w:t>Estudio</w:t>
            </w:r>
            <w:r>
              <w:rPr>
                <w:spacing w:val="-7"/>
                <w:sz w:val="18"/>
              </w:rPr>
              <w:t> </w:t>
            </w:r>
            <w:r>
              <w:rPr>
                <w:spacing w:val="-5"/>
                <w:sz w:val="18"/>
              </w:rPr>
              <w:t>de</w:t>
            </w:r>
          </w:p>
          <w:p>
            <w:pPr>
              <w:pStyle w:val="TableParagraph"/>
              <w:spacing w:line="201" w:lineRule="exact" w:before="38"/>
              <w:ind w:left="69"/>
              <w:rPr>
                <w:sz w:val="18"/>
              </w:rPr>
            </w:pPr>
            <w:r>
              <w:rPr>
                <w:sz w:val="18"/>
              </w:rPr>
              <w:t>Formación</w:t>
            </w:r>
            <w:r>
              <w:rPr>
                <w:spacing w:val="-3"/>
                <w:sz w:val="18"/>
              </w:rPr>
              <w:t> </w:t>
            </w:r>
            <w:r>
              <w:rPr>
                <w:sz w:val="18"/>
              </w:rPr>
              <w:t>Inicial</w:t>
            </w:r>
            <w:r>
              <w:rPr>
                <w:spacing w:val="-2"/>
                <w:sz w:val="18"/>
              </w:rPr>
              <w:t> </w:t>
            </w:r>
            <w:r>
              <w:rPr>
                <w:sz w:val="18"/>
              </w:rPr>
              <w:t>Docente</w:t>
            </w:r>
            <w:r>
              <w:rPr>
                <w:spacing w:val="-2"/>
                <w:sz w:val="18"/>
              </w:rPr>
              <w:t> </w:t>
            </w:r>
            <w:r>
              <w:rPr>
                <w:sz w:val="18"/>
              </w:rPr>
              <w:t>con</w:t>
            </w:r>
            <w:r>
              <w:rPr>
                <w:spacing w:val="-4"/>
                <w:sz w:val="18"/>
              </w:rPr>
              <w:t> </w:t>
            </w:r>
            <w:r>
              <w:rPr>
                <w:sz w:val="18"/>
              </w:rPr>
              <w:t>Enfoque</w:t>
            </w:r>
            <w:r>
              <w:rPr>
                <w:spacing w:val="-3"/>
                <w:sz w:val="18"/>
              </w:rPr>
              <w:t> </w:t>
            </w:r>
            <w:r>
              <w:rPr>
                <w:sz w:val="18"/>
              </w:rPr>
              <w:t>de</w:t>
            </w:r>
            <w:r>
              <w:rPr>
                <w:spacing w:val="-4"/>
                <w:sz w:val="18"/>
              </w:rPr>
              <w:t> </w:t>
            </w:r>
            <w:r>
              <w:rPr>
                <w:sz w:val="18"/>
              </w:rPr>
              <w:t>Igualdad</w:t>
            </w:r>
            <w:r>
              <w:rPr>
                <w:spacing w:val="-1"/>
                <w:sz w:val="18"/>
              </w:rPr>
              <w:t> </w:t>
            </w:r>
            <w:r>
              <w:rPr>
                <w:sz w:val="18"/>
              </w:rPr>
              <w:t>de</w:t>
            </w:r>
            <w:r>
              <w:rPr>
                <w:spacing w:val="-4"/>
                <w:sz w:val="18"/>
              </w:rPr>
              <w:t> </w:t>
            </w:r>
            <w:r>
              <w:rPr>
                <w:spacing w:val="-2"/>
                <w:sz w:val="18"/>
              </w:rPr>
              <w:t>Género.</w:t>
            </w:r>
          </w:p>
        </w:tc>
      </w:tr>
      <w:tr>
        <w:trPr>
          <w:trHeight w:val="299" w:hRule="atLeast"/>
        </w:trPr>
        <w:tc>
          <w:tcPr>
            <w:tcW w:w="1008" w:type="dxa"/>
            <w:shd w:val="clear" w:color="auto" w:fill="808080"/>
          </w:tcPr>
          <w:p>
            <w:pPr>
              <w:pStyle w:val="TableParagraph"/>
              <w:spacing w:before="51"/>
              <w:ind w:left="9" w:right="2"/>
              <w:jc w:val="center"/>
              <w:rPr>
                <w:sz w:val="18"/>
              </w:rPr>
            </w:pPr>
            <w:r>
              <w:rPr>
                <w:color w:val="FFFFFF"/>
                <w:spacing w:val="-5"/>
                <w:sz w:val="18"/>
              </w:rPr>
              <w:t>Año</w:t>
            </w:r>
          </w:p>
        </w:tc>
        <w:tc>
          <w:tcPr>
            <w:tcW w:w="850" w:type="dxa"/>
            <w:shd w:val="clear" w:color="auto" w:fill="808080"/>
          </w:tcPr>
          <w:p>
            <w:pPr>
              <w:pStyle w:val="TableParagraph"/>
              <w:spacing w:before="51"/>
              <w:ind w:left="88"/>
              <w:rPr>
                <w:sz w:val="18"/>
              </w:rPr>
            </w:pPr>
            <w:r>
              <w:rPr>
                <w:color w:val="FFFFFF"/>
                <w:sz w:val="18"/>
              </w:rPr>
              <w:t>Valor</w:t>
            </w:r>
            <w:r>
              <w:rPr>
                <w:color w:val="FFFFFF"/>
                <w:spacing w:val="-12"/>
                <w:sz w:val="18"/>
              </w:rPr>
              <w:t> </w:t>
            </w:r>
            <w:r>
              <w:rPr>
                <w:color w:val="FFFFFF"/>
                <w:spacing w:val="-5"/>
                <w:sz w:val="18"/>
              </w:rPr>
              <w:t>LB</w:t>
            </w:r>
          </w:p>
        </w:tc>
        <w:tc>
          <w:tcPr>
            <w:tcW w:w="639" w:type="dxa"/>
            <w:shd w:val="clear" w:color="auto" w:fill="808080"/>
          </w:tcPr>
          <w:p>
            <w:pPr>
              <w:pStyle w:val="TableParagraph"/>
              <w:spacing w:before="51"/>
              <w:ind w:left="8"/>
              <w:jc w:val="center"/>
              <w:rPr>
                <w:sz w:val="18"/>
              </w:rPr>
            </w:pPr>
            <w:r>
              <w:rPr>
                <w:color w:val="FFFFFF"/>
                <w:spacing w:val="-4"/>
                <w:sz w:val="18"/>
              </w:rPr>
              <w:t>2022</w:t>
            </w:r>
          </w:p>
        </w:tc>
        <w:tc>
          <w:tcPr>
            <w:tcW w:w="838" w:type="dxa"/>
            <w:shd w:val="clear" w:color="auto" w:fill="808080"/>
          </w:tcPr>
          <w:p>
            <w:pPr>
              <w:pStyle w:val="TableParagraph"/>
              <w:spacing w:before="51"/>
              <w:ind w:left="10"/>
              <w:jc w:val="center"/>
              <w:rPr>
                <w:sz w:val="18"/>
              </w:rPr>
            </w:pPr>
            <w:r>
              <w:rPr>
                <w:color w:val="FFFFFF"/>
                <w:spacing w:val="-4"/>
                <w:sz w:val="18"/>
              </w:rPr>
              <w:t>2023</w:t>
            </w:r>
          </w:p>
        </w:tc>
        <w:tc>
          <w:tcPr>
            <w:tcW w:w="737" w:type="dxa"/>
            <w:shd w:val="clear" w:color="auto" w:fill="808080"/>
          </w:tcPr>
          <w:p>
            <w:pPr>
              <w:pStyle w:val="TableParagraph"/>
              <w:spacing w:before="51"/>
              <w:ind w:left="10"/>
              <w:jc w:val="center"/>
              <w:rPr>
                <w:sz w:val="18"/>
              </w:rPr>
            </w:pPr>
            <w:r>
              <w:rPr>
                <w:color w:val="FFFFFF"/>
                <w:spacing w:val="-4"/>
                <w:sz w:val="18"/>
              </w:rPr>
              <w:t>2024</w:t>
            </w:r>
          </w:p>
        </w:tc>
        <w:tc>
          <w:tcPr>
            <w:tcW w:w="739" w:type="dxa"/>
            <w:shd w:val="clear" w:color="auto" w:fill="808080"/>
          </w:tcPr>
          <w:p>
            <w:pPr>
              <w:pStyle w:val="TableParagraph"/>
              <w:spacing w:before="51"/>
              <w:ind w:left="8" w:right="1"/>
              <w:jc w:val="center"/>
              <w:rPr>
                <w:sz w:val="18"/>
              </w:rPr>
            </w:pPr>
            <w:r>
              <w:rPr>
                <w:color w:val="FFFFFF"/>
                <w:spacing w:val="-4"/>
                <w:sz w:val="18"/>
              </w:rPr>
              <w:t>2025</w:t>
            </w:r>
          </w:p>
        </w:tc>
        <w:tc>
          <w:tcPr>
            <w:tcW w:w="737" w:type="dxa"/>
            <w:shd w:val="clear" w:color="auto" w:fill="808080"/>
          </w:tcPr>
          <w:p>
            <w:pPr>
              <w:pStyle w:val="TableParagraph"/>
              <w:spacing w:before="51"/>
              <w:ind w:left="10"/>
              <w:jc w:val="center"/>
              <w:rPr>
                <w:sz w:val="18"/>
              </w:rPr>
            </w:pPr>
            <w:r>
              <w:rPr>
                <w:color w:val="FFFFFF"/>
                <w:spacing w:val="-4"/>
                <w:sz w:val="18"/>
              </w:rPr>
              <w:t>2026</w:t>
            </w:r>
          </w:p>
        </w:tc>
        <w:tc>
          <w:tcPr>
            <w:tcW w:w="739" w:type="dxa"/>
            <w:shd w:val="clear" w:color="auto" w:fill="808080"/>
          </w:tcPr>
          <w:p>
            <w:pPr>
              <w:pStyle w:val="TableParagraph"/>
              <w:spacing w:before="51"/>
              <w:ind w:left="8"/>
              <w:jc w:val="center"/>
              <w:rPr>
                <w:sz w:val="18"/>
              </w:rPr>
            </w:pPr>
            <w:r>
              <w:rPr>
                <w:color w:val="FFFFFF"/>
                <w:spacing w:val="-4"/>
                <w:sz w:val="18"/>
              </w:rPr>
              <w:t>2027</w:t>
            </w:r>
          </w:p>
        </w:tc>
        <w:tc>
          <w:tcPr>
            <w:tcW w:w="737" w:type="dxa"/>
            <w:shd w:val="clear" w:color="auto" w:fill="808080"/>
          </w:tcPr>
          <w:p>
            <w:pPr>
              <w:pStyle w:val="TableParagraph"/>
              <w:spacing w:before="51"/>
              <w:ind w:left="10"/>
              <w:jc w:val="center"/>
              <w:rPr>
                <w:sz w:val="18"/>
              </w:rPr>
            </w:pPr>
            <w:r>
              <w:rPr>
                <w:color w:val="FFFFFF"/>
                <w:spacing w:val="-4"/>
                <w:sz w:val="18"/>
              </w:rPr>
              <w:t>2028</w:t>
            </w:r>
          </w:p>
        </w:tc>
        <w:tc>
          <w:tcPr>
            <w:tcW w:w="740" w:type="dxa"/>
            <w:shd w:val="clear" w:color="auto" w:fill="808080"/>
          </w:tcPr>
          <w:p>
            <w:pPr>
              <w:pStyle w:val="TableParagraph"/>
              <w:spacing w:before="51"/>
              <w:ind w:left="7"/>
              <w:jc w:val="center"/>
              <w:rPr>
                <w:sz w:val="18"/>
              </w:rPr>
            </w:pPr>
            <w:r>
              <w:rPr>
                <w:color w:val="FFFFFF"/>
                <w:spacing w:val="-4"/>
                <w:sz w:val="18"/>
              </w:rPr>
              <w:t>2029</w:t>
            </w:r>
          </w:p>
        </w:tc>
        <w:tc>
          <w:tcPr>
            <w:tcW w:w="737" w:type="dxa"/>
            <w:shd w:val="clear" w:color="auto" w:fill="808080"/>
          </w:tcPr>
          <w:p>
            <w:pPr>
              <w:pStyle w:val="TableParagraph"/>
              <w:spacing w:before="51"/>
              <w:ind w:left="10"/>
              <w:jc w:val="center"/>
              <w:rPr>
                <w:sz w:val="18"/>
              </w:rPr>
            </w:pPr>
            <w:r>
              <w:rPr>
                <w:color w:val="FFFFFF"/>
                <w:spacing w:val="-4"/>
                <w:sz w:val="18"/>
              </w:rPr>
              <w:t>2030</w:t>
            </w:r>
          </w:p>
        </w:tc>
      </w:tr>
      <w:tr>
        <w:trPr>
          <w:trHeight w:val="436" w:hRule="atLeast"/>
        </w:trPr>
        <w:tc>
          <w:tcPr>
            <w:tcW w:w="1008" w:type="dxa"/>
            <w:shd w:val="clear" w:color="auto" w:fill="44536A"/>
          </w:tcPr>
          <w:p>
            <w:pPr>
              <w:pStyle w:val="TableParagraph"/>
              <w:spacing w:before="119"/>
              <w:ind w:left="69"/>
              <w:rPr>
                <w:sz w:val="18"/>
              </w:rPr>
            </w:pPr>
            <w:r>
              <w:rPr>
                <w:color w:val="FFFFFF"/>
                <w:spacing w:val="-2"/>
                <w:sz w:val="18"/>
              </w:rPr>
              <w:t>Metas</w:t>
            </w:r>
          </w:p>
        </w:tc>
        <w:tc>
          <w:tcPr>
            <w:tcW w:w="850" w:type="dxa"/>
          </w:tcPr>
          <w:p>
            <w:pPr>
              <w:pStyle w:val="TableParagraph"/>
              <w:spacing w:before="20"/>
              <w:ind w:left="10" w:right="4"/>
              <w:jc w:val="center"/>
              <w:rPr>
                <w:sz w:val="16"/>
              </w:rPr>
            </w:pPr>
            <w:r>
              <w:rPr>
                <w:spacing w:val="-5"/>
                <w:sz w:val="16"/>
              </w:rPr>
              <w:t>No</w:t>
            </w:r>
          </w:p>
          <w:p>
            <w:pPr>
              <w:pStyle w:val="TableParagraph"/>
              <w:spacing w:line="178" w:lineRule="exact" w:before="34"/>
              <w:ind w:left="10" w:right="4"/>
              <w:jc w:val="center"/>
              <w:rPr>
                <w:sz w:val="16"/>
              </w:rPr>
            </w:pPr>
            <w:r>
              <w:rPr>
                <w:spacing w:val="-2"/>
                <w:w w:val="105"/>
                <w:sz w:val="16"/>
              </w:rPr>
              <w:t>definido</w:t>
            </w:r>
          </w:p>
        </w:tc>
        <w:tc>
          <w:tcPr>
            <w:tcW w:w="639" w:type="dxa"/>
          </w:tcPr>
          <w:p>
            <w:pPr>
              <w:pStyle w:val="TableParagraph"/>
              <w:spacing w:before="130"/>
              <w:ind w:left="8" w:right="5"/>
              <w:jc w:val="center"/>
              <w:rPr>
                <w:sz w:val="16"/>
              </w:rPr>
            </w:pPr>
            <w:r>
              <w:rPr>
                <w:spacing w:val="-2"/>
                <w:sz w:val="16"/>
              </w:rPr>
              <w:t>5.00%</w:t>
            </w:r>
          </w:p>
        </w:tc>
        <w:tc>
          <w:tcPr>
            <w:tcW w:w="838" w:type="dxa"/>
          </w:tcPr>
          <w:p>
            <w:pPr>
              <w:pStyle w:val="TableParagraph"/>
              <w:spacing w:before="130"/>
              <w:ind w:left="10" w:right="5"/>
              <w:jc w:val="center"/>
              <w:rPr>
                <w:sz w:val="16"/>
              </w:rPr>
            </w:pPr>
            <w:r>
              <w:rPr>
                <w:spacing w:val="-2"/>
                <w:sz w:val="16"/>
              </w:rPr>
              <w:t>15.00%</w:t>
            </w:r>
          </w:p>
        </w:tc>
        <w:tc>
          <w:tcPr>
            <w:tcW w:w="737" w:type="dxa"/>
          </w:tcPr>
          <w:p>
            <w:pPr>
              <w:pStyle w:val="TableParagraph"/>
              <w:spacing w:before="130"/>
              <w:ind w:left="10" w:right="5"/>
              <w:jc w:val="center"/>
              <w:rPr>
                <w:sz w:val="16"/>
              </w:rPr>
            </w:pPr>
            <w:r>
              <w:rPr>
                <w:spacing w:val="-2"/>
                <w:sz w:val="16"/>
              </w:rPr>
              <w:t>30.00%</w:t>
            </w:r>
          </w:p>
        </w:tc>
        <w:tc>
          <w:tcPr>
            <w:tcW w:w="739" w:type="dxa"/>
          </w:tcPr>
          <w:p>
            <w:pPr>
              <w:pStyle w:val="TableParagraph"/>
              <w:spacing w:before="130"/>
              <w:ind w:left="8" w:right="6"/>
              <w:jc w:val="center"/>
              <w:rPr>
                <w:sz w:val="16"/>
              </w:rPr>
            </w:pPr>
            <w:r>
              <w:rPr>
                <w:spacing w:val="-2"/>
                <w:sz w:val="16"/>
              </w:rPr>
              <w:t>45.00%</w:t>
            </w:r>
          </w:p>
        </w:tc>
        <w:tc>
          <w:tcPr>
            <w:tcW w:w="737" w:type="dxa"/>
          </w:tcPr>
          <w:p>
            <w:pPr>
              <w:pStyle w:val="TableParagraph"/>
              <w:spacing w:before="130"/>
              <w:ind w:left="10" w:right="4"/>
              <w:jc w:val="center"/>
              <w:rPr>
                <w:sz w:val="16"/>
              </w:rPr>
            </w:pPr>
            <w:r>
              <w:rPr>
                <w:spacing w:val="-2"/>
                <w:sz w:val="16"/>
              </w:rPr>
              <w:t>55.00%</w:t>
            </w:r>
          </w:p>
        </w:tc>
        <w:tc>
          <w:tcPr>
            <w:tcW w:w="739" w:type="dxa"/>
          </w:tcPr>
          <w:p>
            <w:pPr>
              <w:pStyle w:val="TableParagraph"/>
              <w:spacing w:before="130"/>
              <w:ind w:left="8" w:right="5"/>
              <w:jc w:val="center"/>
              <w:rPr>
                <w:sz w:val="16"/>
              </w:rPr>
            </w:pPr>
            <w:r>
              <w:rPr>
                <w:spacing w:val="-2"/>
                <w:sz w:val="16"/>
              </w:rPr>
              <w:t>65.00%</w:t>
            </w:r>
          </w:p>
        </w:tc>
        <w:tc>
          <w:tcPr>
            <w:tcW w:w="737" w:type="dxa"/>
          </w:tcPr>
          <w:p>
            <w:pPr>
              <w:pStyle w:val="TableParagraph"/>
              <w:spacing w:before="130"/>
              <w:ind w:left="10" w:right="4"/>
              <w:jc w:val="center"/>
              <w:rPr>
                <w:sz w:val="16"/>
              </w:rPr>
            </w:pPr>
            <w:r>
              <w:rPr>
                <w:spacing w:val="-2"/>
                <w:sz w:val="16"/>
              </w:rPr>
              <w:t>75.00%</w:t>
            </w:r>
          </w:p>
        </w:tc>
        <w:tc>
          <w:tcPr>
            <w:tcW w:w="740" w:type="dxa"/>
          </w:tcPr>
          <w:p>
            <w:pPr>
              <w:pStyle w:val="TableParagraph"/>
              <w:spacing w:before="130"/>
              <w:ind w:left="7" w:right="5"/>
              <w:jc w:val="center"/>
              <w:rPr>
                <w:sz w:val="16"/>
              </w:rPr>
            </w:pPr>
            <w:r>
              <w:rPr>
                <w:spacing w:val="-2"/>
                <w:sz w:val="16"/>
              </w:rPr>
              <w:t>85.00%</w:t>
            </w:r>
          </w:p>
        </w:tc>
        <w:tc>
          <w:tcPr>
            <w:tcW w:w="737" w:type="dxa"/>
          </w:tcPr>
          <w:p>
            <w:pPr>
              <w:pStyle w:val="TableParagraph"/>
              <w:spacing w:before="130"/>
              <w:ind w:left="10" w:right="5"/>
              <w:jc w:val="center"/>
              <w:rPr>
                <w:sz w:val="16"/>
              </w:rPr>
            </w:pPr>
            <w:r>
              <w:rPr>
                <w:spacing w:val="-2"/>
                <w:sz w:val="16"/>
              </w:rPr>
              <w:t>95.00%</w:t>
            </w:r>
          </w:p>
        </w:tc>
      </w:tr>
      <w:tr>
        <w:trPr>
          <w:trHeight w:val="570" w:hRule="atLeast"/>
        </w:trPr>
        <w:tc>
          <w:tcPr>
            <w:tcW w:w="1008"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850" w:type="dxa"/>
            <w:shd w:val="clear" w:color="auto" w:fill="C8C8C8"/>
          </w:tcPr>
          <w:p>
            <w:pPr>
              <w:pStyle w:val="TableParagraph"/>
              <w:rPr>
                <w:rFonts w:ascii="Times New Roman"/>
                <w:sz w:val="22"/>
              </w:rPr>
            </w:pPr>
          </w:p>
        </w:tc>
        <w:tc>
          <w:tcPr>
            <w:tcW w:w="639" w:type="dxa"/>
          </w:tcPr>
          <w:p>
            <w:pPr>
              <w:pStyle w:val="TableParagraph"/>
              <w:spacing w:before="11"/>
              <w:rPr>
                <w:sz w:val="16"/>
              </w:rPr>
            </w:pPr>
          </w:p>
          <w:p>
            <w:pPr>
              <w:pStyle w:val="TableParagraph"/>
              <w:ind w:left="8" w:right="3"/>
              <w:jc w:val="center"/>
              <w:rPr>
                <w:sz w:val="16"/>
              </w:rPr>
            </w:pPr>
            <w:r>
              <w:rPr>
                <w:spacing w:val="-5"/>
                <w:sz w:val="16"/>
              </w:rPr>
              <w:t>ND</w:t>
            </w:r>
          </w:p>
        </w:tc>
        <w:tc>
          <w:tcPr>
            <w:tcW w:w="838" w:type="dxa"/>
          </w:tcPr>
          <w:p>
            <w:pPr>
              <w:pStyle w:val="TableParagraph"/>
              <w:spacing w:before="11"/>
              <w:rPr>
                <w:sz w:val="16"/>
              </w:rPr>
            </w:pPr>
          </w:p>
          <w:p>
            <w:pPr>
              <w:pStyle w:val="TableParagraph"/>
              <w:ind w:left="10" w:right="5"/>
              <w:jc w:val="center"/>
              <w:rPr>
                <w:sz w:val="16"/>
              </w:rPr>
            </w:pPr>
            <w:r>
              <w:rPr>
                <w:spacing w:val="-2"/>
                <w:sz w:val="16"/>
              </w:rPr>
              <w:t>100.00%</w:t>
            </w:r>
          </w:p>
        </w:tc>
        <w:tc>
          <w:tcPr>
            <w:tcW w:w="737" w:type="dxa"/>
            <w:shd w:val="clear" w:color="auto" w:fill="C8C8C8"/>
          </w:tcPr>
          <w:p>
            <w:pPr>
              <w:pStyle w:val="TableParagraph"/>
              <w:rPr>
                <w:rFonts w:ascii="Times New Roman"/>
                <w:sz w:val="22"/>
              </w:rPr>
            </w:pPr>
          </w:p>
        </w:tc>
        <w:tc>
          <w:tcPr>
            <w:tcW w:w="739" w:type="dxa"/>
            <w:shd w:val="clear" w:color="auto" w:fill="C8C8C8"/>
          </w:tcPr>
          <w:p>
            <w:pPr>
              <w:pStyle w:val="TableParagraph"/>
              <w:rPr>
                <w:rFonts w:ascii="Times New Roman"/>
                <w:sz w:val="22"/>
              </w:rPr>
            </w:pPr>
          </w:p>
        </w:tc>
        <w:tc>
          <w:tcPr>
            <w:tcW w:w="737" w:type="dxa"/>
            <w:shd w:val="clear" w:color="auto" w:fill="C8C8C8"/>
          </w:tcPr>
          <w:p>
            <w:pPr>
              <w:pStyle w:val="TableParagraph"/>
              <w:rPr>
                <w:rFonts w:ascii="Times New Roman"/>
                <w:sz w:val="22"/>
              </w:rPr>
            </w:pPr>
          </w:p>
        </w:tc>
        <w:tc>
          <w:tcPr>
            <w:tcW w:w="739" w:type="dxa"/>
            <w:shd w:val="clear" w:color="auto" w:fill="C8C8C8"/>
          </w:tcPr>
          <w:p>
            <w:pPr>
              <w:pStyle w:val="TableParagraph"/>
              <w:rPr>
                <w:rFonts w:ascii="Times New Roman"/>
                <w:sz w:val="22"/>
              </w:rPr>
            </w:pPr>
          </w:p>
        </w:tc>
        <w:tc>
          <w:tcPr>
            <w:tcW w:w="737" w:type="dxa"/>
            <w:shd w:val="clear" w:color="auto" w:fill="C8C8C8"/>
          </w:tcPr>
          <w:p>
            <w:pPr>
              <w:pStyle w:val="TableParagraph"/>
              <w:rPr>
                <w:rFonts w:ascii="Times New Roman"/>
                <w:sz w:val="22"/>
              </w:rPr>
            </w:pPr>
          </w:p>
        </w:tc>
        <w:tc>
          <w:tcPr>
            <w:tcW w:w="740" w:type="dxa"/>
            <w:shd w:val="clear" w:color="auto" w:fill="C8C8C8"/>
          </w:tcPr>
          <w:p>
            <w:pPr>
              <w:pStyle w:val="TableParagraph"/>
              <w:rPr>
                <w:rFonts w:ascii="Times New Roman"/>
                <w:sz w:val="22"/>
              </w:rPr>
            </w:pPr>
          </w:p>
        </w:tc>
        <w:tc>
          <w:tcPr>
            <w:tcW w:w="737" w:type="dxa"/>
            <w:shd w:val="clear" w:color="auto" w:fill="C8C8C8"/>
          </w:tcPr>
          <w:p>
            <w:pPr>
              <w:pStyle w:val="TableParagraph"/>
              <w:rPr>
                <w:rFonts w:ascii="Times New Roman"/>
                <w:sz w:val="22"/>
              </w:rPr>
            </w:pPr>
          </w:p>
        </w:tc>
      </w:tr>
      <w:tr>
        <w:trPr>
          <w:trHeight w:val="568" w:hRule="atLeast"/>
        </w:trPr>
        <w:tc>
          <w:tcPr>
            <w:tcW w:w="1008" w:type="dxa"/>
            <w:shd w:val="clear" w:color="auto" w:fill="44536A"/>
          </w:tcPr>
          <w:p>
            <w:pPr>
              <w:pStyle w:val="TableParagraph"/>
              <w:spacing w:line="240" w:lineRule="atLeast" w:before="28"/>
              <w:ind w:left="69" w:right="271"/>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850" w:type="dxa"/>
            <w:shd w:val="clear" w:color="auto" w:fill="C8C8C8"/>
          </w:tcPr>
          <w:p>
            <w:pPr>
              <w:pStyle w:val="TableParagraph"/>
              <w:rPr>
                <w:rFonts w:ascii="Times New Roman"/>
                <w:sz w:val="22"/>
              </w:rPr>
            </w:pPr>
          </w:p>
        </w:tc>
        <w:tc>
          <w:tcPr>
            <w:tcW w:w="639" w:type="dxa"/>
          </w:tcPr>
          <w:p>
            <w:pPr>
              <w:pStyle w:val="TableParagraph"/>
              <w:rPr>
                <w:rFonts w:ascii="Times New Roman"/>
                <w:sz w:val="22"/>
              </w:rPr>
            </w:pPr>
          </w:p>
        </w:tc>
        <w:tc>
          <w:tcPr>
            <w:tcW w:w="838" w:type="dxa"/>
          </w:tcPr>
          <w:p>
            <w:pPr>
              <w:pStyle w:val="TableParagraph"/>
              <w:spacing w:before="11"/>
              <w:rPr>
                <w:sz w:val="16"/>
              </w:rPr>
            </w:pPr>
          </w:p>
          <w:p>
            <w:pPr>
              <w:pStyle w:val="TableParagraph"/>
              <w:ind w:left="10" w:right="5"/>
              <w:jc w:val="center"/>
              <w:rPr>
                <w:sz w:val="16"/>
              </w:rPr>
            </w:pPr>
            <w:r>
              <w:rPr>
                <w:spacing w:val="-2"/>
                <w:sz w:val="16"/>
              </w:rPr>
              <w:t>666.67%</w:t>
            </w:r>
          </w:p>
        </w:tc>
        <w:tc>
          <w:tcPr>
            <w:tcW w:w="737" w:type="dxa"/>
            <w:shd w:val="clear" w:color="auto" w:fill="C8C8C8"/>
          </w:tcPr>
          <w:p>
            <w:pPr>
              <w:pStyle w:val="TableParagraph"/>
              <w:rPr>
                <w:rFonts w:ascii="Times New Roman"/>
                <w:sz w:val="22"/>
              </w:rPr>
            </w:pPr>
          </w:p>
        </w:tc>
        <w:tc>
          <w:tcPr>
            <w:tcW w:w="739" w:type="dxa"/>
            <w:shd w:val="clear" w:color="auto" w:fill="C8C8C8"/>
          </w:tcPr>
          <w:p>
            <w:pPr>
              <w:pStyle w:val="TableParagraph"/>
              <w:rPr>
                <w:rFonts w:ascii="Times New Roman"/>
                <w:sz w:val="22"/>
              </w:rPr>
            </w:pPr>
          </w:p>
        </w:tc>
        <w:tc>
          <w:tcPr>
            <w:tcW w:w="737" w:type="dxa"/>
            <w:shd w:val="clear" w:color="auto" w:fill="C8C8C8"/>
          </w:tcPr>
          <w:p>
            <w:pPr>
              <w:pStyle w:val="TableParagraph"/>
              <w:rPr>
                <w:rFonts w:ascii="Times New Roman"/>
                <w:sz w:val="22"/>
              </w:rPr>
            </w:pPr>
          </w:p>
        </w:tc>
        <w:tc>
          <w:tcPr>
            <w:tcW w:w="739" w:type="dxa"/>
            <w:shd w:val="clear" w:color="auto" w:fill="C8C8C8"/>
          </w:tcPr>
          <w:p>
            <w:pPr>
              <w:pStyle w:val="TableParagraph"/>
              <w:rPr>
                <w:rFonts w:ascii="Times New Roman"/>
                <w:sz w:val="22"/>
              </w:rPr>
            </w:pPr>
          </w:p>
        </w:tc>
        <w:tc>
          <w:tcPr>
            <w:tcW w:w="737" w:type="dxa"/>
            <w:shd w:val="clear" w:color="auto" w:fill="C8C8C8"/>
          </w:tcPr>
          <w:p>
            <w:pPr>
              <w:pStyle w:val="TableParagraph"/>
              <w:rPr>
                <w:rFonts w:ascii="Times New Roman"/>
                <w:sz w:val="22"/>
              </w:rPr>
            </w:pPr>
          </w:p>
        </w:tc>
        <w:tc>
          <w:tcPr>
            <w:tcW w:w="740" w:type="dxa"/>
            <w:shd w:val="clear" w:color="auto" w:fill="C8C8C8"/>
          </w:tcPr>
          <w:p>
            <w:pPr>
              <w:pStyle w:val="TableParagraph"/>
              <w:rPr>
                <w:rFonts w:ascii="Times New Roman"/>
                <w:sz w:val="22"/>
              </w:rPr>
            </w:pPr>
          </w:p>
        </w:tc>
        <w:tc>
          <w:tcPr>
            <w:tcW w:w="737" w:type="dxa"/>
            <w:shd w:val="clear" w:color="auto" w:fill="C8C8C8"/>
          </w:tcPr>
          <w:p>
            <w:pPr>
              <w:pStyle w:val="TableParagraph"/>
              <w:rPr>
                <w:rFonts w:ascii="Times New Roman"/>
                <w:sz w:val="22"/>
              </w:rPr>
            </w:pPr>
          </w:p>
        </w:tc>
      </w:tr>
    </w:tbl>
    <w:p>
      <w:pPr>
        <w:pStyle w:val="TableParagraph"/>
        <w:spacing w:after="0"/>
        <w:rPr>
          <w:rFonts w:ascii="Times New Roman"/>
          <w:sz w:val="22"/>
        </w:rPr>
        <w:sectPr>
          <w:pgSz w:w="11910" w:h="16840"/>
          <w:pgMar w:header="713" w:footer="1000" w:top="1420" w:bottom="1200" w:left="1559" w:right="992"/>
        </w:sectPr>
      </w:pPr>
    </w:p>
    <w:p>
      <w:pPr>
        <w:pStyle w:val="BodyText"/>
        <w:spacing w:before="172"/>
        <w:rPr>
          <w:sz w:val="18"/>
        </w:rPr>
      </w:pPr>
    </w:p>
    <w:p>
      <w:pPr>
        <w:spacing w:line="307" w:lineRule="auto" w:before="0"/>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3"/>
        <w:rPr>
          <w:sz w:val="18"/>
        </w:rPr>
      </w:pPr>
    </w:p>
    <w:p>
      <w:pPr>
        <w:pStyle w:val="BodyText"/>
        <w:spacing w:line="307" w:lineRule="auto"/>
        <w:ind w:left="143" w:right="705"/>
        <w:jc w:val="both"/>
      </w:pPr>
      <w:r>
        <w:rPr/>
        <w:t>En cuanto al segundo indicador, en el 2023 el 100% de los programas y/o acciones de formación docente en servicio fueron implementados con enfoque de</w:t>
      </w:r>
      <w:r>
        <w:rPr>
          <w:spacing w:val="-17"/>
        </w:rPr>
        <w:t> </w:t>
      </w:r>
      <w:r>
        <w:rPr/>
        <w:t>igualdad</w:t>
      </w:r>
      <w:r>
        <w:rPr>
          <w:spacing w:val="-15"/>
        </w:rPr>
        <w:t> </w:t>
      </w:r>
      <w:r>
        <w:rPr/>
        <w:t>de</w:t>
      </w:r>
      <w:r>
        <w:rPr>
          <w:spacing w:val="-17"/>
        </w:rPr>
        <w:t> </w:t>
      </w:r>
      <w:r>
        <w:rPr/>
        <w:t>género</w:t>
      </w:r>
      <w:r>
        <w:rPr>
          <w:spacing w:val="-15"/>
        </w:rPr>
        <w:t> </w:t>
      </w:r>
      <w:r>
        <w:rPr/>
        <w:t>(Tabla</w:t>
      </w:r>
      <w:r>
        <w:rPr>
          <w:spacing w:val="-14"/>
        </w:rPr>
        <w:t> </w:t>
      </w:r>
      <w:r>
        <w:rPr/>
        <w:t>13).</w:t>
      </w:r>
      <w:r>
        <w:rPr>
          <w:spacing w:val="-16"/>
        </w:rPr>
        <w:t> </w:t>
      </w:r>
      <w:r>
        <w:rPr/>
        <w:t>Así,</w:t>
      </w:r>
      <w:r>
        <w:rPr>
          <w:spacing w:val="-16"/>
        </w:rPr>
        <w:t> </w:t>
      </w:r>
      <w:r>
        <w:rPr/>
        <w:t>el</w:t>
      </w:r>
      <w:r>
        <w:rPr>
          <w:spacing w:val="-16"/>
        </w:rPr>
        <w:t> </w:t>
      </w:r>
      <w:r>
        <w:rPr/>
        <w:t>indicador</w:t>
      </w:r>
      <w:r>
        <w:rPr>
          <w:spacing w:val="-17"/>
        </w:rPr>
        <w:t> </w:t>
      </w:r>
      <w:r>
        <w:rPr/>
        <w:t>alcanzó</w:t>
      </w:r>
      <w:r>
        <w:rPr>
          <w:spacing w:val="-15"/>
        </w:rPr>
        <w:t> </w:t>
      </w:r>
      <w:r>
        <w:rPr/>
        <w:t>un</w:t>
      </w:r>
      <w:r>
        <w:rPr>
          <w:spacing w:val="-17"/>
        </w:rPr>
        <w:t> </w:t>
      </w:r>
      <w:r>
        <w:rPr/>
        <w:t>nivel</w:t>
      </w:r>
      <w:r>
        <w:rPr>
          <w:spacing w:val="-15"/>
        </w:rPr>
        <w:t> </w:t>
      </w:r>
      <w:r>
        <w:rPr/>
        <w:t>de</w:t>
      </w:r>
      <w:r>
        <w:rPr>
          <w:spacing w:val="-17"/>
        </w:rPr>
        <w:t> </w:t>
      </w:r>
      <w:r>
        <w:rPr/>
        <w:t>avance</w:t>
      </w:r>
      <w:r>
        <w:rPr>
          <w:spacing w:val="-16"/>
        </w:rPr>
        <w:t> </w:t>
      </w:r>
      <w:r>
        <w:rPr/>
        <w:t>de</w:t>
      </w:r>
    </w:p>
    <w:p>
      <w:pPr>
        <w:pStyle w:val="BodyText"/>
        <w:spacing w:line="307" w:lineRule="auto"/>
        <w:ind w:left="143" w:right="707"/>
        <w:jc w:val="both"/>
      </w:pPr>
      <w:r>
        <w:rPr/>
        <w:t>666.67</w:t>
      </w:r>
      <w:r>
        <w:rPr>
          <w:spacing w:val="-4"/>
        </w:rPr>
        <w:t> </w:t>
      </w:r>
      <w:r>
        <w:rPr/>
        <w:t>%</w:t>
      </w:r>
      <w:r>
        <w:rPr>
          <w:spacing w:val="-3"/>
        </w:rPr>
        <w:t> </w:t>
      </w:r>
      <w:r>
        <w:rPr/>
        <w:t>respecto</w:t>
      </w:r>
      <w:r>
        <w:rPr>
          <w:spacing w:val="-6"/>
        </w:rPr>
        <w:t> </w:t>
      </w:r>
      <w:r>
        <w:rPr/>
        <w:t>a</w:t>
      </w:r>
      <w:r>
        <w:rPr>
          <w:spacing w:val="-7"/>
        </w:rPr>
        <w:t> </w:t>
      </w:r>
      <w:r>
        <w:rPr/>
        <w:t>la</w:t>
      </w:r>
      <w:r>
        <w:rPr>
          <w:spacing w:val="-7"/>
        </w:rPr>
        <w:t> </w:t>
      </w:r>
      <w:r>
        <w:rPr/>
        <w:t>meta</w:t>
      </w:r>
      <w:r>
        <w:rPr>
          <w:spacing w:val="-7"/>
        </w:rPr>
        <w:t> </w:t>
      </w:r>
      <w:r>
        <w:rPr/>
        <w:t>programada,</w:t>
      </w:r>
      <w:r>
        <w:rPr>
          <w:spacing w:val="-3"/>
        </w:rPr>
        <w:t> </w:t>
      </w:r>
      <w:r>
        <w:rPr/>
        <w:t>resultado</w:t>
      </w:r>
      <w:r>
        <w:rPr>
          <w:spacing w:val="-6"/>
        </w:rPr>
        <w:t> </w:t>
      </w:r>
      <w:r>
        <w:rPr/>
        <w:t>con</w:t>
      </w:r>
      <w:r>
        <w:rPr>
          <w:spacing w:val="-7"/>
        </w:rPr>
        <w:t> </w:t>
      </w:r>
      <w:r>
        <w:rPr/>
        <w:t>el</w:t>
      </w:r>
      <w:r>
        <w:rPr>
          <w:spacing w:val="-6"/>
        </w:rPr>
        <w:t> </w:t>
      </w:r>
      <w:r>
        <w:rPr/>
        <w:t>cual</w:t>
      </w:r>
      <w:r>
        <w:rPr>
          <w:spacing w:val="-6"/>
        </w:rPr>
        <w:t> </w:t>
      </w:r>
      <w:r>
        <w:rPr/>
        <w:t>se</w:t>
      </w:r>
      <w:r>
        <w:rPr>
          <w:spacing w:val="-7"/>
        </w:rPr>
        <w:t> </w:t>
      </w:r>
      <w:r>
        <w:rPr/>
        <w:t>alerta</w:t>
      </w:r>
      <w:r>
        <w:rPr>
          <w:spacing w:val="-7"/>
        </w:rPr>
        <w:t> </w:t>
      </w:r>
      <w:r>
        <w:rPr/>
        <w:t>de</w:t>
      </w:r>
      <w:r>
        <w:rPr>
          <w:spacing w:val="-3"/>
        </w:rPr>
        <w:t> </w:t>
      </w:r>
      <w:r>
        <w:rPr/>
        <w:t>una posible falla de planeación del indicador. Cabe precisar que el servicio registro que la cantidad de programas y/o acciones programadas (denominador) era solo</w:t>
      </w:r>
      <w:r>
        <w:rPr>
          <w:spacing w:val="2"/>
        </w:rPr>
        <w:t> </w:t>
      </w:r>
      <w:r>
        <w:rPr/>
        <w:t>una, la</w:t>
      </w:r>
      <w:r>
        <w:rPr>
          <w:spacing w:val="1"/>
        </w:rPr>
        <w:t> </w:t>
      </w:r>
      <w:r>
        <w:rPr/>
        <w:t>cual</w:t>
      </w:r>
      <w:r>
        <w:rPr>
          <w:spacing w:val="3"/>
        </w:rPr>
        <w:t> </w:t>
      </w:r>
      <w:r>
        <w:rPr/>
        <w:t>fue</w:t>
      </w:r>
      <w:r>
        <w:rPr>
          <w:spacing w:val="1"/>
        </w:rPr>
        <w:t> </w:t>
      </w:r>
      <w:r>
        <w:rPr/>
        <w:t>ejecutada</w:t>
      </w:r>
      <w:r>
        <w:rPr>
          <w:spacing w:val="1"/>
        </w:rPr>
        <w:t> </w:t>
      </w:r>
      <w:r>
        <w:rPr/>
        <w:t>y</w:t>
      </w:r>
      <w:r>
        <w:rPr>
          <w:spacing w:val="2"/>
        </w:rPr>
        <w:t> </w:t>
      </w:r>
      <w:r>
        <w:rPr/>
        <w:t>considerada</w:t>
      </w:r>
      <w:r>
        <w:rPr>
          <w:spacing w:val="-1"/>
        </w:rPr>
        <w:t> </w:t>
      </w:r>
      <w:r>
        <w:rPr/>
        <w:t>en</w:t>
      </w:r>
      <w:r>
        <w:rPr>
          <w:spacing w:val="1"/>
        </w:rPr>
        <w:t> </w:t>
      </w:r>
      <w:r>
        <w:rPr/>
        <w:t>el</w:t>
      </w:r>
      <w:r>
        <w:rPr>
          <w:spacing w:val="2"/>
        </w:rPr>
        <w:t> </w:t>
      </w:r>
      <w:r>
        <w:rPr/>
        <w:t>numerador</w:t>
      </w:r>
      <w:r>
        <w:rPr>
          <w:spacing w:val="2"/>
        </w:rPr>
        <w:t> </w:t>
      </w:r>
      <w:r>
        <w:rPr/>
        <w:t>durante</w:t>
      </w:r>
      <w:r>
        <w:rPr>
          <w:spacing w:val="1"/>
        </w:rPr>
        <w:t> </w:t>
      </w:r>
      <w:r>
        <w:rPr/>
        <w:t>el</w:t>
      </w:r>
      <w:r>
        <w:rPr>
          <w:spacing w:val="2"/>
        </w:rPr>
        <w:t> </w:t>
      </w:r>
      <w:r>
        <w:rPr>
          <w:spacing w:val="-2"/>
        </w:rPr>
        <w:t>2023.</w:t>
      </w:r>
    </w:p>
    <w:p>
      <w:pPr>
        <w:spacing w:before="258"/>
        <w:ind w:left="0" w:right="562" w:firstLine="0"/>
        <w:jc w:val="center"/>
        <w:rPr>
          <w:sz w:val="22"/>
        </w:rPr>
      </w:pPr>
      <w:r>
        <w:rPr>
          <w:color w:val="44536A"/>
          <w:sz w:val="22"/>
        </w:rPr>
        <w:t>Tabla</w:t>
      </w:r>
      <w:r>
        <w:rPr>
          <w:color w:val="44536A"/>
          <w:spacing w:val="-7"/>
          <w:sz w:val="22"/>
        </w:rPr>
        <w:t> </w:t>
      </w:r>
      <w:r>
        <w:rPr>
          <w:color w:val="44536A"/>
          <w:sz w:val="22"/>
        </w:rPr>
        <w:t>13.</w:t>
      </w:r>
      <w:r>
        <w:rPr>
          <w:color w:val="44536A"/>
          <w:spacing w:val="-7"/>
          <w:sz w:val="22"/>
        </w:rPr>
        <w:t> </w:t>
      </w:r>
      <w:r>
        <w:rPr>
          <w:color w:val="44536A"/>
          <w:sz w:val="22"/>
        </w:rPr>
        <w:t>Análisis</w:t>
      </w:r>
      <w:r>
        <w:rPr>
          <w:color w:val="44536A"/>
          <w:spacing w:val="-9"/>
          <w:sz w:val="22"/>
        </w:rPr>
        <w:t> </w:t>
      </w:r>
      <w:r>
        <w:rPr>
          <w:color w:val="44536A"/>
          <w:sz w:val="22"/>
        </w:rPr>
        <w:t>del</w:t>
      </w:r>
      <w:r>
        <w:rPr>
          <w:color w:val="44536A"/>
          <w:spacing w:val="-7"/>
          <w:sz w:val="22"/>
        </w:rPr>
        <w:t> </w:t>
      </w:r>
      <w:r>
        <w:rPr>
          <w:color w:val="44536A"/>
          <w:sz w:val="22"/>
        </w:rPr>
        <w:t>indicador</w:t>
      </w:r>
      <w:r>
        <w:rPr>
          <w:color w:val="44536A"/>
          <w:spacing w:val="-8"/>
          <w:sz w:val="22"/>
        </w:rPr>
        <w:t> </w:t>
      </w:r>
      <w:r>
        <w:rPr>
          <w:color w:val="44536A"/>
          <w:sz w:val="22"/>
        </w:rPr>
        <w:t>de</w:t>
      </w:r>
      <w:r>
        <w:rPr>
          <w:color w:val="44536A"/>
          <w:spacing w:val="-8"/>
          <w:sz w:val="22"/>
        </w:rPr>
        <w:t> </w:t>
      </w:r>
      <w:r>
        <w:rPr>
          <w:color w:val="44536A"/>
          <w:sz w:val="22"/>
        </w:rPr>
        <w:t>calidad</w:t>
      </w:r>
      <w:r>
        <w:rPr>
          <w:color w:val="44536A"/>
          <w:spacing w:val="-7"/>
          <w:sz w:val="22"/>
        </w:rPr>
        <w:t> </w:t>
      </w:r>
      <w:r>
        <w:rPr>
          <w:color w:val="44536A"/>
          <w:sz w:val="22"/>
        </w:rPr>
        <w:t>2</w:t>
      </w:r>
      <w:r>
        <w:rPr>
          <w:color w:val="44536A"/>
          <w:spacing w:val="-8"/>
          <w:sz w:val="22"/>
        </w:rPr>
        <w:t> </w:t>
      </w:r>
      <w:r>
        <w:rPr>
          <w:color w:val="44536A"/>
          <w:sz w:val="22"/>
        </w:rPr>
        <w:t>del</w:t>
      </w:r>
      <w:r>
        <w:rPr>
          <w:color w:val="44536A"/>
          <w:spacing w:val="-8"/>
          <w:sz w:val="22"/>
        </w:rPr>
        <w:t> </w:t>
      </w:r>
      <w:r>
        <w:rPr>
          <w:color w:val="44536A"/>
          <w:sz w:val="22"/>
        </w:rPr>
        <w:t>servicio</w:t>
      </w:r>
      <w:r>
        <w:rPr>
          <w:color w:val="44536A"/>
          <w:spacing w:val="-6"/>
          <w:sz w:val="22"/>
        </w:rPr>
        <w:t> </w:t>
      </w:r>
      <w:r>
        <w:rPr>
          <w:color w:val="44536A"/>
          <w:spacing w:val="-2"/>
          <w:sz w:val="22"/>
        </w:rPr>
        <w:t>06.01.02</w:t>
      </w:r>
    </w:p>
    <w:p>
      <w:pPr>
        <w:pStyle w:val="BodyText"/>
        <w:spacing w:before="2"/>
        <w:rPr>
          <w:sz w:val="19"/>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850"/>
        <w:gridCol w:w="639"/>
        <w:gridCol w:w="838"/>
        <w:gridCol w:w="737"/>
        <w:gridCol w:w="739"/>
        <w:gridCol w:w="737"/>
        <w:gridCol w:w="739"/>
        <w:gridCol w:w="737"/>
        <w:gridCol w:w="740"/>
        <w:gridCol w:w="737"/>
      </w:tblGrid>
      <w:tr>
        <w:trPr>
          <w:trHeight w:val="489" w:hRule="atLeast"/>
        </w:trPr>
        <w:tc>
          <w:tcPr>
            <w:tcW w:w="1008" w:type="dxa"/>
            <w:shd w:val="clear" w:color="auto" w:fill="44536A"/>
          </w:tcPr>
          <w:p>
            <w:pPr>
              <w:pStyle w:val="TableParagraph"/>
              <w:spacing w:before="154"/>
              <w:ind w:left="9"/>
              <w:jc w:val="center"/>
              <w:rPr>
                <w:sz w:val="16"/>
              </w:rPr>
            </w:pPr>
            <w:r>
              <w:rPr>
                <w:color w:val="FFFFFF"/>
                <w:spacing w:val="-5"/>
                <w:sz w:val="16"/>
              </w:rPr>
              <w:t>OP</w:t>
            </w:r>
          </w:p>
        </w:tc>
        <w:tc>
          <w:tcPr>
            <w:tcW w:w="7493" w:type="dxa"/>
            <w:gridSpan w:val="10"/>
          </w:tcPr>
          <w:p>
            <w:pPr>
              <w:pStyle w:val="TableParagraph"/>
              <w:spacing w:before="23"/>
              <w:ind w:left="69"/>
              <w:rPr>
                <w:sz w:val="18"/>
              </w:rPr>
            </w:pPr>
            <w:r>
              <w:rPr>
                <w:sz w:val="18"/>
              </w:rPr>
              <w:t>OP.06</w:t>
            </w:r>
            <w:r>
              <w:rPr>
                <w:spacing w:val="1"/>
                <w:sz w:val="18"/>
              </w:rPr>
              <w:t> </w:t>
            </w:r>
            <w:r>
              <w:rPr>
                <w:sz w:val="18"/>
              </w:rPr>
              <w:t>Reducir la</w:t>
            </w:r>
            <w:r>
              <w:rPr>
                <w:spacing w:val="-2"/>
                <w:sz w:val="18"/>
              </w:rPr>
              <w:t> </w:t>
            </w:r>
            <w:r>
              <w:rPr>
                <w:sz w:val="18"/>
              </w:rPr>
              <w:t>incidencia</w:t>
            </w:r>
            <w:r>
              <w:rPr>
                <w:spacing w:val="1"/>
                <w:sz w:val="18"/>
              </w:rPr>
              <w:t> </w:t>
            </w:r>
            <w:r>
              <w:rPr>
                <w:sz w:val="18"/>
              </w:rPr>
              <w:t>de</w:t>
            </w:r>
            <w:r>
              <w:rPr>
                <w:spacing w:val="-2"/>
                <w:sz w:val="18"/>
              </w:rPr>
              <w:t> </w:t>
            </w:r>
            <w:r>
              <w:rPr>
                <w:sz w:val="18"/>
              </w:rPr>
              <w:t>los</w:t>
            </w:r>
            <w:r>
              <w:rPr>
                <w:spacing w:val="-2"/>
                <w:sz w:val="18"/>
              </w:rPr>
              <w:t> </w:t>
            </w:r>
            <w:r>
              <w:rPr>
                <w:sz w:val="18"/>
              </w:rPr>
              <w:t>patrones socioculturales</w:t>
            </w:r>
            <w:r>
              <w:rPr>
                <w:spacing w:val="-2"/>
                <w:sz w:val="18"/>
              </w:rPr>
              <w:t> </w:t>
            </w:r>
            <w:r>
              <w:rPr>
                <w:sz w:val="18"/>
              </w:rPr>
              <w:t>discriminatorios en</w:t>
            </w:r>
            <w:r>
              <w:rPr>
                <w:spacing w:val="-1"/>
                <w:sz w:val="18"/>
              </w:rPr>
              <w:t> </w:t>
            </w:r>
            <w:r>
              <w:rPr>
                <w:spacing w:val="-5"/>
                <w:sz w:val="18"/>
              </w:rPr>
              <w:t>la</w:t>
            </w:r>
          </w:p>
          <w:p>
            <w:pPr>
              <w:pStyle w:val="TableParagraph"/>
              <w:spacing w:line="201" w:lineRule="exact" w:before="37"/>
              <w:ind w:left="69"/>
              <w:rPr>
                <w:sz w:val="18"/>
              </w:rPr>
            </w:pPr>
            <w:r>
              <w:rPr>
                <w:spacing w:val="-2"/>
                <w:sz w:val="18"/>
              </w:rPr>
              <w:t>población.</w:t>
            </w:r>
          </w:p>
        </w:tc>
      </w:tr>
      <w:tr>
        <w:trPr>
          <w:trHeight w:val="489" w:hRule="atLeast"/>
        </w:trPr>
        <w:tc>
          <w:tcPr>
            <w:tcW w:w="1008" w:type="dxa"/>
            <w:shd w:val="clear" w:color="auto" w:fill="44536A"/>
          </w:tcPr>
          <w:p>
            <w:pPr>
              <w:pStyle w:val="TableParagraph"/>
              <w:spacing w:before="145"/>
              <w:ind w:left="191"/>
              <w:rPr>
                <w:sz w:val="18"/>
              </w:rPr>
            </w:pPr>
            <w:r>
              <w:rPr>
                <w:color w:val="FFFFFF"/>
                <w:spacing w:val="-2"/>
                <w:sz w:val="18"/>
              </w:rPr>
              <w:t>Servicio</w:t>
            </w:r>
          </w:p>
        </w:tc>
        <w:tc>
          <w:tcPr>
            <w:tcW w:w="7493" w:type="dxa"/>
            <w:gridSpan w:val="10"/>
          </w:tcPr>
          <w:p>
            <w:pPr>
              <w:pStyle w:val="TableParagraph"/>
              <w:spacing w:before="23"/>
              <w:ind w:left="69"/>
              <w:rPr>
                <w:sz w:val="18"/>
              </w:rPr>
            </w:pPr>
            <w:r>
              <w:rPr>
                <w:sz w:val="18"/>
              </w:rPr>
              <w:t>Programas</w:t>
            </w:r>
            <w:r>
              <w:rPr>
                <w:spacing w:val="2"/>
                <w:sz w:val="18"/>
              </w:rPr>
              <w:t> </w:t>
            </w:r>
            <w:r>
              <w:rPr>
                <w:sz w:val="18"/>
              </w:rPr>
              <w:t>de</w:t>
            </w:r>
            <w:r>
              <w:rPr>
                <w:spacing w:val="-1"/>
                <w:sz w:val="18"/>
              </w:rPr>
              <w:t> </w:t>
            </w:r>
            <w:r>
              <w:rPr>
                <w:sz w:val="18"/>
              </w:rPr>
              <w:t>formación</w:t>
            </w:r>
            <w:r>
              <w:rPr>
                <w:spacing w:val="1"/>
                <w:sz w:val="18"/>
              </w:rPr>
              <w:t> </w:t>
            </w:r>
            <w:r>
              <w:rPr>
                <w:sz w:val="18"/>
              </w:rPr>
              <w:t>inicial</w:t>
            </w:r>
            <w:r>
              <w:rPr>
                <w:spacing w:val="1"/>
                <w:sz w:val="18"/>
              </w:rPr>
              <w:t> </w:t>
            </w:r>
            <w:r>
              <w:rPr>
                <w:sz w:val="18"/>
              </w:rPr>
              <w:t>y programas</w:t>
            </w:r>
            <w:r>
              <w:rPr>
                <w:spacing w:val="-1"/>
                <w:sz w:val="18"/>
              </w:rPr>
              <w:t> </w:t>
            </w:r>
            <w:r>
              <w:rPr>
                <w:sz w:val="18"/>
              </w:rPr>
              <w:t>de</w:t>
            </w:r>
            <w:r>
              <w:rPr>
                <w:spacing w:val="-1"/>
                <w:sz w:val="18"/>
              </w:rPr>
              <w:t> </w:t>
            </w:r>
            <w:r>
              <w:rPr>
                <w:sz w:val="18"/>
              </w:rPr>
              <w:t>formación</w:t>
            </w:r>
            <w:r>
              <w:rPr>
                <w:spacing w:val="1"/>
                <w:sz w:val="18"/>
              </w:rPr>
              <w:t> </w:t>
            </w:r>
            <w:r>
              <w:rPr>
                <w:sz w:val="18"/>
              </w:rPr>
              <w:t>en</w:t>
            </w:r>
            <w:r>
              <w:rPr>
                <w:spacing w:val="1"/>
                <w:sz w:val="18"/>
              </w:rPr>
              <w:t> </w:t>
            </w:r>
            <w:r>
              <w:rPr>
                <w:sz w:val="18"/>
              </w:rPr>
              <w:t>servicio</w:t>
            </w:r>
            <w:r>
              <w:rPr>
                <w:spacing w:val="2"/>
                <w:sz w:val="18"/>
              </w:rPr>
              <w:t> </w:t>
            </w:r>
            <w:r>
              <w:rPr>
                <w:sz w:val="18"/>
              </w:rPr>
              <w:t>a</w:t>
            </w:r>
            <w:r>
              <w:rPr>
                <w:spacing w:val="-1"/>
                <w:sz w:val="18"/>
              </w:rPr>
              <w:t> </w:t>
            </w:r>
            <w:r>
              <w:rPr>
                <w:sz w:val="18"/>
              </w:rPr>
              <w:t>docentes</w:t>
            </w:r>
            <w:r>
              <w:rPr>
                <w:spacing w:val="1"/>
                <w:sz w:val="18"/>
              </w:rPr>
              <w:t> </w:t>
            </w:r>
            <w:r>
              <w:rPr>
                <w:spacing w:val="-5"/>
                <w:sz w:val="18"/>
              </w:rPr>
              <w:t>con</w:t>
            </w:r>
          </w:p>
          <w:p>
            <w:pPr>
              <w:pStyle w:val="TableParagraph"/>
              <w:spacing w:line="201" w:lineRule="exact" w:before="37"/>
              <w:ind w:left="69"/>
              <w:rPr>
                <w:sz w:val="18"/>
              </w:rPr>
            </w:pPr>
            <w:r>
              <w:rPr>
                <w:sz w:val="18"/>
              </w:rPr>
              <w:t>enfoque</w:t>
            </w:r>
            <w:r>
              <w:rPr>
                <w:spacing w:val="-3"/>
                <w:sz w:val="18"/>
              </w:rPr>
              <w:t> </w:t>
            </w:r>
            <w:r>
              <w:rPr>
                <w:sz w:val="18"/>
              </w:rPr>
              <w:t>de</w:t>
            </w:r>
            <w:r>
              <w:rPr>
                <w:spacing w:val="-3"/>
                <w:sz w:val="18"/>
              </w:rPr>
              <w:t> </w:t>
            </w:r>
            <w:r>
              <w:rPr>
                <w:sz w:val="18"/>
              </w:rPr>
              <w:t>igualdad</w:t>
            </w:r>
            <w:r>
              <w:rPr>
                <w:spacing w:val="-3"/>
                <w:sz w:val="18"/>
              </w:rPr>
              <w:t> </w:t>
            </w:r>
            <w:r>
              <w:rPr>
                <w:sz w:val="18"/>
              </w:rPr>
              <w:t>de</w:t>
            </w:r>
            <w:r>
              <w:rPr>
                <w:spacing w:val="-3"/>
                <w:sz w:val="18"/>
              </w:rPr>
              <w:t> </w:t>
            </w:r>
            <w:r>
              <w:rPr>
                <w:sz w:val="18"/>
              </w:rPr>
              <w:t>género</w:t>
            </w:r>
            <w:r>
              <w:rPr>
                <w:spacing w:val="-3"/>
                <w:sz w:val="18"/>
              </w:rPr>
              <w:t> </w:t>
            </w:r>
            <w:r>
              <w:rPr>
                <w:sz w:val="18"/>
              </w:rPr>
              <w:t>de</w:t>
            </w:r>
            <w:r>
              <w:rPr>
                <w:spacing w:val="-2"/>
                <w:sz w:val="18"/>
              </w:rPr>
              <w:t> </w:t>
            </w:r>
            <w:r>
              <w:rPr>
                <w:sz w:val="18"/>
              </w:rPr>
              <w:t>la</w:t>
            </w:r>
            <w:r>
              <w:rPr>
                <w:spacing w:val="-2"/>
                <w:sz w:val="18"/>
              </w:rPr>
              <w:t> </w:t>
            </w:r>
            <w:r>
              <w:rPr>
                <w:sz w:val="18"/>
              </w:rPr>
              <w:t>Política</w:t>
            </w:r>
            <w:r>
              <w:rPr>
                <w:spacing w:val="-2"/>
                <w:sz w:val="18"/>
              </w:rPr>
              <w:t> </w:t>
            </w:r>
            <w:r>
              <w:rPr>
                <w:sz w:val="18"/>
              </w:rPr>
              <w:t>Nacional</w:t>
            </w:r>
            <w:r>
              <w:rPr>
                <w:spacing w:val="-4"/>
                <w:sz w:val="18"/>
              </w:rPr>
              <w:t> </w:t>
            </w:r>
            <w:r>
              <w:rPr>
                <w:sz w:val="18"/>
              </w:rPr>
              <w:t>de</w:t>
            </w:r>
            <w:r>
              <w:rPr>
                <w:spacing w:val="-3"/>
                <w:sz w:val="18"/>
              </w:rPr>
              <w:t> </w:t>
            </w:r>
            <w:r>
              <w:rPr>
                <w:sz w:val="18"/>
              </w:rPr>
              <w:t>Igualdad</w:t>
            </w:r>
            <w:r>
              <w:rPr>
                <w:spacing w:val="-4"/>
                <w:sz w:val="18"/>
              </w:rPr>
              <w:t> </w:t>
            </w:r>
            <w:r>
              <w:rPr>
                <w:sz w:val="18"/>
              </w:rPr>
              <w:t>de</w:t>
            </w:r>
            <w:r>
              <w:rPr>
                <w:spacing w:val="-4"/>
                <w:sz w:val="18"/>
              </w:rPr>
              <w:t> </w:t>
            </w:r>
            <w:r>
              <w:rPr>
                <w:sz w:val="18"/>
              </w:rPr>
              <w:t>Género</w:t>
            </w:r>
            <w:r>
              <w:rPr>
                <w:spacing w:val="-3"/>
                <w:sz w:val="18"/>
              </w:rPr>
              <w:t> </w:t>
            </w:r>
            <w:r>
              <w:rPr>
                <w:spacing w:val="-2"/>
                <w:sz w:val="18"/>
              </w:rPr>
              <w:t>PNIG.</w:t>
            </w:r>
          </w:p>
        </w:tc>
      </w:tr>
      <w:tr>
        <w:trPr>
          <w:trHeight w:val="491" w:hRule="atLeast"/>
        </w:trPr>
        <w:tc>
          <w:tcPr>
            <w:tcW w:w="1008" w:type="dxa"/>
            <w:shd w:val="clear" w:color="auto" w:fill="44536A"/>
          </w:tcPr>
          <w:p>
            <w:pPr>
              <w:pStyle w:val="TableParagraph"/>
              <w:spacing w:before="147"/>
              <w:ind w:left="122"/>
              <w:rPr>
                <w:sz w:val="18"/>
              </w:rPr>
            </w:pPr>
            <w:r>
              <w:rPr>
                <w:color w:val="FFFFFF"/>
                <w:spacing w:val="-2"/>
                <w:w w:val="105"/>
                <w:sz w:val="18"/>
              </w:rPr>
              <w:t>Indicador</w:t>
            </w:r>
          </w:p>
        </w:tc>
        <w:tc>
          <w:tcPr>
            <w:tcW w:w="7493" w:type="dxa"/>
            <w:gridSpan w:val="10"/>
          </w:tcPr>
          <w:p>
            <w:pPr>
              <w:pStyle w:val="TableParagraph"/>
              <w:spacing w:before="25"/>
              <w:ind w:left="69"/>
              <w:rPr>
                <w:sz w:val="18"/>
              </w:rPr>
            </w:pPr>
            <w:r>
              <w:rPr>
                <w:sz w:val="18"/>
              </w:rPr>
              <w:t>Porcentaje</w:t>
            </w:r>
            <w:r>
              <w:rPr>
                <w:spacing w:val="1"/>
                <w:sz w:val="18"/>
              </w:rPr>
              <w:t> </w:t>
            </w:r>
            <w:r>
              <w:rPr>
                <w:sz w:val="18"/>
              </w:rPr>
              <w:t>de programas</w:t>
            </w:r>
            <w:r>
              <w:rPr>
                <w:spacing w:val="2"/>
                <w:sz w:val="18"/>
              </w:rPr>
              <w:t> </w:t>
            </w:r>
            <w:r>
              <w:rPr>
                <w:sz w:val="18"/>
              </w:rPr>
              <w:t>y/o acciones</w:t>
            </w:r>
            <w:r>
              <w:rPr>
                <w:spacing w:val="-1"/>
                <w:sz w:val="18"/>
              </w:rPr>
              <w:t> </w:t>
            </w:r>
            <w:r>
              <w:rPr>
                <w:sz w:val="18"/>
              </w:rPr>
              <w:t>de</w:t>
            </w:r>
            <w:r>
              <w:rPr>
                <w:spacing w:val="2"/>
                <w:sz w:val="18"/>
              </w:rPr>
              <w:t> </w:t>
            </w:r>
            <w:r>
              <w:rPr>
                <w:sz w:val="18"/>
              </w:rPr>
              <w:t>formación</w:t>
            </w:r>
            <w:r>
              <w:rPr>
                <w:spacing w:val="1"/>
                <w:sz w:val="18"/>
              </w:rPr>
              <w:t> </w:t>
            </w:r>
            <w:r>
              <w:rPr>
                <w:sz w:val="18"/>
              </w:rPr>
              <w:t>docente</w:t>
            </w:r>
            <w:r>
              <w:rPr>
                <w:spacing w:val="2"/>
                <w:sz w:val="18"/>
              </w:rPr>
              <w:t> </w:t>
            </w:r>
            <w:r>
              <w:rPr>
                <w:sz w:val="18"/>
              </w:rPr>
              <w:t>en servicio</w:t>
            </w:r>
            <w:r>
              <w:rPr>
                <w:spacing w:val="3"/>
                <w:sz w:val="18"/>
              </w:rPr>
              <w:t> </w:t>
            </w:r>
            <w:r>
              <w:rPr>
                <w:spacing w:val="-2"/>
                <w:sz w:val="18"/>
              </w:rPr>
              <w:t>implementados</w:t>
            </w:r>
          </w:p>
          <w:p>
            <w:pPr>
              <w:pStyle w:val="TableParagraph"/>
              <w:spacing w:line="201" w:lineRule="exact" w:before="38"/>
              <w:ind w:left="69"/>
              <w:rPr>
                <w:sz w:val="18"/>
              </w:rPr>
            </w:pPr>
            <w:r>
              <w:rPr>
                <w:sz w:val="18"/>
              </w:rPr>
              <w:t>con</w:t>
            </w:r>
            <w:r>
              <w:rPr>
                <w:spacing w:val="-1"/>
                <w:sz w:val="18"/>
              </w:rPr>
              <w:t> </w:t>
            </w:r>
            <w:r>
              <w:rPr>
                <w:sz w:val="18"/>
              </w:rPr>
              <w:t>Enfoque</w:t>
            </w:r>
            <w:r>
              <w:rPr>
                <w:spacing w:val="-1"/>
                <w:sz w:val="18"/>
              </w:rPr>
              <w:t> </w:t>
            </w:r>
            <w:r>
              <w:rPr>
                <w:sz w:val="18"/>
              </w:rPr>
              <w:t>de</w:t>
            </w:r>
            <w:r>
              <w:rPr>
                <w:spacing w:val="-3"/>
                <w:sz w:val="18"/>
              </w:rPr>
              <w:t> </w:t>
            </w:r>
            <w:r>
              <w:rPr>
                <w:sz w:val="18"/>
              </w:rPr>
              <w:t>Igualdad</w:t>
            </w:r>
            <w:r>
              <w:rPr>
                <w:spacing w:val="-1"/>
                <w:sz w:val="18"/>
              </w:rPr>
              <w:t> </w:t>
            </w:r>
            <w:r>
              <w:rPr>
                <w:sz w:val="18"/>
              </w:rPr>
              <w:t>de</w:t>
            </w:r>
            <w:r>
              <w:rPr>
                <w:spacing w:val="-1"/>
                <w:sz w:val="18"/>
              </w:rPr>
              <w:t> </w:t>
            </w:r>
            <w:r>
              <w:rPr>
                <w:spacing w:val="-2"/>
                <w:sz w:val="18"/>
              </w:rPr>
              <w:t>Género.</w:t>
            </w:r>
          </w:p>
        </w:tc>
      </w:tr>
      <w:tr>
        <w:trPr>
          <w:trHeight w:val="299" w:hRule="atLeast"/>
        </w:trPr>
        <w:tc>
          <w:tcPr>
            <w:tcW w:w="1008" w:type="dxa"/>
            <w:shd w:val="clear" w:color="auto" w:fill="808080"/>
          </w:tcPr>
          <w:p>
            <w:pPr>
              <w:pStyle w:val="TableParagraph"/>
              <w:spacing w:before="49"/>
              <w:ind w:left="9" w:right="2"/>
              <w:jc w:val="center"/>
              <w:rPr>
                <w:sz w:val="18"/>
              </w:rPr>
            </w:pPr>
            <w:r>
              <w:rPr>
                <w:color w:val="FFFFFF"/>
                <w:spacing w:val="-5"/>
                <w:sz w:val="18"/>
              </w:rPr>
              <w:t>Año</w:t>
            </w:r>
          </w:p>
        </w:tc>
        <w:tc>
          <w:tcPr>
            <w:tcW w:w="850" w:type="dxa"/>
            <w:shd w:val="clear" w:color="auto" w:fill="808080"/>
          </w:tcPr>
          <w:p>
            <w:pPr>
              <w:pStyle w:val="TableParagraph"/>
              <w:spacing w:before="49"/>
              <w:ind w:left="88"/>
              <w:rPr>
                <w:sz w:val="18"/>
              </w:rPr>
            </w:pPr>
            <w:r>
              <w:rPr>
                <w:color w:val="FFFFFF"/>
                <w:sz w:val="18"/>
              </w:rPr>
              <w:t>Valor</w:t>
            </w:r>
            <w:r>
              <w:rPr>
                <w:color w:val="FFFFFF"/>
                <w:spacing w:val="-12"/>
                <w:sz w:val="18"/>
              </w:rPr>
              <w:t> </w:t>
            </w:r>
            <w:r>
              <w:rPr>
                <w:color w:val="FFFFFF"/>
                <w:spacing w:val="-5"/>
                <w:sz w:val="18"/>
              </w:rPr>
              <w:t>LB</w:t>
            </w:r>
          </w:p>
        </w:tc>
        <w:tc>
          <w:tcPr>
            <w:tcW w:w="639" w:type="dxa"/>
            <w:shd w:val="clear" w:color="auto" w:fill="808080"/>
          </w:tcPr>
          <w:p>
            <w:pPr>
              <w:pStyle w:val="TableParagraph"/>
              <w:spacing w:before="49"/>
              <w:ind w:left="8"/>
              <w:jc w:val="center"/>
              <w:rPr>
                <w:sz w:val="18"/>
              </w:rPr>
            </w:pPr>
            <w:r>
              <w:rPr>
                <w:color w:val="FFFFFF"/>
                <w:spacing w:val="-4"/>
                <w:sz w:val="18"/>
              </w:rPr>
              <w:t>2022</w:t>
            </w:r>
          </w:p>
        </w:tc>
        <w:tc>
          <w:tcPr>
            <w:tcW w:w="838" w:type="dxa"/>
            <w:shd w:val="clear" w:color="auto" w:fill="808080"/>
          </w:tcPr>
          <w:p>
            <w:pPr>
              <w:pStyle w:val="TableParagraph"/>
              <w:spacing w:before="49"/>
              <w:ind w:left="10"/>
              <w:jc w:val="center"/>
              <w:rPr>
                <w:sz w:val="18"/>
              </w:rPr>
            </w:pPr>
            <w:r>
              <w:rPr>
                <w:color w:val="FFFFFF"/>
                <w:spacing w:val="-4"/>
                <w:sz w:val="18"/>
              </w:rPr>
              <w:t>2023</w:t>
            </w:r>
          </w:p>
        </w:tc>
        <w:tc>
          <w:tcPr>
            <w:tcW w:w="737" w:type="dxa"/>
            <w:shd w:val="clear" w:color="auto" w:fill="808080"/>
          </w:tcPr>
          <w:p>
            <w:pPr>
              <w:pStyle w:val="TableParagraph"/>
              <w:spacing w:before="49"/>
              <w:ind w:left="10"/>
              <w:jc w:val="center"/>
              <w:rPr>
                <w:sz w:val="18"/>
              </w:rPr>
            </w:pPr>
            <w:r>
              <w:rPr>
                <w:color w:val="FFFFFF"/>
                <w:spacing w:val="-4"/>
                <w:sz w:val="18"/>
              </w:rPr>
              <w:t>2024</w:t>
            </w:r>
          </w:p>
        </w:tc>
        <w:tc>
          <w:tcPr>
            <w:tcW w:w="739" w:type="dxa"/>
            <w:shd w:val="clear" w:color="auto" w:fill="808080"/>
          </w:tcPr>
          <w:p>
            <w:pPr>
              <w:pStyle w:val="TableParagraph"/>
              <w:spacing w:before="49"/>
              <w:ind w:left="8" w:right="1"/>
              <w:jc w:val="center"/>
              <w:rPr>
                <w:sz w:val="18"/>
              </w:rPr>
            </w:pPr>
            <w:r>
              <w:rPr>
                <w:color w:val="FFFFFF"/>
                <w:spacing w:val="-4"/>
                <w:sz w:val="18"/>
              </w:rPr>
              <w:t>2025</w:t>
            </w:r>
          </w:p>
        </w:tc>
        <w:tc>
          <w:tcPr>
            <w:tcW w:w="737" w:type="dxa"/>
            <w:shd w:val="clear" w:color="auto" w:fill="808080"/>
          </w:tcPr>
          <w:p>
            <w:pPr>
              <w:pStyle w:val="TableParagraph"/>
              <w:spacing w:before="49"/>
              <w:ind w:left="10"/>
              <w:jc w:val="center"/>
              <w:rPr>
                <w:sz w:val="18"/>
              </w:rPr>
            </w:pPr>
            <w:r>
              <w:rPr>
                <w:color w:val="FFFFFF"/>
                <w:spacing w:val="-4"/>
                <w:sz w:val="18"/>
              </w:rPr>
              <w:t>2026</w:t>
            </w:r>
          </w:p>
        </w:tc>
        <w:tc>
          <w:tcPr>
            <w:tcW w:w="739" w:type="dxa"/>
            <w:shd w:val="clear" w:color="auto" w:fill="808080"/>
          </w:tcPr>
          <w:p>
            <w:pPr>
              <w:pStyle w:val="TableParagraph"/>
              <w:spacing w:before="49"/>
              <w:ind w:left="8"/>
              <w:jc w:val="center"/>
              <w:rPr>
                <w:sz w:val="18"/>
              </w:rPr>
            </w:pPr>
            <w:r>
              <w:rPr>
                <w:color w:val="FFFFFF"/>
                <w:spacing w:val="-4"/>
                <w:sz w:val="18"/>
              </w:rPr>
              <w:t>2027</w:t>
            </w:r>
          </w:p>
        </w:tc>
        <w:tc>
          <w:tcPr>
            <w:tcW w:w="737" w:type="dxa"/>
            <w:shd w:val="clear" w:color="auto" w:fill="808080"/>
          </w:tcPr>
          <w:p>
            <w:pPr>
              <w:pStyle w:val="TableParagraph"/>
              <w:spacing w:before="49"/>
              <w:ind w:left="10"/>
              <w:jc w:val="center"/>
              <w:rPr>
                <w:sz w:val="18"/>
              </w:rPr>
            </w:pPr>
            <w:r>
              <w:rPr>
                <w:color w:val="FFFFFF"/>
                <w:spacing w:val="-4"/>
                <w:sz w:val="18"/>
              </w:rPr>
              <w:t>2028</w:t>
            </w:r>
          </w:p>
        </w:tc>
        <w:tc>
          <w:tcPr>
            <w:tcW w:w="740" w:type="dxa"/>
            <w:shd w:val="clear" w:color="auto" w:fill="808080"/>
          </w:tcPr>
          <w:p>
            <w:pPr>
              <w:pStyle w:val="TableParagraph"/>
              <w:spacing w:before="49"/>
              <w:ind w:left="7"/>
              <w:jc w:val="center"/>
              <w:rPr>
                <w:sz w:val="18"/>
              </w:rPr>
            </w:pPr>
            <w:r>
              <w:rPr>
                <w:color w:val="FFFFFF"/>
                <w:spacing w:val="-4"/>
                <w:sz w:val="18"/>
              </w:rPr>
              <w:t>2029</w:t>
            </w:r>
          </w:p>
        </w:tc>
        <w:tc>
          <w:tcPr>
            <w:tcW w:w="737" w:type="dxa"/>
            <w:shd w:val="clear" w:color="auto" w:fill="808080"/>
          </w:tcPr>
          <w:p>
            <w:pPr>
              <w:pStyle w:val="TableParagraph"/>
              <w:spacing w:before="49"/>
              <w:ind w:left="10"/>
              <w:jc w:val="center"/>
              <w:rPr>
                <w:sz w:val="18"/>
              </w:rPr>
            </w:pPr>
            <w:r>
              <w:rPr>
                <w:color w:val="FFFFFF"/>
                <w:spacing w:val="-4"/>
                <w:sz w:val="18"/>
              </w:rPr>
              <w:t>2030</w:t>
            </w:r>
          </w:p>
        </w:tc>
      </w:tr>
      <w:tr>
        <w:trPr>
          <w:trHeight w:val="436" w:hRule="atLeast"/>
        </w:trPr>
        <w:tc>
          <w:tcPr>
            <w:tcW w:w="1008" w:type="dxa"/>
            <w:shd w:val="clear" w:color="auto" w:fill="44536A"/>
          </w:tcPr>
          <w:p>
            <w:pPr>
              <w:pStyle w:val="TableParagraph"/>
              <w:spacing w:before="119"/>
              <w:ind w:left="69"/>
              <w:rPr>
                <w:sz w:val="18"/>
              </w:rPr>
            </w:pPr>
            <w:r>
              <w:rPr>
                <w:color w:val="FFFFFF"/>
                <w:spacing w:val="-2"/>
                <w:sz w:val="18"/>
              </w:rPr>
              <w:t>Metas</w:t>
            </w:r>
          </w:p>
        </w:tc>
        <w:tc>
          <w:tcPr>
            <w:tcW w:w="850" w:type="dxa"/>
          </w:tcPr>
          <w:p>
            <w:pPr>
              <w:pStyle w:val="TableParagraph"/>
              <w:spacing w:before="20"/>
              <w:ind w:left="10" w:right="4"/>
              <w:jc w:val="center"/>
              <w:rPr>
                <w:sz w:val="16"/>
              </w:rPr>
            </w:pPr>
            <w:r>
              <w:rPr>
                <w:spacing w:val="-5"/>
                <w:sz w:val="16"/>
              </w:rPr>
              <w:t>No</w:t>
            </w:r>
          </w:p>
          <w:p>
            <w:pPr>
              <w:pStyle w:val="TableParagraph"/>
              <w:spacing w:line="178" w:lineRule="exact" w:before="34"/>
              <w:ind w:left="10" w:right="4"/>
              <w:jc w:val="center"/>
              <w:rPr>
                <w:sz w:val="16"/>
              </w:rPr>
            </w:pPr>
            <w:r>
              <w:rPr>
                <w:spacing w:val="-2"/>
                <w:w w:val="105"/>
                <w:sz w:val="16"/>
              </w:rPr>
              <w:t>definido</w:t>
            </w:r>
          </w:p>
        </w:tc>
        <w:tc>
          <w:tcPr>
            <w:tcW w:w="639" w:type="dxa"/>
          </w:tcPr>
          <w:p>
            <w:pPr>
              <w:pStyle w:val="TableParagraph"/>
              <w:spacing w:before="128"/>
              <w:ind w:left="8" w:right="5"/>
              <w:jc w:val="center"/>
              <w:rPr>
                <w:sz w:val="16"/>
              </w:rPr>
            </w:pPr>
            <w:r>
              <w:rPr>
                <w:spacing w:val="-2"/>
                <w:sz w:val="16"/>
              </w:rPr>
              <w:t>5.00%</w:t>
            </w:r>
          </w:p>
        </w:tc>
        <w:tc>
          <w:tcPr>
            <w:tcW w:w="838" w:type="dxa"/>
          </w:tcPr>
          <w:p>
            <w:pPr>
              <w:pStyle w:val="TableParagraph"/>
              <w:spacing w:before="128"/>
              <w:ind w:left="10" w:right="5"/>
              <w:jc w:val="center"/>
              <w:rPr>
                <w:sz w:val="16"/>
              </w:rPr>
            </w:pPr>
            <w:r>
              <w:rPr>
                <w:spacing w:val="-2"/>
                <w:sz w:val="16"/>
              </w:rPr>
              <w:t>15.00%</w:t>
            </w:r>
          </w:p>
        </w:tc>
        <w:tc>
          <w:tcPr>
            <w:tcW w:w="737" w:type="dxa"/>
          </w:tcPr>
          <w:p>
            <w:pPr>
              <w:pStyle w:val="TableParagraph"/>
              <w:spacing w:before="128"/>
              <w:ind w:left="10" w:right="5"/>
              <w:jc w:val="center"/>
              <w:rPr>
                <w:sz w:val="16"/>
              </w:rPr>
            </w:pPr>
            <w:r>
              <w:rPr>
                <w:spacing w:val="-2"/>
                <w:sz w:val="16"/>
              </w:rPr>
              <w:t>30.00%</w:t>
            </w:r>
          </w:p>
        </w:tc>
        <w:tc>
          <w:tcPr>
            <w:tcW w:w="739" w:type="dxa"/>
          </w:tcPr>
          <w:p>
            <w:pPr>
              <w:pStyle w:val="TableParagraph"/>
              <w:spacing w:before="128"/>
              <w:ind w:left="8" w:right="6"/>
              <w:jc w:val="center"/>
              <w:rPr>
                <w:sz w:val="16"/>
              </w:rPr>
            </w:pPr>
            <w:r>
              <w:rPr>
                <w:spacing w:val="-2"/>
                <w:sz w:val="16"/>
              </w:rPr>
              <w:t>45.00%</w:t>
            </w:r>
          </w:p>
        </w:tc>
        <w:tc>
          <w:tcPr>
            <w:tcW w:w="737" w:type="dxa"/>
          </w:tcPr>
          <w:p>
            <w:pPr>
              <w:pStyle w:val="TableParagraph"/>
              <w:spacing w:before="128"/>
              <w:ind w:left="10" w:right="4"/>
              <w:jc w:val="center"/>
              <w:rPr>
                <w:sz w:val="16"/>
              </w:rPr>
            </w:pPr>
            <w:r>
              <w:rPr>
                <w:spacing w:val="-2"/>
                <w:sz w:val="16"/>
              </w:rPr>
              <w:t>55.00%</w:t>
            </w:r>
          </w:p>
        </w:tc>
        <w:tc>
          <w:tcPr>
            <w:tcW w:w="739" w:type="dxa"/>
          </w:tcPr>
          <w:p>
            <w:pPr>
              <w:pStyle w:val="TableParagraph"/>
              <w:spacing w:before="128"/>
              <w:ind w:left="8" w:right="5"/>
              <w:jc w:val="center"/>
              <w:rPr>
                <w:sz w:val="16"/>
              </w:rPr>
            </w:pPr>
            <w:r>
              <w:rPr>
                <w:spacing w:val="-2"/>
                <w:sz w:val="16"/>
              </w:rPr>
              <w:t>65.00%</w:t>
            </w:r>
          </w:p>
        </w:tc>
        <w:tc>
          <w:tcPr>
            <w:tcW w:w="737" w:type="dxa"/>
          </w:tcPr>
          <w:p>
            <w:pPr>
              <w:pStyle w:val="TableParagraph"/>
              <w:spacing w:before="128"/>
              <w:ind w:left="10" w:right="4"/>
              <w:jc w:val="center"/>
              <w:rPr>
                <w:sz w:val="16"/>
              </w:rPr>
            </w:pPr>
            <w:r>
              <w:rPr>
                <w:spacing w:val="-2"/>
                <w:sz w:val="16"/>
              </w:rPr>
              <w:t>75.00%</w:t>
            </w:r>
          </w:p>
        </w:tc>
        <w:tc>
          <w:tcPr>
            <w:tcW w:w="740" w:type="dxa"/>
          </w:tcPr>
          <w:p>
            <w:pPr>
              <w:pStyle w:val="TableParagraph"/>
              <w:spacing w:before="128"/>
              <w:ind w:left="7" w:right="5"/>
              <w:jc w:val="center"/>
              <w:rPr>
                <w:sz w:val="16"/>
              </w:rPr>
            </w:pPr>
            <w:r>
              <w:rPr>
                <w:spacing w:val="-2"/>
                <w:sz w:val="16"/>
              </w:rPr>
              <w:t>85.00%</w:t>
            </w:r>
          </w:p>
        </w:tc>
        <w:tc>
          <w:tcPr>
            <w:tcW w:w="737" w:type="dxa"/>
          </w:tcPr>
          <w:p>
            <w:pPr>
              <w:pStyle w:val="TableParagraph"/>
              <w:spacing w:before="128"/>
              <w:ind w:left="10" w:right="5"/>
              <w:jc w:val="center"/>
              <w:rPr>
                <w:sz w:val="16"/>
              </w:rPr>
            </w:pPr>
            <w:r>
              <w:rPr>
                <w:spacing w:val="-2"/>
                <w:sz w:val="16"/>
              </w:rPr>
              <w:t>95.00%</w:t>
            </w:r>
          </w:p>
        </w:tc>
      </w:tr>
      <w:tr>
        <w:trPr>
          <w:trHeight w:val="568" w:hRule="atLeast"/>
        </w:trPr>
        <w:tc>
          <w:tcPr>
            <w:tcW w:w="1008"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850" w:type="dxa"/>
            <w:shd w:val="clear" w:color="auto" w:fill="C8C8C8"/>
          </w:tcPr>
          <w:p>
            <w:pPr>
              <w:pStyle w:val="TableParagraph"/>
              <w:rPr>
                <w:rFonts w:ascii="Times New Roman"/>
                <w:sz w:val="20"/>
              </w:rPr>
            </w:pPr>
          </w:p>
        </w:tc>
        <w:tc>
          <w:tcPr>
            <w:tcW w:w="639" w:type="dxa"/>
          </w:tcPr>
          <w:p>
            <w:pPr>
              <w:pStyle w:val="TableParagraph"/>
              <w:spacing w:before="11"/>
              <w:rPr>
                <w:sz w:val="16"/>
              </w:rPr>
            </w:pPr>
          </w:p>
          <w:p>
            <w:pPr>
              <w:pStyle w:val="TableParagraph"/>
              <w:ind w:left="8" w:right="3"/>
              <w:jc w:val="center"/>
              <w:rPr>
                <w:sz w:val="16"/>
              </w:rPr>
            </w:pPr>
            <w:r>
              <w:rPr>
                <w:spacing w:val="-5"/>
                <w:sz w:val="16"/>
              </w:rPr>
              <w:t>ND</w:t>
            </w:r>
          </w:p>
        </w:tc>
        <w:tc>
          <w:tcPr>
            <w:tcW w:w="838" w:type="dxa"/>
          </w:tcPr>
          <w:p>
            <w:pPr>
              <w:pStyle w:val="TableParagraph"/>
              <w:spacing w:before="11"/>
              <w:rPr>
                <w:sz w:val="16"/>
              </w:rPr>
            </w:pPr>
          </w:p>
          <w:p>
            <w:pPr>
              <w:pStyle w:val="TableParagraph"/>
              <w:ind w:left="10" w:right="5"/>
              <w:jc w:val="center"/>
              <w:rPr>
                <w:sz w:val="16"/>
              </w:rPr>
            </w:pPr>
            <w:r>
              <w:rPr>
                <w:spacing w:val="-2"/>
                <w:sz w:val="16"/>
              </w:rPr>
              <w:t>100.00%</w:t>
            </w:r>
          </w:p>
        </w:tc>
        <w:tc>
          <w:tcPr>
            <w:tcW w:w="737" w:type="dxa"/>
            <w:shd w:val="clear" w:color="auto" w:fill="C8C8C8"/>
          </w:tcPr>
          <w:p>
            <w:pPr>
              <w:pStyle w:val="TableParagraph"/>
              <w:rPr>
                <w:rFonts w:ascii="Times New Roman"/>
                <w:sz w:val="20"/>
              </w:rPr>
            </w:pPr>
          </w:p>
        </w:tc>
        <w:tc>
          <w:tcPr>
            <w:tcW w:w="739" w:type="dxa"/>
            <w:shd w:val="clear" w:color="auto" w:fill="C8C8C8"/>
          </w:tcPr>
          <w:p>
            <w:pPr>
              <w:pStyle w:val="TableParagraph"/>
              <w:rPr>
                <w:rFonts w:ascii="Times New Roman"/>
                <w:sz w:val="20"/>
              </w:rPr>
            </w:pPr>
          </w:p>
        </w:tc>
        <w:tc>
          <w:tcPr>
            <w:tcW w:w="737" w:type="dxa"/>
            <w:shd w:val="clear" w:color="auto" w:fill="C8C8C8"/>
          </w:tcPr>
          <w:p>
            <w:pPr>
              <w:pStyle w:val="TableParagraph"/>
              <w:rPr>
                <w:rFonts w:ascii="Times New Roman"/>
                <w:sz w:val="20"/>
              </w:rPr>
            </w:pPr>
          </w:p>
        </w:tc>
        <w:tc>
          <w:tcPr>
            <w:tcW w:w="739" w:type="dxa"/>
            <w:shd w:val="clear" w:color="auto" w:fill="C8C8C8"/>
          </w:tcPr>
          <w:p>
            <w:pPr>
              <w:pStyle w:val="TableParagraph"/>
              <w:rPr>
                <w:rFonts w:ascii="Times New Roman"/>
                <w:sz w:val="20"/>
              </w:rPr>
            </w:pPr>
          </w:p>
        </w:tc>
        <w:tc>
          <w:tcPr>
            <w:tcW w:w="737" w:type="dxa"/>
            <w:shd w:val="clear" w:color="auto" w:fill="C8C8C8"/>
          </w:tcPr>
          <w:p>
            <w:pPr>
              <w:pStyle w:val="TableParagraph"/>
              <w:rPr>
                <w:rFonts w:ascii="Times New Roman"/>
                <w:sz w:val="20"/>
              </w:rPr>
            </w:pPr>
          </w:p>
        </w:tc>
        <w:tc>
          <w:tcPr>
            <w:tcW w:w="740" w:type="dxa"/>
            <w:shd w:val="clear" w:color="auto" w:fill="C8C8C8"/>
          </w:tcPr>
          <w:p>
            <w:pPr>
              <w:pStyle w:val="TableParagraph"/>
              <w:rPr>
                <w:rFonts w:ascii="Times New Roman"/>
                <w:sz w:val="20"/>
              </w:rPr>
            </w:pPr>
          </w:p>
        </w:tc>
        <w:tc>
          <w:tcPr>
            <w:tcW w:w="737" w:type="dxa"/>
            <w:shd w:val="clear" w:color="auto" w:fill="C8C8C8"/>
          </w:tcPr>
          <w:p>
            <w:pPr>
              <w:pStyle w:val="TableParagraph"/>
              <w:rPr>
                <w:rFonts w:ascii="Times New Roman"/>
                <w:sz w:val="20"/>
              </w:rPr>
            </w:pPr>
          </w:p>
        </w:tc>
      </w:tr>
      <w:tr>
        <w:trPr>
          <w:trHeight w:val="570" w:hRule="atLeast"/>
        </w:trPr>
        <w:tc>
          <w:tcPr>
            <w:tcW w:w="1008" w:type="dxa"/>
            <w:shd w:val="clear" w:color="auto" w:fill="44536A"/>
          </w:tcPr>
          <w:p>
            <w:pPr>
              <w:pStyle w:val="TableParagraph"/>
              <w:spacing w:line="240" w:lineRule="atLeast" w:before="30"/>
              <w:ind w:left="69" w:right="271"/>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850" w:type="dxa"/>
            <w:shd w:val="clear" w:color="auto" w:fill="C8C8C8"/>
          </w:tcPr>
          <w:p>
            <w:pPr>
              <w:pStyle w:val="TableParagraph"/>
              <w:rPr>
                <w:rFonts w:ascii="Times New Roman"/>
                <w:sz w:val="20"/>
              </w:rPr>
            </w:pPr>
          </w:p>
        </w:tc>
        <w:tc>
          <w:tcPr>
            <w:tcW w:w="639" w:type="dxa"/>
          </w:tcPr>
          <w:p>
            <w:pPr>
              <w:pStyle w:val="TableParagraph"/>
              <w:rPr>
                <w:rFonts w:ascii="Times New Roman"/>
                <w:sz w:val="20"/>
              </w:rPr>
            </w:pPr>
          </w:p>
        </w:tc>
        <w:tc>
          <w:tcPr>
            <w:tcW w:w="838" w:type="dxa"/>
          </w:tcPr>
          <w:p>
            <w:pPr>
              <w:pStyle w:val="TableParagraph"/>
              <w:spacing w:before="13"/>
              <w:rPr>
                <w:sz w:val="16"/>
              </w:rPr>
            </w:pPr>
          </w:p>
          <w:p>
            <w:pPr>
              <w:pStyle w:val="TableParagraph"/>
              <w:ind w:left="10" w:right="5"/>
              <w:jc w:val="center"/>
              <w:rPr>
                <w:sz w:val="16"/>
              </w:rPr>
            </w:pPr>
            <w:r>
              <w:rPr>
                <w:spacing w:val="-2"/>
                <w:sz w:val="16"/>
              </w:rPr>
              <w:t>666.67%</w:t>
            </w:r>
          </w:p>
        </w:tc>
        <w:tc>
          <w:tcPr>
            <w:tcW w:w="737" w:type="dxa"/>
            <w:shd w:val="clear" w:color="auto" w:fill="C8C8C8"/>
          </w:tcPr>
          <w:p>
            <w:pPr>
              <w:pStyle w:val="TableParagraph"/>
              <w:rPr>
                <w:rFonts w:ascii="Times New Roman"/>
                <w:sz w:val="20"/>
              </w:rPr>
            </w:pPr>
          </w:p>
        </w:tc>
        <w:tc>
          <w:tcPr>
            <w:tcW w:w="739" w:type="dxa"/>
            <w:shd w:val="clear" w:color="auto" w:fill="C8C8C8"/>
          </w:tcPr>
          <w:p>
            <w:pPr>
              <w:pStyle w:val="TableParagraph"/>
              <w:rPr>
                <w:rFonts w:ascii="Times New Roman"/>
                <w:sz w:val="20"/>
              </w:rPr>
            </w:pPr>
          </w:p>
        </w:tc>
        <w:tc>
          <w:tcPr>
            <w:tcW w:w="737" w:type="dxa"/>
            <w:shd w:val="clear" w:color="auto" w:fill="C8C8C8"/>
          </w:tcPr>
          <w:p>
            <w:pPr>
              <w:pStyle w:val="TableParagraph"/>
              <w:rPr>
                <w:rFonts w:ascii="Times New Roman"/>
                <w:sz w:val="20"/>
              </w:rPr>
            </w:pPr>
          </w:p>
        </w:tc>
        <w:tc>
          <w:tcPr>
            <w:tcW w:w="739" w:type="dxa"/>
            <w:shd w:val="clear" w:color="auto" w:fill="C8C8C8"/>
          </w:tcPr>
          <w:p>
            <w:pPr>
              <w:pStyle w:val="TableParagraph"/>
              <w:rPr>
                <w:rFonts w:ascii="Times New Roman"/>
                <w:sz w:val="20"/>
              </w:rPr>
            </w:pPr>
          </w:p>
        </w:tc>
        <w:tc>
          <w:tcPr>
            <w:tcW w:w="737" w:type="dxa"/>
            <w:shd w:val="clear" w:color="auto" w:fill="C8C8C8"/>
          </w:tcPr>
          <w:p>
            <w:pPr>
              <w:pStyle w:val="TableParagraph"/>
              <w:rPr>
                <w:rFonts w:ascii="Times New Roman"/>
                <w:sz w:val="20"/>
              </w:rPr>
            </w:pPr>
          </w:p>
        </w:tc>
        <w:tc>
          <w:tcPr>
            <w:tcW w:w="740" w:type="dxa"/>
            <w:shd w:val="clear" w:color="auto" w:fill="C8C8C8"/>
          </w:tcPr>
          <w:p>
            <w:pPr>
              <w:pStyle w:val="TableParagraph"/>
              <w:rPr>
                <w:rFonts w:ascii="Times New Roman"/>
                <w:sz w:val="20"/>
              </w:rPr>
            </w:pPr>
          </w:p>
        </w:tc>
        <w:tc>
          <w:tcPr>
            <w:tcW w:w="737" w:type="dxa"/>
            <w:shd w:val="clear" w:color="auto" w:fill="C8C8C8"/>
          </w:tcPr>
          <w:p>
            <w:pPr>
              <w:pStyle w:val="TableParagraph"/>
              <w:rPr>
                <w:rFonts w:ascii="Times New Roman"/>
                <w:sz w:val="20"/>
              </w:rPr>
            </w:pPr>
          </w:p>
        </w:tc>
      </w:tr>
    </w:tbl>
    <w:p>
      <w:pPr>
        <w:pStyle w:val="BodyText"/>
        <w:rPr>
          <w:sz w:val="22"/>
        </w:rPr>
      </w:pPr>
    </w:p>
    <w:p>
      <w:pPr>
        <w:pStyle w:val="BodyText"/>
        <w:spacing w:before="28"/>
        <w:rPr>
          <w:sz w:val="22"/>
        </w:rPr>
      </w:pPr>
    </w:p>
    <w:p>
      <w:pPr>
        <w:pStyle w:val="BodyText"/>
        <w:spacing w:line="307" w:lineRule="auto"/>
        <w:ind w:left="143" w:right="702"/>
        <w:jc w:val="both"/>
      </w:pPr>
      <w:r>
        <w:rPr/>
        <w:t>En cuanto al tercer indicador, en el 2023 el 93.3% de las IESP/EESP y las instancias de gestión educativa descentralizadas (IGED) recibieron asistencia técnica oportunamente para implementar sus programas de formación inicial y formación en servicio con Enfoque de Igualdad de Género (Tabla 14). Así, el indicador</w:t>
      </w:r>
      <w:r>
        <w:rPr>
          <w:spacing w:val="-13"/>
        </w:rPr>
        <w:t> </w:t>
      </w:r>
      <w:r>
        <w:rPr/>
        <w:t>alcanzó</w:t>
      </w:r>
      <w:r>
        <w:rPr>
          <w:spacing w:val="-12"/>
        </w:rPr>
        <w:t> </w:t>
      </w:r>
      <w:r>
        <w:rPr/>
        <w:t>un</w:t>
      </w:r>
      <w:r>
        <w:rPr>
          <w:spacing w:val="-13"/>
        </w:rPr>
        <w:t> </w:t>
      </w:r>
      <w:r>
        <w:rPr/>
        <w:t>nivel</w:t>
      </w:r>
      <w:r>
        <w:rPr>
          <w:spacing w:val="-12"/>
        </w:rPr>
        <w:t> </w:t>
      </w:r>
      <w:r>
        <w:rPr/>
        <w:t>de</w:t>
      </w:r>
      <w:r>
        <w:rPr>
          <w:spacing w:val="-12"/>
        </w:rPr>
        <w:t> </w:t>
      </w:r>
      <w:r>
        <w:rPr/>
        <w:t>avance</w:t>
      </w:r>
      <w:r>
        <w:rPr>
          <w:spacing w:val="-12"/>
        </w:rPr>
        <w:t> </w:t>
      </w:r>
      <w:r>
        <w:rPr/>
        <w:t>de</w:t>
      </w:r>
      <w:r>
        <w:rPr>
          <w:spacing w:val="-9"/>
        </w:rPr>
        <w:t> </w:t>
      </w:r>
      <w:r>
        <w:rPr/>
        <w:t>373.1%</w:t>
      </w:r>
      <w:r>
        <w:rPr>
          <w:spacing w:val="-12"/>
        </w:rPr>
        <w:t> </w:t>
      </w:r>
      <w:r>
        <w:rPr/>
        <w:t>respecto</w:t>
      </w:r>
      <w:r>
        <w:rPr>
          <w:spacing w:val="-12"/>
        </w:rPr>
        <w:t> </w:t>
      </w:r>
      <w:r>
        <w:rPr/>
        <w:t>a</w:t>
      </w:r>
      <w:r>
        <w:rPr>
          <w:spacing w:val="-13"/>
        </w:rPr>
        <w:t> </w:t>
      </w:r>
      <w:r>
        <w:rPr/>
        <w:t>la</w:t>
      </w:r>
      <w:r>
        <w:rPr>
          <w:spacing w:val="-13"/>
        </w:rPr>
        <w:t> </w:t>
      </w:r>
      <w:r>
        <w:rPr/>
        <w:t>meta</w:t>
      </w:r>
      <w:r>
        <w:rPr>
          <w:spacing w:val="-15"/>
        </w:rPr>
        <w:t> </w:t>
      </w:r>
      <w:r>
        <w:rPr/>
        <w:t>programada, resultado con el cual se alerta de una posible falla de planeación del indicador.</w:t>
      </w:r>
    </w:p>
    <w:p>
      <w:pPr>
        <w:pStyle w:val="BodyText"/>
        <w:spacing w:before="71"/>
      </w:pPr>
    </w:p>
    <w:p>
      <w:pPr>
        <w:spacing w:before="0"/>
        <w:ind w:left="0" w:right="562" w:firstLine="0"/>
        <w:jc w:val="center"/>
        <w:rPr>
          <w:sz w:val="22"/>
        </w:rPr>
      </w:pPr>
      <w:r>
        <w:rPr>
          <w:color w:val="44536A"/>
          <w:sz w:val="22"/>
        </w:rPr>
        <w:t>Tabla</w:t>
      </w:r>
      <w:r>
        <w:rPr>
          <w:color w:val="44536A"/>
          <w:spacing w:val="-7"/>
          <w:sz w:val="22"/>
        </w:rPr>
        <w:t> </w:t>
      </w:r>
      <w:r>
        <w:rPr>
          <w:color w:val="44536A"/>
          <w:sz w:val="22"/>
        </w:rPr>
        <w:t>14.</w:t>
      </w:r>
      <w:r>
        <w:rPr>
          <w:color w:val="44536A"/>
          <w:spacing w:val="-7"/>
          <w:sz w:val="22"/>
        </w:rPr>
        <w:t> </w:t>
      </w:r>
      <w:r>
        <w:rPr>
          <w:color w:val="44536A"/>
          <w:sz w:val="22"/>
        </w:rPr>
        <w:t>Análisis</w:t>
      </w:r>
      <w:r>
        <w:rPr>
          <w:color w:val="44536A"/>
          <w:spacing w:val="-9"/>
          <w:sz w:val="22"/>
        </w:rPr>
        <w:t> </w:t>
      </w:r>
      <w:r>
        <w:rPr>
          <w:color w:val="44536A"/>
          <w:sz w:val="22"/>
        </w:rPr>
        <w:t>del</w:t>
      </w:r>
      <w:r>
        <w:rPr>
          <w:color w:val="44536A"/>
          <w:spacing w:val="-7"/>
          <w:sz w:val="22"/>
        </w:rPr>
        <w:t> </w:t>
      </w:r>
      <w:r>
        <w:rPr>
          <w:color w:val="44536A"/>
          <w:sz w:val="22"/>
        </w:rPr>
        <w:t>indicador</w:t>
      </w:r>
      <w:r>
        <w:rPr>
          <w:color w:val="44536A"/>
          <w:spacing w:val="-8"/>
          <w:sz w:val="22"/>
        </w:rPr>
        <w:t> </w:t>
      </w:r>
      <w:r>
        <w:rPr>
          <w:color w:val="44536A"/>
          <w:sz w:val="22"/>
        </w:rPr>
        <w:t>de</w:t>
      </w:r>
      <w:r>
        <w:rPr>
          <w:color w:val="44536A"/>
          <w:spacing w:val="-8"/>
          <w:sz w:val="22"/>
        </w:rPr>
        <w:t> </w:t>
      </w:r>
      <w:r>
        <w:rPr>
          <w:color w:val="44536A"/>
          <w:sz w:val="22"/>
        </w:rPr>
        <w:t>calidad</w:t>
      </w:r>
      <w:r>
        <w:rPr>
          <w:color w:val="44536A"/>
          <w:spacing w:val="-7"/>
          <w:sz w:val="22"/>
        </w:rPr>
        <w:t> </w:t>
      </w:r>
      <w:r>
        <w:rPr>
          <w:color w:val="44536A"/>
          <w:sz w:val="22"/>
        </w:rPr>
        <w:t>3</w:t>
      </w:r>
      <w:r>
        <w:rPr>
          <w:color w:val="44536A"/>
          <w:spacing w:val="-8"/>
          <w:sz w:val="22"/>
        </w:rPr>
        <w:t> </w:t>
      </w:r>
      <w:r>
        <w:rPr>
          <w:color w:val="44536A"/>
          <w:sz w:val="22"/>
        </w:rPr>
        <w:t>del</w:t>
      </w:r>
      <w:r>
        <w:rPr>
          <w:color w:val="44536A"/>
          <w:spacing w:val="-8"/>
          <w:sz w:val="22"/>
        </w:rPr>
        <w:t> </w:t>
      </w:r>
      <w:r>
        <w:rPr>
          <w:color w:val="44536A"/>
          <w:sz w:val="22"/>
        </w:rPr>
        <w:t>servicio</w:t>
      </w:r>
      <w:r>
        <w:rPr>
          <w:color w:val="44536A"/>
          <w:spacing w:val="-6"/>
          <w:sz w:val="22"/>
        </w:rPr>
        <w:t> </w:t>
      </w:r>
      <w:r>
        <w:rPr>
          <w:color w:val="44536A"/>
          <w:spacing w:val="-2"/>
          <w:sz w:val="22"/>
        </w:rPr>
        <w:t>06.01.02</w:t>
      </w:r>
    </w:p>
    <w:p>
      <w:pPr>
        <w:pStyle w:val="BodyText"/>
        <w:spacing w:before="10" w:after="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7"/>
        <w:gridCol w:w="739"/>
        <w:gridCol w:w="588"/>
        <w:gridCol w:w="681"/>
        <w:gridCol w:w="770"/>
        <w:gridCol w:w="679"/>
        <w:gridCol w:w="679"/>
        <w:gridCol w:w="679"/>
        <w:gridCol w:w="679"/>
        <w:gridCol w:w="677"/>
        <w:gridCol w:w="680"/>
        <w:gridCol w:w="679"/>
      </w:tblGrid>
      <w:tr>
        <w:trPr>
          <w:trHeight w:val="299" w:hRule="atLeast"/>
        </w:trPr>
        <w:tc>
          <w:tcPr>
            <w:tcW w:w="967" w:type="dxa"/>
            <w:shd w:val="clear" w:color="auto" w:fill="44536A"/>
          </w:tcPr>
          <w:p>
            <w:pPr>
              <w:pStyle w:val="TableParagraph"/>
              <w:spacing w:before="61"/>
              <w:ind w:left="7"/>
              <w:jc w:val="center"/>
              <w:rPr>
                <w:sz w:val="16"/>
              </w:rPr>
            </w:pPr>
            <w:r>
              <w:rPr>
                <w:color w:val="FFFFFF"/>
                <w:spacing w:val="-5"/>
                <w:sz w:val="16"/>
              </w:rPr>
              <w:t>OP</w:t>
            </w:r>
          </w:p>
        </w:tc>
        <w:tc>
          <w:tcPr>
            <w:tcW w:w="7530" w:type="dxa"/>
            <w:gridSpan w:val="11"/>
          </w:tcPr>
          <w:p>
            <w:pPr>
              <w:pStyle w:val="TableParagraph"/>
              <w:spacing w:before="61"/>
              <w:ind w:left="67"/>
              <w:rPr>
                <w:sz w:val="16"/>
              </w:rPr>
            </w:pPr>
            <w:r>
              <w:rPr>
                <w:sz w:val="16"/>
              </w:rPr>
              <w:t>OP.06</w:t>
            </w:r>
            <w:r>
              <w:rPr>
                <w:spacing w:val="-4"/>
                <w:sz w:val="16"/>
              </w:rPr>
              <w:t> </w:t>
            </w:r>
            <w:r>
              <w:rPr>
                <w:sz w:val="16"/>
              </w:rPr>
              <w:t>Reducir</w:t>
            </w:r>
            <w:r>
              <w:rPr>
                <w:spacing w:val="-2"/>
                <w:sz w:val="16"/>
              </w:rPr>
              <w:t> </w:t>
            </w:r>
            <w:r>
              <w:rPr>
                <w:sz w:val="16"/>
              </w:rPr>
              <w:t>la</w:t>
            </w:r>
            <w:r>
              <w:rPr>
                <w:spacing w:val="-1"/>
                <w:sz w:val="16"/>
              </w:rPr>
              <w:t> </w:t>
            </w:r>
            <w:r>
              <w:rPr>
                <w:sz w:val="16"/>
              </w:rPr>
              <w:t>incidencia</w:t>
            </w:r>
            <w:r>
              <w:rPr>
                <w:spacing w:val="-1"/>
                <w:sz w:val="16"/>
              </w:rPr>
              <w:t> </w:t>
            </w:r>
            <w:r>
              <w:rPr>
                <w:sz w:val="16"/>
              </w:rPr>
              <w:t>de</w:t>
            </w:r>
            <w:r>
              <w:rPr>
                <w:spacing w:val="-2"/>
                <w:sz w:val="16"/>
              </w:rPr>
              <w:t> </w:t>
            </w:r>
            <w:r>
              <w:rPr>
                <w:sz w:val="16"/>
              </w:rPr>
              <w:t>los</w:t>
            </w:r>
            <w:r>
              <w:rPr>
                <w:spacing w:val="-5"/>
                <w:sz w:val="16"/>
              </w:rPr>
              <w:t> </w:t>
            </w:r>
            <w:r>
              <w:rPr>
                <w:sz w:val="16"/>
              </w:rPr>
              <w:t>patrones</w:t>
            </w:r>
            <w:r>
              <w:rPr>
                <w:spacing w:val="-3"/>
                <w:sz w:val="16"/>
              </w:rPr>
              <w:t> </w:t>
            </w:r>
            <w:r>
              <w:rPr>
                <w:sz w:val="16"/>
              </w:rPr>
              <w:t>socioculturales</w:t>
            </w:r>
            <w:r>
              <w:rPr>
                <w:spacing w:val="-2"/>
                <w:sz w:val="16"/>
              </w:rPr>
              <w:t> </w:t>
            </w:r>
            <w:r>
              <w:rPr>
                <w:sz w:val="16"/>
              </w:rPr>
              <w:t>discriminatorios</w:t>
            </w:r>
            <w:r>
              <w:rPr>
                <w:spacing w:val="-4"/>
                <w:sz w:val="16"/>
              </w:rPr>
              <w:t> </w:t>
            </w:r>
            <w:r>
              <w:rPr>
                <w:sz w:val="16"/>
              </w:rPr>
              <w:t>en</w:t>
            </w:r>
            <w:r>
              <w:rPr>
                <w:spacing w:val="-1"/>
                <w:sz w:val="16"/>
              </w:rPr>
              <w:t> </w:t>
            </w:r>
            <w:r>
              <w:rPr>
                <w:sz w:val="16"/>
              </w:rPr>
              <w:t>la</w:t>
            </w:r>
            <w:r>
              <w:rPr>
                <w:spacing w:val="-1"/>
                <w:sz w:val="16"/>
              </w:rPr>
              <w:t> </w:t>
            </w:r>
            <w:r>
              <w:rPr>
                <w:spacing w:val="-2"/>
                <w:sz w:val="16"/>
              </w:rPr>
              <w:t>población.</w:t>
            </w:r>
          </w:p>
        </w:tc>
      </w:tr>
      <w:tr>
        <w:trPr>
          <w:trHeight w:val="542" w:hRule="atLeast"/>
        </w:trPr>
        <w:tc>
          <w:tcPr>
            <w:tcW w:w="967" w:type="dxa"/>
            <w:shd w:val="clear" w:color="auto" w:fill="44536A"/>
          </w:tcPr>
          <w:p>
            <w:pPr>
              <w:pStyle w:val="TableParagraph"/>
              <w:spacing w:before="172"/>
              <w:ind w:left="170"/>
              <w:rPr>
                <w:sz w:val="18"/>
              </w:rPr>
            </w:pPr>
            <w:r>
              <w:rPr>
                <w:color w:val="FFFFFF"/>
                <w:spacing w:val="-2"/>
                <w:sz w:val="18"/>
              </w:rPr>
              <w:t>Servicio</w:t>
            </w:r>
          </w:p>
        </w:tc>
        <w:tc>
          <w:tcPr>
            <w:tcW w:w="7530" w:type="dxa"/>
            <w:gridSpan w:val="11"/>
          </w:tcPr>
          <w:p>
            <w:pPr>
              <w:pStyle w:val="TableParagraph"/>
              <w:spacing w:line="240" w:lineRule="atLeast" w:before="17"/>
              <w:ind w:left="67" w:right="29"/>
              <w:rPr>
                <w:sz w:val="18"/>
              </w:rPr>
            </w:pPr>
            <w:r>
              <w:rPr>
                <w:sz w:val="18"/>
              </w:rPr>
              <w:t>Programas de formación inicial y programas de formación en servicio a docentes con enfoque de igualdad de género de la Política Nacional de Igualdad de Género PNIG.</w:t>
            </w:r>
          </w:p>
        </w:tc>
      </w:tr>
      <w:tr>
        <w:trPr>
          <w:trHeight w:val="734" w:hRule="atLeast"/>
        </w:trPr>
        <w:tc>
          <w:tcPr>
            <w:tcW w:w="967" w:type="dxa"/>
            <w:shd w:val="clear" w:color="auto" w:fill="44536A"/>
          </w:tcPr>
          <w:p>
            <w:pPr>
              <w:pStyle w:val="TableParagraph"/>
              <w:spacing w:before="60"/>
              <w:rPr>
                <w:sz w:val="18"/>
              </w:rPr>
            </w:pPr>
          </w:p>
          <w:p>
            <w:pPr>
              <w:pStyle w:val="TableParagraph"/>
              <w:ind w:left="100"/>
              <w:rPr>
                <w:sz w:val="18"/>
              </w:rPr>
            </w:pPr>
            <w:r>
              <w:rPr>
                <w:color w:val="FFFFFF"/>
                <w:spacing w:val="-2"/>
                <w:w w:val="105"/>
                <w:sz w:val="18"/>
              </w:rPr>
              <w:t>Indicador</w:t>
            </w:r>
          </w:p>
        </w:tc>
        <w:tc>
          <w:tcPr>
            <w:tcW w:w="7530" w:type="dxa"/>
            <w:gridSpan w:val="11"/>
          </w:tcPr>
          <w:p>
            <w:pPr>
              <w:pStyle w:val="TableParagraph"/>
              <w:spacing w:before="23"/>
              <w:ind w:left="67"/>
              <w:rPr>
                <w:sz w:val="18"/>
              </w:rPr>
            </w:pPr>
            <w:r>
              <w:rPr>
                <w:spacing w:val="-2"/>
                <w:sz w:val="18"/>
              </w:rPr>
              <w:t>Porcentaje</w:t>
            </w:r>
            <w:r>
              <w:rPr>
                <w:spacing w:val="-3"/>
                <w:sz w:val="18"/>
              </w:rPr>
              <w:t> </w:t>
            </w:r>
            <w:r>
              <w:rPr>
                <w:spacing w:val="-2"/>
                <w:sz w:val="18"/>
              </w:rPr>
              <w:t>de</w:t>
            </w:r>
            <w:r>
              <w:rPr>
                <w:spacing w:val="-3"/>
                <w:sz w:val="18"/>
              </w:rPr>
              <w:t> </w:t>
            </w:r>
            <w:r>
              <w:rPr>
                <w:spacing w:val="-2"/>
                <w:sz w:val="18"/>
              </w:rPr>
              <w:t>IESP/EESP</w:t>
            </w:r>
            <w:r>
              <w:rPr>
                <w:spacing w:val="-1"/>
                <w:sz w:val="18"/>
              </w:rPr>
              <w:t> </w:t>
            </w:r>
            <w:r>
              <w:rPr>
                <w:spacing w:val="-2"/>
                <w:sz w:val="18"/>
              </w:rPr>
              <w:t>e</w:t>
            </w:r>
            <w:r>
              <w:rPr>
                <w:spacing w:val="-3"/>
                <w:sz w:val="18"/>
              </w:rPr>
              <w:t> </w:t>
            </w:r>
            <w:r>
              <w:rPr>
                <w:spacing w:val="-2"/>
                <w:sz w:val="18"/>
              </w:rPr>
              <w:t>IGED</w:t>
            </w:r>
            <w:r>
              <w:rPr>
                <w:spacing w:val="-3"/>
                <w:sz w:val="18"/>
              </w:rPr>
              <w:t> </w:t>
            </w:r>
            <w:r>
              <w:rPr>
                <w:spacing w:val="-2"/>
                <w:sz w:val="18"/>
              </w:rPr>
              <w:t>que reciben</w:t>
            </w:r>
            <w:r>
              <w:rPr>
                <w:spacing w:val="-6"/>
                <w:sz w:val="18"/>
              </w:rPr>
              <w:t> </w:t>
            </w:r>
            <w:r>
              <w:rPr>
                <w:spacing w:val="-2"/>
                <w:sz w:val="18"/>
              </w:rPr>
              <w:t>asistencia</w:t>
            </w:r>
            <w:r>
              <w:rPr>
                <w:spacing w:val="-3"/>
                <w:sz w:val="18"/>
              </w:rPr>
              <w:t> </w:t>
            </w:r>
            <w:r>
              <w:rPr>
                <w:spacing w:val="-2"/>
                <w:sz w:val="18"/>
              </w:rPr>
              <w:t>técnica oportunamente</w:t>
            </w:r>
            <w:r>
              <w:rPr>
                <w:spacing w:val="-3"/>
                <w:sz w:val="18"/>
              </w:rPr>
              <w:t> </w:t>
            </w:r>
            <w:r>
              <w:rPr>
                <w:spacing w:val="-4"/>
                <w:sz w:val="18"/>
              </w:rPr>
              <w:t>para</w:t>
            </w:r>
          </w:p>
          <w:p>
            <w:pPr>
              <w:pStyle w:val="TableParagraph"/>
              <w:spacing w:line="240" w:lineRule="atLeast" w:before="4"/>
              <w:ind w:left="67"/>
              <w:rPr>
                <w:sz w:val="18"/>
              </w:rPr>
            </w:pPr>
            <w:r>
              <w:rPr>
                <w:sz w:val="18"/>
              </w:rPr>
              <w:t>implementar los programas de formación inicial y formación en servicio con Enfoque de </w:t>
            </w:r>
            <w:r>
              <w:rPr>
                <w:w w:val="105"/>
                <w:sz w:val="18"/>
              </w:rPr>
              <w:t>Igualdad de Género.</w:t>
            </w:r>
          </w:p>
        </w:tc>
      </w:tr>
      <w:tr>
        <w:trPr>
          <w:trHeight w:val="491" w:hRule="atLeast"/>
        </w:trPr>
        <w:tc>
          <w:tcPr>
            <w:tcW w:w="967" w:type="dxa"/>
            <w:shd w:val="clear" w:color="auto" w:fill="808080"/>
          </w:tcPr>
          <w:p>
            <w:pPr>
              <w:pStyle w:val="TableParagraph"/>
              <w:spacing w:before="145"/>
              <w:ind w:left="321"/>
              <w:rPr>
                <w:sz w:val="18"/>
              </w:rPr>
            </w:pPr>
            <w:r>
              <w:rPr>
                <w:color w:val="FFFFFF"/>
                <w:spacing w:val="-5"/>
                <w:sz w:val="18"/>
              </w:rPr>
              <w:t>Año</w:t>
            </w:r>
          </w:p>
        </w:tc>
        <w:tc>
          <w:tcPr>
            <w:tcW w:w="739" w:type="dxa"/>
            <w:shd w:val="clear" w:color="auto" w:fill="808080"/>
          </w:tcPr>
          <w:p>
            <w:pPr>
              <w:pStyle w:val="TableParagraph"/>
              <w:spacing w:before="23"/>
              <w:ind w:left="8" w:right="6"/>
              <w:jc w:val="center"/>
              <w:rPr>
                <w:sz w:val="18"/>
              </w:rPr>
            </w:pPr>
            <w:r>
              <w:rPr>
                <w:color w:val="FFFFFF"/>
                <w:spacing w:val="-2"/>
                <w:sz w:val="18"/>
              </w:rPr>
              <w:t>Valor</w:t>
            </w:r>
          </w:p>
          <w:p>
            <w:pPr>
              <w:pStyle w:val="TableParagraph"/>
              <w:spacing w:line="201" w:lineRule="exact" w:before="40"/>
              <w:ind w:left="8" w:right="2"/>
              <w:jc w:val="center"/>
              <w:rPr>
                <w:sz w:val="18"/>
              </w:rPr>
            </w:pPr>
            <w:r>
              <w:rPr>
                <w:color w:val="FFFFFF"/>
                <w:spacing w:val="-5"/>
                <w:sz w:val="18"/>
              </w:rPr>
              <w:t>LB</w:t>
            </w:r>
          </w:p>
        </w:tc>
        <w:tc>
          <w:tcPr>
            <w:tcW w:w="588" w:type="dxa"/>
            <w:shd w:val="clear" w:color="auto" w:fill="808080"/>
          </w:tcPr>
          <w:p>
            <w:pPr>
              <w:pStyle w:val="TableParagraph"/>
              <w:spacing w:before="145"/>
              <w:ind w:left="12"/>
              <w:jc w:val="center"/>
              <w:rPr>
                <w:sz w:val="18"/>
              </w:rPr>
            </w:pPr>
            <w:r>
              <w:rPr>
                <w:color w:val="FFFFFF"/>
                <w:spacing w:val="-4"/>
                <w:sz w:val="18"/>
              </w:rPr>
              <w:t>2021</w:t>
            </w:r>
          </w:p>
        </w:tc>
        <w:tc>
          <w:tcPr>
            <w:tcW w:w="681" w:type="dxa"/>
            <w:shd w:val="clear" w:color="auto" w:fill="808080"/>
          </w:tcPr>
          <w:p>
            <w:pPr>
              <w:pStyle w:val="TableParagraph"/>
              <w:spacing w:before="145"/>
              <w:ind w:left="12"/>
              <w:jc w:val="center"/>
              <w:rPr>
                <w:sz w:val="18"/>
              </w:rPr>
            </w:pPr>
            <w:r>
              <w:rPr>
                <w:color w:val="FFFFFF"/>
                <w:spacing w:val="-4"/>
                <w:sz w:val="18"/>
              </w:rPr>
              <w:t>2022</w:t>
            </w:r>
          </w:p>
        </w:tc>
        <w:tc>
          <w:tcPr>
            <w:tcW w:w="770" w:type="dxa"/>
            <w:shd w:val="clear" w:color="auto" w:fill="808080"/>
          </w:tcPr>
          <w:p>
            <w:pPr>
              <w:pStyle w:val="TableParagraph"/>
              <w:spacing w:before="145"/>
              <w:ind w:left="15"/>
              <w:jc w:val="center"/>
              <w:rPr>
                <w:sz w:val="18"/>
              </w:rPr>
            </w:pPr>
            <w:r>
              <w:rPr>
                <w:color w:val="FFFFFF"/>
                <w:spacing w:val="-4"/>
                <w:sz w:val="18"/>
              </w:rPr>
              <w:t>2023</w:t>
            </w:r>
          </w:p>
        </w:tc>
        <w:tc>
          <w:tcPr>
            <w:tcW w:w="679" w:type="dxa"/>
            <w:shd w:val="clear" w:color="auto" w:fill="808080"/>
          </w:tcPr>
          <w:p>
            <w:pPr>
              <w:pStyle w:val="TableParagraph"/>
              <w:spacing w:before="145"/>
              <w:ind w:left="17" w:right="1"/>
              <w:jc w:val="center"/>
              <w:rPr>
                <w:sz w:val="18"/>
              </w:rPr>
            </w:pPr>
            <w:r>
              <w:rPr>
                <w:color w:val="FFFFFF"/>
                <w:spacing w:val="-4"/>
                <w:sz w:val="18"/>
              </w:rPr>
              <w:t>2024</w:t>
            </w:r>
          </w:p>
        </w:tc>
        <w:tc>
          <w:tcPr>
            <w:tcW w:w="679" w:type="dxa"/>
            <w:shd w:val="clear" w:color="auto" w:fill="808080"/>
          </w:tcPr>
          <w:p>
            <w:pPr>
              <w:pStyle w:val="TableParagraph"/>
              <w:spacing w:before="145"/>
              <w:ind w:left="17" w:right="1"/>
              <w:jc w:val="center"/>
              <w:rPr>
                <w:sz w:val="18"/>
              </w:rPr>
            </w:pPr>
            <w:r>
              <w:rPr>
                <w:color w:val="FFFFFF"/>
                <w:spacing w:val="-4"/>
                <w:sz w:val="18"/>
              </w:rPr>
              <w:t>2025</w:t>
            </w:r>
          </w:p>
        </w:tc>
        <w:tc>
          <w:tcPr>
            <w:tcW w:w="679" w:type="dxa"/>
            <w:shd w:val="clear" w:color="auto" w:fill="808080"/>
          </w:tcPr>
          <w:p>
            <w:pPr>
              <w:pStyle w:val="TableParagraph"/>
              <w:spacing w:before="145"/>
              <w:ind w:left="17"/>
              <w:jc w:val="center"/>
              <w:rPr>
                <w:sz w:val="18"/>
              </w:rPr>
            </w:pPr>
            <w:r>
              <w:rPr>
                <w:color w:val="FFFFFF"/>
                <w:spacing w:val="-4"/>
                <w:sz w:val="18"/>
              </w:rPr>
              <w:t>2026</w:t>
            </w:r>
          </w:p>
        </w:tc>
        <w:tc>
          <w:tcPr>
            <w:tcW w:w="679" w:type="dxa"/>
            <w:shd w:val="clear" w:color="auto" w:fill="808080"/>
          </w:tcPr>
          <w:p>
            <w:pPr>
              <w:pStyle w:val="TableParagraph"/>
              <w:spacing w:before="145"/>
              <w:ind w:left="17" w:right="4"/>
              <w:jc w:val="center"/>
              <w:rPr>
                <w:sz w:val="18"/>
              </w:rPr>
            </w:pPr>
            <w:r>
              <w:rPr>
                <w:color w:val="FFFFFF"/>
                <w:spacing w:val="-4"/>
                <w:sz w:val="18"/>
              </w:rPr>
              <w:t>2027</w:t>
            </w:r>
          </w:p>
        </w:tc>
        <w:tc>
          <w:tcPr>
            <w:tcW w:w="677" w:type="dxa"/>
            <w:shd w:val="clear" w:color="auto" w:fill="808080"/>
          </w:tcPr>
          <w:p>
            <w:pPr>
              <w:pStyle w:val="TableParagraph"/>
              <w:spacing w:before="145"/>
              <w:ind w:left="15"/>
              <w:jc w:val="center"/>
              <w:rPr>
                <w:sz w:val="18"/>
              </w:rPr>
            </w:pPr>
            <w:r>
              <w:rPr>
                <w:color w:val="FFFFFF"/>
                <w:spacing w:val="-4"/>
                <w:sz w:val="18"/>
              </w:rPr>
              <w:t>2028</w:t>
            </w:r>
          </w:p>
        </w:tc>
        <w:tc>
          <w:tcPr>
            <w:tcW w:w="680" w:type="dxa"/>
            <w:shd w:val="clear" w:color="auto" w:fill="808080"/>
          </w:tcPr>
          <w:p>
            <w:pPr>
              <w:pStyle w:val="TableParagraph"/>
              <w:spacing w:before="145"/>
              <w:ind w:left="17"/>
              <w:jc w:val="center"/>
              <w:rPr>
                <w:sz w:val="18"/>
              </w:rPr>
            </w:pPr>
            <w:r>
              <w:rPr>
                <w:color w:val="FFFFFF"/>
                <w:spacing w:val="-4"/>
                <w:sz w:val="18"/>
              </w:rPr>
              <w:t>2029</w:t>
            </w:r>
          </w:p>
        </w:tc>
        <w:tc>
          <w:tcPr>
            <w:tcW w:w="679" w:type="dxa"/>
            <w:shd w:val="clear" w:color="auto" w:fill="808080"/>
          </w:tcPr>
          <w:p>
            <w:pPr>
              <w:pStyle w:val="TableParagraph"/>
              <w:spacing w:before="145"/>
              <w:ind w:left="17"/>
              <w:jc w:val="center"/>
              <w:rPr>
                <w:sz w:val="18"/>
              </w:rPr>
            </w:pPr>
            <w:r>
              <w:rPr>
                <w:color w:val="FFFFFF"/>
                <w:spacing w:val="-4"/>
                <w:sz w:val="18"/>
              </w:rPr>
              <w:t>2030</w:t>
            </w:r>
          </w:p>
        </w:tc>
      </w:tr>
      <w:tr>
        <w:trPr>
          <w:trHeight w:val="436" w:hRule="atLeast"/>
        </w:trPr>
        <w:tc>
          <w:tcPr>
            <w:tcW w:w="967" w:type="dxa"/>
            <w:shd w:val="clear" w:color="auto" w:fill="44536A"/>
          </w:tcPr>
          <w:p>
            <w:pPr>
              <w:pStyle w:val="TableParagraph"/>
              <w:spacing w:before="119"/>
              <w:ind w:left="69"/>
              <w:rPr>
                <w:sz w:val="18"/>
              </w:rPr>
            </w:pPr>
            <w:r>
              <w:rPr>
                <w:color w:val="FFFFFF"/>
                <w:spacing w:val="-2"/>
                <w:sz w:val="18"/>
              </w:rPr>
              <w:t>Metas</w:t>
            </w:r>
          </w:p>
        </w:tc>
        <w:tc>
          <w:tcPr>
            <w:tcW w:w="739" w:type="dxa"/>
          </w:tcPr>
          <w:p>
            <w:pPr>
              <w:pStyle w:val="TableParagraph"/>
              <w:spacing w:before="20"/>
              <w:ind w:left="8" w:right="6"/>
              <w:jc w:val="center"/>
              <w:rPr>
                <w:sz w:val="16"/>
              </w:rPr>
            </w:pPr>
            <w:r>
              <w:rPr>
                <w:spacing w:val="-5"/>
                <w:sz w:val="16"/>
              </w:rPr>
              <w:t>No</w:t>
            </w:r>
          </w:p>
          <w:p>
            <w:pPr>
              <w:pStyle w:val="TableParagraph"/>
              <w:spacing w:line="180" w:lineRule="exact" w:before="32"/>
              <w:ind w:left="8" w:right="1"/>
              <w:jc w:val="center"/>
              <w:rPr>
                <w:sz w:val="16"/>
              </w:rPr>
            </w:pPr>
            <w:r>
              <w:rPr>
                <w:spacing w:val="-2"/>
                <w:w w:val="105"/>
                <w:sz w:val="16"/>
              </w:rPr>
              <w:t>definido</w:t>
            </w:r>
          </w:p>
        </w:tc>
        <w:tc>
          <w:tcPr>
            <w:tcW w:w="588" w:type="dxa"/>
          </w:tcPr>
          <w:p>
            <w:pPr>
              <w:pStyle w:val="TableParagraph"/>
              <w:spacing w:before="128"/>
              <w:ind w:left="12" w:right="5"/>
              <w:jc w:val="center"/>
              <w:rPr>
                <w:sz w:val="16"/>
              </w:rPr>
            </w:pPr>
            <w:r>
              <w:rPr>
                <w:spacing w:val="-2"/>
                <w:sz w:val="16"/>
              </w:rPr>
              <w:t>5.00%</w:t>
            </w:r>
          </w:p>
        </w:tc>
        <w:tc>
          <w:tcPr>
            <w:tcW w:w="681" w:type="dxa"/>
          </w:tcPr>
          <w:p>
            <w:pPr>
              <w:pStyle w:val="TableParagraph"/>
              <w:spacing w:before="128"/>
              <w:ind w:left="12" w:right="5"/>
              <w:jc w:val="center"/>
              <w:rPr>
                <w:sz w:val="16"/>
              </w:rPr>
            </w:pPr>
            <w:r>
              <w:rPr>
                <w:spacing w:val="-2"/>
                <w:sz w:val="16"/>
              </w:rPr>
              <w:t>15.00%</w:t>
            </w:r>
          </w:p>
        </w:tc>
        <w:tc>
          <w:tcPr>
            <w:tcW w:w="770" w:type="dxa"/>
          </w:tcPr>
          <w:p>
            <w:pPr>
              <w:pStyle w:val="TableParagraph"/>
              <w:spacing w:before="128"/>
              <w:ind w:left="15" w:right="5"/>
              <w:jc w:val="center"/>
              <w:rPr>
                <w:sz w:val="16"/>
              </w:rPr>
            </w:pPr>
            <w:r>
              <w:rPr>
                <w:spacing w:val="-2"/>
                <w:sz w:val="16"/>
              </w:rPr>
              <w:t>25.00%</w:t>
            </w:r>
          </w:p>
        </w:tc>
        <w:tc>
          <w:tcPr>
            <w:tcW w:w="679" w:type="dxa"/>
          </w:tcPr>
          <w:p>
            <w:pPr>
              <w:pStyle w:val="TableParagraph"/>
              <w:spacing w:before="128"/>
              <w:ind w:left="17" w:right="6"/>
              <w:jc w:val="center"/>
              <w:rPr>
                <w:sz w:val="16"/>
              </w:rPr>
            </w:pPr>
            <w:r>
              <w:rPr>
                <w:spacing w:val="-2"/>
                <w:sz w:val="16"/>
              </w:rPr>
              <w:t>35.00%</w:t>
            </w:r>
          </w:p>
        </w:tc>
        <w:tc>
          <w:tcPr>
            <w:tcW w:w="679" w:type="dxa"/>
          </w:tcPr>
          <w:p>
            <w:pPr>
              <w:pStyle w:val="TableParagraph"/>
              <w:spacing w:before="128"/>
              <w:ind w:left="17" w:right="6"/>
              <w:jc w:val="center"/>
              <w:rPr>
                <w:sz w:val="16"/>
              </w:rPr>
            </w:pPr>
            <w:r>
              <w:rPr>
                <w:spacing w:val="-2"/>
                <w:sz w:val="16"/>
              </w:rPr>
              <w:t>45.00%</w:t>
            </w:r>
          </w:p>
        </w:tc>
        <w:tc>
          <w:tcPr>
            <w:tcW w:w="679" w:type="dxa"/>
          </w:tcPr>
          <w:p>
            <w:pPr>
              <w:pStyle w:val="TableParagraph"/>
              <w:spacing w:before="128"/>
              <w:ind w:left="17" w:right="5"/>
              <w:jc w:val="center"/>
              <w:rPr>
                <w:sz w:val="16"/>
              </w:rPr>
            </w:pPr>
            <w:r>
              <w:rPr>
                <w:spacing w:val="-2"/>
                <w:sz w:val="16"/>
              </w:rPr>
              <w:t>55.00%</w:t>
            </w:r>
          </w:p>
        </w:tc>
        <w:tc>
          <w:tcPr>
            <w:tcW w:w="679" w:type="dxa"/>
          </w:tcPr>
          <w:p>
            <w:pPr>
              <w:pStyle w:val="TableParagraph"/>
              <w:spacing w:before="128"/>
              <w:ind w:left="17" w:right="9"/>
              <w:jc w:val="center"/>
              <w:rPr>
                <w:sz w:val="16"/>
              </w:rPr>
            </w:pPr>
            <w:r>
              <w:rPr>
                <w:spacing w:val="-2"/>
                <w:sz w:val="16"/>
              </w:rPr>
              <w:t>65.00%</w:t>
            </w:r>
          </w:p>
        </w:tc>
        <w:tc>
          <w:tcPr>
            <w:tcW w:w="677" w:type="dxa"/>
          </w:tcPr>
          <w:p>
            <w:pPr>
              <w:pStyle w:val="TableParagraph"/>
              <w:spacing w:before="128"/>
              <w:ind w:left="15" w:right="5"/>
              <w:jc w:val="center"/>
              <w:rPr>
                <w:sz w:val="16"/>
              </w:rPr>
            </w:pPr>
            <w:r>
              <w:rPr>
                <w:spacing w:val="-2"/>
                <w:sz w:val="16"/>
              </w:rPr>
              <w:t>75.00%</w:t>
            </w:r>
          </w:p>
        </w:tc>
        <w:tc>
          <w:tcPr>
            <w:tcW w:w="680" w:type="dxa"/>
          </w:tcPr>
          <w:p>
            <w:pPr>
              <w:pStyle w:val="TableParagraph"/>
              <w:spacing w:before="128"/>
              <w:ind w:left="17" w:right="5"/>
              <w:jc w:val="center"/>
              <w:rPr>
                <w:sz w:val="16"/>
              </w:rPr>
            </w:pPr>
            <w:r>
              <w:rPr>
                <w:spacing w:val="-2"/>
                <w:sz w:val="16"/>
              </w:rPr>
              <w:t>85.00%</w:t>
            </w:r>
          </w:p>
        </w:tc>
        <w:tc>
          <w:tcPr>
            <w:tcW w:w="679" w:type="dxa"/>
          </w:tcPr>
          <w:p>
            <w:pPr>
              <w:pStyle w:val="TableParagraph"/>
              <w:spacing w:before="128"/>
              <w:ind w:left="17" w:right="5"/>
              <w:jc w:val="center"/>
              <w:rPr>
                <w:sz w:val="16"/>
              </w:rPr>
            </w:pPr>
            <w:r>
              <w:rPr>
                <w:spacing w:val="-2"/>
                <w:sz w:val="16"/>
              </w:rPr>
              <w:t>95.00%</w:t>
            </w:r>
          </w:p>
        </w:tc>
      </w:tr>
    </w:tbl>
    <w:p>
      <w:pPr>
        <w:pStyle w:val="TableParagraph"/>
        <w:spacing w:after="0"/>
        <w:jc w:val="center"/>
        <w:rPr>
          <w:sz w:val="16"/>
        </w:rPr>
        <w:sectPr>
          <w:pgSz w:w="11910" w:h="16840"/>
          <w:pgMar w:header="713" w:footer="1000" w:top="1420" w:bottom="1200" w:left="1559" w:right="992"/>
        </w:sectPr>
      </w:pPr>
    </w:p>
    <w:p>
      <w:pPr>
        <w:pStyle w:val="BodyText"/>
        <w:spacing w:before="6"/>
        <w:rPr>
          <w:sz w:val="7"/>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7"/>
        <w:gridCol w:w="739"/>
        <w:gridCol w:w="588"/>
        <w:gridCol w:w="681"/>
        <w:gridCol w:w="770"/>
        <w:gridCol w:w="679"/>
        <w:gridCol w:w="679"/>
        <w:gridCol w:w="679"/>
        <w:gridCol w:w="679"/>
        <w:gridCol w:w="677"/>
        <w:gridCol w:w="680"/>
        <w:gridCol w:w="679"/>
      </w:tblGrid>
      <w:tr>
        <w:trPr>
          <w:trHeight w:val="569" w:hRule="atLeast"/>
        </w:trPr>
        <w:tc>
          <w:tcPr>
            <w:tcW w:w="967" w:type="dxa"/>
            <w:tcBorders>
              <w:top w:val="nil"/>
            </w:tcBorders>
            <w:shd w:val="clear" w:color="auto" w:fill="44536A"/>
          </w:tcPr>
          <w:p>
            <w:pPr>
              <w:pStyle w:val="TableParagraph"/>
              <w:spacing w:line="240" w:lineRule="atLeast" w:before="28"/>
              <w:ind w:left="69"/>
              <w:rPr>
                <w:sz w:val="18"/>
              </w:rPr>
            </w:pPr>
            <w:r>
              <w:rPr>
                <w:color w:val="FFFFFF"/>
                <w:spacing w:val="-4"/>
                <w:w w:val="105"/>
                <w:sz w:val="18"/>
              </w:rPr>
              <w:t>Valor </w:t>
            </w:r>
            <w:r>
              <w:rPr>
                <w:color w:val="FFFFFF"/>
                <w:spacing w:val="-2"/>
                <w:w w:val="105"/>
                <w:sz w:val="18"/>
              </w:rPr>
              <w:t>reportado</w:t>
            </w:r>
          </w:p>
        </w:tc>
        <w:tc>
          <w:tcPr>
            <w:tcW w:w="739" w:type="dxa"/>
            <w:tcBorders>
              <w:top w:val="nil"/>
            </w:tcBorders>
            <w:shd w:val="clear" w:color="auto" w:fill="C8C8C8"/>
          </w:tcPr>
          <w:p>
            <w:pPr>
              <w:pStyle w:val="TableParagraph"/>
              <w:rPr>
                <w:rFonts w:ascii="Times New Roman"/>
                <w:sz w:val="22"/>
              </w:rPr>
            </w:pPr>
          </w:p>
        </w:tc>
        <w:tc>
          <w:tcPr>
            <w:tcW w:w="588" w:type="dxa"/>
            <w:tcBorders>
              <w:top w:val="nil"/>
            </w:tcBorders>
          </w:tcPr>
          <w:p>
            <w:pPr>
              <w:pStyle w:val="TableParagraph"/>
              <w:spacing w:before="12"/>
              <w:rPr>
                <w:sz w:val="16"/>
              </w:rPr>
            </w:pPr>
          </w:p>
          <w:p>
            <w:pPr>
              <w:pStyle w:val="TableParagraph"/>
              <w:ind w:left="180"/>
              <w:rPr>
                <w:sz w:val="16"/>
              </w:rPr>
            </w:pPr>
            <w:r>
              <w:rPr>
                <w:spacing w:val="-5"/>
                <w:sz w:val="16"/>
              </w:rPr>
              <w:t>ND</w:t>
            </w:r>
          </w:p>
        </w:tc>
        <w:tc>
          <w:tcPr>
            <w:tcW w:w="681" w:type="dxa"/>
            <w:tcBorders>
              <w:top w:val="nil"/>
            </w:tcBorders>
          </w:tcPr>
          <w:p>
            <w:pPr>
              <w:pStyle w:val="TableParagraph"/>
              <w:spacing w:before="12"/>
              <w:rPr>
                <w:sz w:val="16"/>
              </w:rPr>
            </w:pPr>
          </w:p>
          <w:p>
            <w:pPr>
              <w:pStyle w:val="TableParagraph"/>
              <w:ind w:left="226"/>
              <w:rPr>
                <w:sz w:val="16"/>
              </w:rPr>
            </w:pPr>
            <w:r>
              <w:rPr>
                <w:spacing w:val="-5"/>
                <w:sz w:val="16"/>
              </w:rPr>
              <w:t>ND</w:t>
            </w:r>
          </w:p>
        </w:tc>
        <w:tc>
          <w:tcPr>
            <w:tcW w:w="770" w:type="dxa"/>
            <w:tcBorders>
              <w:top w:val="nil"/>
            </w:tcBorders>
          </w:tcPr>
          <w:p>
            <w:pPr>
              <w:pStyle w:val="TableParagraph"/>
              <w:spacing w:before="12"/>
              <w:rPr>
                <w:sz w:val="16"/>
              </w:rPr>
            </w:pPr>
          </w:p>
          <w:p>
            <w:pPr>
              <w:pStyle w:val="TableParagraph"/>
              <w:ind w:left="15" w:right="5"/>
              <w:jc w:val="center"/>
              <w:rPr>
                <w:sz w:val="16"/>
              </w:rPr>
            </w:pPr>
            <w:r>
              <w:rPr>
                <w:spacing w:val="-2"/>
                <w:sz w:val="16"/>
              </w:rPr>
              <w:t>93.27%</w:t>
            </w:r>
          </w:p>
        </w:tc>
        <w:tc>
          <w:tcPr>
            <w:tcW w:w="679" w:type="dxa"/>
            <w:tcBorders>
              <w:top w:val="nil"/>
            </w:tcBorders>
            <w:shd w:val="clear" w:color="auto" w:fill="C8C8C8"/>
          </w:tcPr>
          <w:p>
            <w:pPr>
              <w:pStyle w:val="TableParagraph"/>
              <w:rPr>
                <w:rFonts w:ascii="Times New Roman"/>
                <w:sz w:val="22"/>
              </w:rPr>
            </w:pPr>
          </w:p>
        </w:tc>
        <w:tc>
          <w:tcPr>
            <w:tcW w:w="679" w:type="dxa"/>
            <w:tcBorders>
              <w:top w:val="nil"/>
            </w:tcBorders>
            <w:shd w:val="clear" w:color="auto" w:fill="C8C8C8"/>
          </w:tcPr>
          <w:p>
            <w:pPr>
              <w:pStyle w:val="TableParagraph"/>
              <w:rPr>
                <w:rFonts w:ascii="Times New Roman"/>
                <w:sz w:val="22"/>
              </w:rPr>
            </w:pPr>
          </w:p>
        </w:tc>
        <w:tc>
          <w:tcPr>
            <w:tcW w:w="679" w:type="dxa"/>
            <w:tcBorders>
              <w:top w:val="nil"/>
            </w:tcBorders>
            <w:shd w:val="clear" w:color="auto" w:fill="C8C8C8"/>
          </w:tcPr>
          <w:p>
            <w:pPr>
              <w:pStyle w:val="TableParagraph"/>
              <w:rPr>
                <w:rFonts w:ascii="Times New Roman"/>
                <w:sz w:val="22"/>
              </w:rPr>
            </w:pPr>
          </w:p>
        </w:tc>
        <w:tc>
          <w:tcPr>
            <w:tcW w:w="679" w:type="dxa"/>
            <w:tcBorders>
              <w:top w:val="nil"/>
            </w:tcBorders>
            <w:shd w:val="clear" w:color="auto" w:fill="C8C8C8"/>
          </w:tcPr>
          <w:p>
            <w:pPr>
              <w:pStyle w:val="TableParagraph"/>
              <w:rPr>
                <w:rFonts w:ascii="Times New Roman"/>
                <w:sz w:val="22"/>
              </w:rPr>
            </w:pPr>
          </w:p>
        </w:tc>
        <w:tc>
          <w:tcPr>
            <w:tcW w:w="677" w:type="dxa"/>
            <w:tcBorders>
              <w:top w:val="nil"/>
            </w:tcBorders>
            <w:shd w:val="clear" w:color="auto" w:fill="C8C8C8"/>
          </w:tcPr>
          <w:p>
            <w:pPr>
              <w:pStyle w:val="TableParagraph"/>
              <w:rPr>
                <w:rFonts w:ascii="Times New Roman"/>
                <w:sz w:val="22"/>
              </w:rPr>
            </w:pPr>
          </w:p>
        </w:tc>
        <w:tc>
          <w:tcPr>
            <w:tcW w:w="680" w:type="dxa"/>
            <w:tcBorders>
              <w:top w:val="nil"/>
            </w:tcBorders>
            <w:shd w:val="clear" w:color="auto" w:fill="C8C8C8"/>
          </w:tcPr>
          <w:p>
            <w:pPr>
              <w:pStyle w:val="TableParagraph"/>
              <w:rPr>
                <w:rFonts w:ascii="Times New Roman"/>
                <w:sz w:val="22"/>
              </w:rPr>
            </w:pPr>
          </w:p>
        </w:tc>
        <w:tc>
          <w:tcPr>
            <w:tcW w:w="679" w:type="dxa"/>
            <w:tcBorders>
              <w:top w:val="nil"/>
            </w:tcBorders>
            <w:shd w:val="clear" w:color="auto" w:fill="C8C8C8"/>
          </w:tcPr>
          <w:p>
            <w:pPr>
              <w:pStyle w:val="TableParagraph"/>
              <w:rPr>
                <w:rFonts w:ascii="Times New Roman"/>
                <w:sz w:val="22"/>
              </w:rPr>
            </w:pPr>
          </w:p>
        </w:tc>
      </w:tr>
      <w:tr>
        <w:trPr>
          <w:trHeight w:val="570" w:hRule="atLeast"/>
        </w:trPr>
        <w:tc>
          <w:tcPr>
            <w:tcW w:w="967" w:type="dxa"/>
            <w:shd w:val="clear" w:color="auto" w:fill="44536A"/>
          </w:tcPr>
          <w:p>
            <w:pPr>
              <w:pStyle w:val="TableParagraph"/>
              <w:spacing w:line="240" w:lineRule="atLeast" w:before="30"/>
              <w:ind w:left="69" w:right="230"/>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39" w:type="dxa"/>
            <w:shd w:val="clear" w:color="auto" w:fill="C8C8C8"/>
          </w:tcPr>
          <w:p>
            <w:pPr>
              <w:pStyle w:val="TableParagraph"/>
              <w:rPr>
                <w:rFonts w:ascii="Times New Roman"/>
                <w:sz w:val="22"/>
              </w:rPr>
            </w:pPr>
          </w:p>
        </w:tc>
        <w:tc>
          <w:tcPr>
            <w:tcW w:w="588" w:type="dxa"/>
          </w:tcPr>
          <w:p>
            <w:pPr>
              <w:pStyle w:val="TableParagraph"/>
              <w:rPr>
                <w:rFonts w:ascii="Times New Roman"/>
                <w:sz w:val="22"/>
              </w:rPr>
            </w:pPr>
          </w:p>
        </w:tc>
        <w:tc>
          <w:tcPr>
            <w:tcW w:w="681" w:type="dxa"/>
          </w:tcPr>
          <w:p>
            <w:pPr>
              <w:pStyle w:val="TableParagraph"/>
              <w:rPr>
                <w:rFonts w:ascii="Times New Roman"/>
                <w:sz w:val="22"/>
              </w:rPr>
            </w:pPr>
          </w:p>
        </w:tc>
        <w:tc>
          <w:tcPr>
            <w:tcW w:w="770" w:type="dxa"/>
          </w:tcPr>
          <w:p>
            <w:pPr>
              <w:pStyle w:val="TableParagraph"/>
              <w:spacing w:before="11"/>
              <w:rPr>
                <w:sz w:val="16"/>
              </w:rPr>
            </w:pPr>
          </w:p>
          <w:p>
            <w:pPr>
              <w:pStyle w:val="TableParagraph"/>
              <w:ind w:left="15" w:right="5"/>
              <w:jc w:val="center"/>
              <w:rPr>
                <w:sz w:val="16"/>
              </w:rPr>
            </w:pPr>
            <w:r>
              <w:rPr>
                <w:spacing w:val="-2"/>
                <w:sz w:val="16"/>
              </w:rPr>
              <w:t>373.08%</w:t>
            </w:r>
          </w:p>
        </w:tc>
        <w:tc>
          <w:tcPr>
            <w:tcW w:w="679" w:type="dxa"/>
            <w:shd w:val="clear" w:color="auto" w:fill="C8C8C8"/>
          </w:tcPr>
          <w:p>
            <w:pPr>
              <w:pStyle w:val="TableParagraph"/>
              <w:rPr>
                <w:rFonts w:ascii="Times New Roman"/>
                <w:sz w:val="22"/>
              </w:rPr>
            </w:pPr>
          </w:p>
        </w:tc>
        <w:tc>
          <w:tcPr>
            <w:tcW w:w="679" w:type="dxa"/>
            <w:shd w:val="clear" w:color="auto" w:fill="C8C8C8"/>
          </w:tcPr>
          <w:p>
            <w:pPr>
              <w:pStyle w:val="TableParagraph"/>
              <w:rPr>
                <w:rFonts w:ascii="Times New Roman"/>
                <w:sz w:val="22"/>
              </w:rPr>
            </w:pPr>
          </w:p>
        </w:tc>
        <w:tc>
          <w:tcPr>
            <w:tcW w:w="679" w:type="dxa"/>
            <w:shd w:val="clear" w:color="auto" w:fill="C8C8C8"/>
          </w:tcPr>
          <w:p>
            <w:pPr>
              <w:pStyle w:val="TableParagraph"/>
              <w:rPr>
                <w:rFonts w:ascii="Times New Roman"/>
                <w:sz w:val="22"/>
              </w:rPr>
            </w:pPr>
          </w:p>
        </w:tc>
        <w:tc>
          <w:tcPr>
            <w:tcW w:w="679" w:type="dxa"/>
            <w:shd w:val="clear" w:color="auto" w:fill="C8C8C8"/>
          </w:tcPr>
          <w:p>
            <w:pPr>
              <w:pStyle w:val="TableParagraph"/>
              <w:rPr>
                <w:rFonts w:ascii="Times New Roman"/>
                <w:sz w:val="22"/>
              </w:rPr>
            </w:pPr>
          </w:p>
        </w:tc>
        <w:tc>
          <w:tcPr>
            <w:tcW w:w="677" w:type="dxa"/>
            <w:shd w:val="clear" w:color="auto" w:fill="C8C8C8"/>
          </w:tcPr>
          <w:p>
            <w:pPr>
              <w:pStyle w:val="TableParagraph"/>
              <w:rPr>
                <w:rFonts w:ascii="Times New Roman"/>
                <w:sz w:val="22"/>
              </w:rPr>
            </w:pPr>
          </w:p>
        </w:tc>
        <w:tc>
          <w:tcPr>
            <w:tcW w:w="680" w:type="dxa"/>
            <w:shd w:val="clear" w:color="auto" w:fill="C8C8C8"/>
          </w:tcPr>
          <w:p>
            <w:pPr>
              <w:pStyle w:val="TableParagraph"/>
              <w:rPr>
                <w:rFonts w:ascii="Times New Roman"/>
                <w:sz w:val="22"/>
              </w:rPr>
            </w:pPr>
          </w:p>
        </w:tc>
        <w:tc>
          <w:tcPr>
            <w:tcW w:w="679" w:type="dxa"/>
            <w:shd w:val="clear" w:color="auto" w:fill="C8C8C8"/>
          </w:tcPr>
          <w:p>
            <w:pPr>
              <w:pStyle w:val="TableParagraph"/>
              <w:rPr>
                <w:rFonts w:ascii="Times New Roman"/>
                <w:sz w:val="22"/>
              </w:rPr>
            </w:pPr>
          </w:p>
        </w:tc>
      </w:tr>
    </w:tbl>
    <w:p>
      <w:pPr>
        <w:pStyle w:val="BodyText"/>
      </w:pPr>
    </w:p>
    <w:p>
      <w:pPr>
        <w:pStyle w:val="BodyText"/>
        <w:spacing w:before="15"/>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9" w:lineRule="auto" w:before="234"/>
        <w:ind w:left="143" w:right="713"/>
        <w:jc w:val="both"/>
      </w:pPr>
      <w:r>
        <w:rPr/>
        <w:t>Tal como se mencionó en la sección anterior el servicio cuenta con tres indicadores de calidad:</w:t>
      </w:r>
    </w:p>
    <w:p>
      <w:pPr>
        <w:pStyle w:val="ListParagraph"/>
        <w:numPr>
          <w:ilvl w:val="0"/>
          <w:numId w:val="12"/>
        </w:numPr>
        <w:tabs>
          <w:tab w:pos="441" w:val="left" w:leader="none"/>
        </w:tabs>
        <w:spacing w:line="307" w:lineRule="auto" w:before="155" w:after="0"/>
        <w:ind w:left="143" w:right="712" w:firstLine="0"/>
        <w:jc w:val="both"/>
        <w:rPr>
          <w:sz w:val="24"/>
        </w:rPr>
      </w:pPr>
      <w:r>
        <w:rPr>
          <w:sz w:val="24"/>
        </w:rPr>
        <w:t>Porcentaje de IESP/EESP que implementan el DCBN de los Programas de Estudio de Formación Inicial Docente con Enfoque de Igualdad de Género.</w:t>
      </w:r>
    </w:p>
    <w:p>
      <w:pPr>
        <w:pStyle w:val="ListParagraph"/>
        <w:numPr>
          <w:ilvl w:val="0"/>
          <w:numId w:val="12"/>
        </w:numPr>
        <w:tabs>
          <w:tab w:pos="454" w:val="left" w:leader="none"/>
        </w:tabs>
        <w:spacing w:line="309" w:lineRule="auto" w:before="158" w:after="0"/>
        <w:ind w:left="143" w:right="712" w:firstLine="0"/>
        <w:jc w:val="both"/>
        <w:rPr>
          <w:sz w:val="24"/>
        </w:rPr>
      </w:pPr>
      <w:r>
        <w:rPr>
          <w:sz w:val="24"/>
        </w:rPr>
        <w:t>Porcentaje de programas y/o acciones de formación docente en servicio implementados con Enfoque de Igualdad de Género.</w:t>
      </w:r>
    </w:p>
    <w:p>
      <w:pPr>
        <w:pStyle w:val="ListParagraph"/>
        <w:numPr>
          <w:ilvl w:val="0"/>
          <w:numId w:val="12"/>
        </w:numPr>
        <w:tabs>
          <w:tab w:pos="559" w:val="left" w:leader="none"/>
        </w:tabs>
        <w:spacing w:line="307" w:lineRule="auto" w:before="154" w:after="0"/>
        <w:ind w:left="143" w:right="711" w:firstLine="0"/>
        <w:jc w:val="both"/>
        <w:rPr>
          <w:sz w:val="24"/>
        </w:rPr>
      </w:pPr>
      <w:r>
        <w:rPr>
          <w:sz w:val="24"/>
        </w:rPr>
        <w:t>Porcentaje de IESP/EESP e IGED que reciben asistencia técnica oportunamente para implementar los programas de formación inicial y formación en servicio con Enfoque de Igualdad de Género.</w:t>
      </w:r>
    </w:p>
    <w:p>
      <w:pPr>
        <w:pStyle w:val="BodyText"/>
        <w:spacing w:line="307" w:lineRule="auto" w:before="157"/>
        <w:ind w:left="143" w:right="705"/>
        <w:jc w:val="both"/>
      </w:pPr>
      <w:r>
        <w:rPr/>
        <w:t>Respecto a los dos primeros, se identifica que el servicio ha logrado incorporar el enfoque de igualdad</w:t>
      </w:r>
      <w:r>
        <w:rPr>
          <w:spacing w:val="-3"/>
        </w:rPr>
        <w:t> </w:t>
      </w:r>
      <w:r>
        <w:rPr/>
        <w:t>de género en el 100.0% de los programas de estudio de formación inicial docente y de los programas y acciones de formación de docente en servicio, superando su meta 2030 (95.0%). No obstante, no ha remitido una base de datos desagregada que permita realizar la verificación de </w:t>
      </w:r>
      <w:r>
        <w:rPr>
          <w:spacing w:val="-2"/>
        </w:rPr>
        <w:t>ello.</w:t>
      </w:r>
    </w:p>
    <w:p>
      <w:pPr>
        <w:pStyle w:val="BodyText"/>
        <w:spacing w:line="307" w:lineRule="auto" w:before="159"/>
        <w:ind w:left="143" w:right="705"/>
        <w:jc w:val="both"/>
      </w:pPr>
      <w:r>
        <w:rPr>
          <w:spacing w:val="-2"/>
        </w:rPr>
        <w:t>Respecto</w:t>
      </w:r>
      <w:r>
        <w:rPr>
          <w:spacing w:val="-15"/>
        </w:rPr>
        <w:t> </w:t>
      </w:r>
      <w:r>
        <w:rPr>
          <w:spacing w:val="-2"/>
        </w:rPr>
        <w:t>al</w:t>
      </w:r>
      <w:r>
        <w:rPr>
          <w:spacing w:val="-15"/>
        </w:rPr>
        <w:t> </w:t>
      </w:r>
      <w:r>
        <w:rPr>
          <w:spacing w:val="-2"/>
        </w:rPr>
        <w:t>tercer</w:t>
      </w:r>
      <w:r>
        <w:rPr>
          <w:spacing w:val="-14"/>
        </w:rPr>
        <w:t> </w:t>
      </w:r>
      <w:r>
        <w:rPr>
          <w:spacing w:val="-2"/>
        </w:rPr>
        <w:t>indicador,</w:t>
      </w:r>
      <w:r>
        <w:rPr>
          <w:spacing w:val="-15"/>
        </w:rPr>
        <w:t> </w:t>
      </w:r>
      <w:r>
        <w:rPr>
          <w:spacing w:val="-2"/>
        </w:rPr>
        <w:t>se</w:t>
      </w:r>
      <w:r>
        <w:rPr>
          <w:spacing w:val="-15"/>
        </w:rPr>
        <w:t> </w:t>
      </w:r>
      <w:r>
        <w:rPr>
          <w:spacing w:val="-2"/>
        </w:rPr>
        <w:t>evidencia</w:t>
      </w:r>
      <w:r>
        <w:rPr>
          <w:spacing w:val="-15"/>
        </w:rPr>
        <w:t> </w:t>
      </w:r>
      <w:r>
        <w:rPr>
          <w:spacing w:val="-2"/>
        </w:rPr>
        <w:t>que</w:t>
      </w:r>
      <w:r>
        <w:rPr>
          <w:spacing w:val="-14"/>
        </w:rPr>
        <w:t> </w:t>
      </w:r>
      <w:r>
        <w:rPr>
          <w:spacing w:val="-2"/>
        </w:rPr>
        <w:t>el</w:t>
      </w:r>
      <w:r>
        <w:rPr>
          <w:spacing w:val="-15"/>
        </w:rPr>
        <w:t> </w:t>
      </w:r>
      <w:r>
        <w:rPr>
          <w:spacing w:val="-2"/>
        </w:rPr>
        <w:t>93.3%</w:t>
      </w:r>
      <w:r>
        <w:rPr>
          <w:spacing w:val="-15"/>
        </w:rPr>
        <w:t> </w:t>
      </w:r>
      <w:r>
        <w:rPr>
          <w:spacing w:val="-2"/>
        </w:rPr>
        <w:t>de</w:t>
      </w:r>
      <w:r>
        <w:rPr>
          <w:spacing w:val="-14"/>
        </w:rPr>
        <w:t> </w:t>
      </w:r>
      <w:r>
        <w:rPr>
          <w:spacing w:val="-2"/>
        </w:rPr>
        <w:t>los</w:t>
      </w:r>
      <w:r>
        <w:rPr>
          <w:spacing w:val="-15"/>
        </w:rPr>
        <w:t> </w:t>
      </w:r>
      <w:r>
        <w:rPr>
          <w:spacing w:val="-2"/>
        </w:rPr>
        <w:t>IESP/EESP</w:t>
      </w:r>
      <w:r>
        <w:rPr>
          <w:spacing w:val="-15"/>
        </w:rPr>
        <w:t> </w:t>
      </w:r>
      <w:r>
        <w:rPr>
          <w:spacing w:val="-2"/>
        </w:rPr>
        <w:t>e</w:t>
      </w:r>
      <w:r>
        <w:rPr>
          <w:spacing w:val="-14"/>
        </w:rPr>
        <w:t> </w:t>
      </w:r>
      <w:r>
        <w:rPr>
          <w:spacing w:val="-2"/>
        </w:rPr>
        <w:t>IGED </w:t>
      </w:r>
      <w:r>
        <w:rPr>
          <w:w w:val="105"/>
        </w:rPr>
        <w:t>ha</w:t>
      </w:r>
      <w:r>
        <w:rPr>
          <w:w w:val="105"/>
        </w:rPr>
        <w:t> recibido</w:t>
      </w:r>
      <w:r>
        <w:rPr>
          <w:w w:val="105"/>
        </w:rPr>
        <w:t> asistencia técnica</w:t>
      </w:r>
      <w:r>
        <w:rPr>
          <w:w w:val="105"/>
        </w:rPr>
        <w:t> oportuna</w:t>
      </w:r>
      <w:r>
        <w:rPr>
          <w:w w:val="105"/>
        </w:rPr>
        <w:t> para</w:t>
      </w:r>
      <w:r>
        <w:rPr>
          <w:w w:val="105"/>
        </w:rPr>
        <w:t> implementar los</w:t>
      </w:r>
      <w:r>
        <w:rPr>
          <w:w w:val="105"/>
        </w:rPr>
        <w:t> programas</w:t>
      </w:r>
      <w:r>
        <w:rPr>
          <w:w w:val="105"/>
        </w:rPr>
        <w:t> de formación</w:t>
      </w:r>
      <w:r>
        <w:rPr>
          <w:w w:val="105"/>
        </w:rPr>
        <w:t> inicial</w:t>
      </w:r>
      <w:r>
        <w:rPr>
          <w:w w:val="105"/>
        </w:rPr>
        <w:t> y</w:t>
      </w:r>
      <w:r>
        <w:rPr>
          <w:w w:val="105"/>
        </w:rPr>
        <w:t> en</w:t>
      </w:r>
      <w:r>
        <w:rPr>
          <w:w w:val="105"/>
        </w:rPr>
        <w:t> servicio</w:t>
      </w:r>
      <w:r>
        <w:rPr>
          <w:w w:val="105"/>
        </w:rPr>
        <w:t> docente</w:t>
      </w:r>
      <w:r>
        <w:rPr>
          <w:w w:val="105"/>
        </w:rPr>
        <w:t> con</w:t>
      </w:r>
      <w:r>
        <w:rPr>
          <w:w w:val="105"/>
        </w:rPr>
        <w:t> enfoque</w:t>
      </w:r>
      <w:r>
        <w:rPr>
          <w:w w:val="105"/>
        </w:rPr>
        <w:t> de</w:t>
      </w:r>
      <w:r>
        <w:rPr>
          <w:w w:val="105"/>
        </w:rPr>
        <w:t> igualdad</w:t>
      </w:r>
      <w:r>
        <w:rPr>
          <w:w w:val="105"/>
        </w:rPr>
        <w:t> de</w:t>
      </w:r>
      <w:r>
        <w:rPr>
          <w:w w:val="105"/>
        </w:rPr>
        <w:t> género, logrando</w:t>
      </w:r>
      <w:r>
        <w:rPr>
          <w:spacing w:val="-18"/>
          <w:w w:val="105"/>
        </w:rPr>
        <w:t> </w:t>
      </w:r>
      <w:r>
        <w:rPr>
          <w:w w:val="105"/>
        </w:rPr>
        <w:t>superar</w:t>
      </w:r>
      <w:r>
        <w:rPr>
          <w:spacing w:val="-17"/>
          <w:w w:val="105"/>
        </w:rPr>
        <w:t> </w:t>
      </w:r>
      <w:r>
        <w:rPr>
          <w:w w:val="105"/>
        </w:rPr>
        <w:t>la</w:t>
      </w:r>
      <w:r>
        <w:rPr>
          <w:spacing w:val="-18"/>
          <w:w w:val="105"/>
        </w:rPr>
        <w:t> </w:t>
      </w:r>
      <w:r>
        <w:rPr>
          <w:w w:val="105"/>
        </w:rPr>
        <w:t>meta</w:t>
      </w:r>
      <w:r>
        <w:rPr>
          <w:spacing w:val="-18"/>
          <w:w w:val="105"/>
        </w:rPr>
        <w:t> </w:t>
      </w:r>
      <w:r>
        <w:rPr>
          <w:w w:val="105"/>
        </w:rPr>
        <w:t>programada</w:t>
      </w:r>
      <w:r>
        <w:rPr>
          <w:spacing w:val="-17"/>
          <w:w w:val="105"/>
        </w:rPr>
        <w:t> </w:t>
      </w:r>
      <w:r>
        <w:rPr>
          <w:w w:val="105"/>
        </w:rPr>
        <w:t>para</w:t>
      </w:r>
      <w:r>
        <w:rPr>
          <w:spacing w:val="-18"/>
          <w:w w:val="105"/>
        </w:rPr>
        <w:t> </w:t>
      </w:r>
      <w:r>
        <w:rPr>
          <w:w w:val="105"/>
        </w:rPr>
        <w:t>el</w:t>
      </w:r>
      <w:r>
        <w:rPr>
          <w:spacing w:val="-17"/>
          <w:w w:val="105"/>
        </w:rPr>
        <w:t> </w:t>
      </w:r>
      <w:r>
        <w:rPr>
          <w:w w:val="105"/>
        </w:rPr>
        <w:t>2029</w:t>
      </w:r>
      <w:r>
        <w:rPr>
          <w:spacing w:val="-18"/>
          <w:w w:val="105"/>
        </w:rPr>
        <w:t> </w:t>
      </w:r>
      <w:r>
        <w:rPr>
          <w:w w:val="105"/>
        </w:rPr>
        <w:t>(85.0%).</w:t>
      </w:r>
    </w:p>
    <w:p>
      <w:pPr>
        <w:pStyle w:val="BodyText"/>
        <w:spacing w:line="307" w:lineRule="auto" w:before="156"/>
        <w:ind w:left="143" w:right="704"/>
        <w:jc w:val="both"/>
      </w:pPr>
      <w:r>
        <w:rPr/>
        <w:t>A lo anterior se suma el hecho de que existen indicios de desconocimiento de</w:t>
      </w:r>
      <w:r>
        <w:rPr>
          <w:spacing w:val="40"/>
        </w:rPr>
        <w:t> </w:t>
      </w:r>
      <w:r>
        <w:rPr/>
        <w:t>la situación previo al establecimiento de metas debido a que los indicadores no cuentan con línea base. Esto pudo originar que, al momento de proyectar las metas, se estableciera situación inicial más crítica a la real.</w:t>
      </w:r>
    </w:p>
    <w:p>
      <w:pPr>
        <w:pStyle w:val="BodyText"/>
        <w:spacing w:line="307" w:lineRule="auto" w:before="160"/>
        <w:ind w:left="143" w:right="705"/>
        <w:jc w:val="both"/>
      </w:pPr>
      <w:r>
        <w:rPr/>
        <w:t>Respecto al cálculo del indicador, es importante mencionar que en la ficha del indicador no se han definido criterios para identificar que los programas y acciones formativas docentes cuenten o se implementen con un enfoque de igualdad</w:t>
      </w:r>
      <w:r>
        <w:rPr>
          <w:spacing w:val="-4"/>
        </w:rPr>
        <w:t> </w:t>
      </w:r>
      <w:r>
        <w:rPr/>
        <w:t>de</w:t>
      </w:r>
      <w:r>
        <w:rPr>
          <w:spacing w:val="-5"/>
        </w:rPr>
        <w:t> </w:t>
      </w:r>
      <w:r>
        <w:rPr/>
        <w:t>género.</w:t>
      </w:r>
      <w:r>
        <w:rPr>
          <w:spacing w:val="-5"/>
        </w:rPr>
        <w:t> </w:t>
      </w:r>
      <w:r>
        <w:rPr/>
        <w:t>En</w:t>
      </w:r>
      <w:r>
        <w:rPr>
          <w:spacing w:val="-3"/>
        </w:rPr>
        <w:t> </w:t>
      </w:r>
      <w:r>
        <w:rPr/>
        <w:t>ese</w:t>
      </w:r>
      <w:r>
        <w:rPr>
          <w:spacing w:val="-5"/>
        </w:rPr>
        <w:t> </w:t>
      </w:r>
      <w:r>
        <w:rPr/>
        <w:t>sentido,</w:t>
      </w:r>
      <w:r>
        <w:rPr>
          <w:spacing w:val="-4"/>
        </w:rPr>
        <w:t> </w:t>
      </w:r>
      <w:r>
        <w:rPr/>
        <w:t>no</w:t>
      </w:r>
      <w:r>
        <w:rPr>
          <w:spacing w:val="-5"/>
        </w:rPr>
        <w:t> </w:t>
      </w:r>
      <w:r>
        <w:rPr/>
        <w:t>se</w:t>
      </w:r>
      <w:r>
        <w:rPr>
          <w:spacing w:val="-5"/>
        </w:rPr>
        <w:t> </w:t>
      </w:r>
      <w:r>
        <w:rPr/>
        <w:t>tiene</w:t>
      </w:r>
      <w:r>
        <w:rPr>
          <w:spacing w:val="-3"/>
        </w:rPr>
        <w:t> </w:t>
      </w:r>
      <w:r>
        <w:rPr/>
        <w:t>claridad</w:t>
      </w:r>
      <w:r>
        <w:rPr>
          <w:spacing w:val="-5"/>
        </w:rPr>
        <w:t> </w:t>
      </w:r>
      <w:r>
        <w:rPr/>
        <w:t>de</w:t>
      </w:r>
      <w:r>
        <w:rPr>
          <w:spacing w:val="-5"/>
        </w:rPr>
        <w:t> </w:t>
      </w:r>
      <w:r>
        <w:rPr/>
        <w:t>cómo</w:t>
      </w:r>
      <w:r>
        <w:rPr>
          <w:spacing w:val="-7"/>
        </w:rPr>
        <w:t> </w:t>
      </w:r>
      <w:r>
        <w:rPr/>
        <w:t>se</w:t>
      </w:r>
      <w:r>
        <w:rPr>
          <w:spacing w:val="-3"/>
        </w:rPr>
        <w:t> </w:t>
      </w:r>
      <w:r>
        <w:rPr/>
        <w:t>operativiza este concepto al momento de realizar el cálculo del numerador de los indicadores. Adicionalmente, en el tercer indicador, no se ha definido los criterios bajo los cuales se considera que el servicio se</w:t>
      </w:r>
      <w:r>
        <w:rPr>
          <w:spacing w:val="23"/>
        </w:rPr>
        <w:t> </w:t>
      </w:r>
      <w:r>
        <w:rPr/>
        <w:t>brindó oportunamente.</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7"/>
        <w:jc w:val="both"/>
      </w:pPr>
      <w:r>
        <w:rPr>
          <w:w w:val="105"/>
        </w:rPr>
        <w:t>Dificultando</w:t>
      </w:r>
      <w:r>
        <w:rPr>
          <w:spacing w:val="-16"/>
          <w:w w:val="105"/>
        </w:rPr>
        <w:t> </w:t>
      </w:r>
      <w:r>
        <w:rPr>
          <w:w w:val="105"/>
        </w:rPr>
        <w:t>la</w:t>
      </w:r>
      <w:r>
        <w:rPr>
          <w:spacing w:val="-14"/>
          <w:w w:val="105"/>
        </w:rPr>
        <w:t> </w:t>
      </w:r>
      <w:r>
        <w:rPr>
          <w:w w:val="105"/>
        </w:rPr>
        <w:t>interpretación</w:t>
      </w:r>
      <w:r>
        <w:rPr>
          <w:spacing w:val="-14"/>
          <w:w w:val="105"/>
        </w:rPr>
        <w:t> </w:t>
      </w:r>
      <w:r>
        <w:rPr>
          <w:w w:val="105"/>
        </w:rPr>
        <w:t>de</w:t>
      </w:r>
      <w:r>
        <w:rPr>
          <w:spacing w:val="-16"/>
          <w:w w:val="105"/>
        </w:rPr>
        <w:t> </w:t>
      </w:r>
      <w:r>
        <w:rPr>
          <w:w w:val="105"/>
        </w:rPr>
        <w:t>los</w:t>
      </w:r>
      <w:r>
        <w:rPr>
          <w:spacing w:val="-13"/>
          <w:w w:val="105"/>
        </w:rPr>
        <w:t> </w:t>
      </w:r>
      <w:r>
        <w:rPr>
          <w:w w:val="105"/>
        </w:rPr>
        <w:t>resultados.</w:t>
      </w:r>
      <w:r>
        <w:rPr>
          <w:spacing w:val="-8"/>
          <w:w w:val="105"/>
        </w:rPr>
        <w:t> </w:t>
      </w:r>
      <w:r>
        <w:rPr>
          <w:w w:val="105"/>
        </w:rPr>
        <w:t>Esto</w:t>
      </w:r>
      <w:r>
        <w:rPr>
          <w:spacing w:val="-13"/>
          <w:w w:val="105"/>
        </w:rPr>
        <w:t> </w:t>
      </w:r>
      <w:r>
        <w:rPr>
          <w:w w:val="105"/>
        </w:rPr>
        <w:t>dificulta</w:t>
      </w:r>
      <w:r>
        <w:rPr>
          <w:spacing w:val="-14"/>
          <w:w w:val="105"/>
        </w:rPr>
        <w:t> </w:t>
      </w:r>
      <w:r>
        <w:rPr>
          <w:w w:val="105"/>
        </w:rPr>
        <w:t>la</w:t>
      </w:r>
      <w:r>
        <w:rPr>
          <w:spacing w:val="-14"/>
          <w:w w:val="105"/>
        </w:rPr>
        <w:t> </w:t>
      </w:r>
      <w:r>
        <w:rPr>
          <w:w w:val="105"/>
        </w:rPr>
        <w:t>interpretación de</w:t>
      </w:r>
      <w:r>
        <w:rPr>
          <w:spacing w:val="-2"/>
          <w:w w:val="105"/>
        </w:rPr>
        <w:t> </w:t>
      </w:r>
      <w:r>
        <w:rPr>
          <w:w w:val="105"/>
        </w:rPr>
        <w:t>los</w:t>
      </w:r>
      <w:r>
        <w:rPr>
          <w:spacing w:val="-1"/>
          <w:w w:val="105"/>
        </w:rPr>
        <w:t> </w:t>
      </w:r>
      <w:r>
        <w:rPr>
          <w:w w:val="105"/>
        </w:rPr>
        <w:t>resultados</w:t>
      </w:r>
      <w:r>
        <w:rPr>
          <w:spacing w:val="-1"/>
          <w:w w:val="105"/>
        </w:rPr>
        <w:t> </w:t>
      </w:r>
      <w:r>
        <w:rPr>
          <w:w w:val="105"/>
        </w:rPr>
        <w:t>antes</w:t>
      </w:r>
      <w:r>
        <w:rPr>
          <w:spacing w:val="-1"/>
          <w:w w:val="105"/>
        </w:rPr>
        <w:t> </w:t>
      </w:r>
      <w:r>
        <w:rPr>
          <w:w w:val="105"/>
        </w:rPr>
        <w:t>descritos.</w:t>
      </w:r>
    </w:p>
    <w:p>
      <w:pPr>
        <w:pStyle w:val="BodyText"/>
        <w:spacing w:line="307" w:lineRule="auto" w:before="158"/>
        <w:ind w:left="143" w:right="705"/>
        <w:jc w:val="both"/>
      </w:pPr>
      <w:r>
        <w:rPr/>
        <w:t>Asimismo, se observa que para el cálculo del segundo indicador se ha considerado la aprobación de la norma técnica denominada “Programa Nacional de Formación Docente en Servicio 2023, mediante Resolución Viceministerial N°089-2023-MINEDU. La norma señala que el mencionado Programa debe ser diseñado con enfoque de género; no obstante, no detalla las</w:t>
      </w:r>
      <w:r>
        <w:rPr>
          <w:spacing w:val="-14"/>
        </w:rPr>
        <w:t> </w:t>
      </w:r>
      <w:r>
        <w:rPr/>
        <w:t>características</w:t>
      </w:r>
      <w:r>
        <w:rPr>
          <w:spacing w:val="-10"/>
        </w:rPr>
        <w:t> </w:t>
      </w:r>
      <w:r>
        <w:rPr/>
        <w:t>mínimas</w:t>
      </w:r>
      <w:r>
        <w:rPr>
          <w:spacing w:val="-10"/>
        </w:rPr>
        <w:t> </w:t>
      </w:r>
      <w:r>
        <w:rPr/>
        <w:t>de</w:t>
      </w:r>
      <w:r>
        <w:rPr>
          <w:spacing w:val="-14"/>
        </w:rPr>
        <w:t> </w:t>
      </w:r>
      <w:r>
        <w:rPr/>
        <w:t>los</w:t>
      </w:r>
      <w:r>
        <w:rPr>
          <w:spacing w:val="-10"/>
        </w:rPr>
        <w:t> </w:t>
      </w:r>
      <w:r>
        <w:rPr/>
        <w:t>programas</w:t>
      </w:r>
      <w:r>
        <w:rPr>
          <w:spacing w:val="-14"/>
        </w:rPr>
        <w:t> </w:t>
      </w:r>
      <w:r>
        <w:rPr/>
        <w:t>formativos</w:t>
      </w:r>
      <w:r>
        <w:rPr>
          <w:spacing w:val="-14"/>
        </w:rPr>
        <w:t> </w:t>
      </w:r>
      <w:r>
        <w:rPr/>
        <w:t>con</w:t>
      </w:r>
      <w:r>
        <w:rPr>
          <w:spacing w:val="-15"/>
        </w:rPr>
        <w:t> </w:t>
      </w:r>
      <w:r>
        <w:rPr/>
        <w:t>enfoque</w:t>
      </w:r>
      <w:r>
        <w:rPr>
          <w:spacing w:val="-12"/>
        </w:rPr>
        <w:t> </w:t>
      </w:r>
      <w:r>
        <w:rPr/>
        <w:t>de</w:t>
      </w:r>
      <w:r>
        <w:rPr>
          <w:spacing w:val="-12"/>
        </w:rPr>
        <w:t> </w:t>
      </w:r>
      <w:r>
        <w:rPr/>
        <w:t>género. En ese sentido, el documento no garantiza que los programas formativos incorporen el enfoque de igualdad de género de manera homogénea o con características mínimas indispensables.</w:t>
      </w:r>
    </w:p>
    <w:p>
      <w:pPr>
        <w:pStyle w:val="BodyText"/>
        <w:spacing w:line="307" w:lineRule="auto" w:before="155"/>
        <w:ind w:left="143" w:right="706"/>
        <w:jc w:val="both"/>
      </w:pPr>
      <w:r>
        <w:rPr/>
        <w:t>En ese sentido, adicional a que el indicador es afectado por el contexto señalado,</w:t>
      </w:r>
      <w:r>
        <w:rPr>
          <w:spacing w:val="-17"/>
        </w:rPr>
        <w:t> </w:t>
      </w:r>
      <w:r>
        <w:rPr/>
        <w:t>existe</w:t>
      </w:r>
      <w:r>
        <w:rPr>
          <w:spacing w:val="-17"/>
        </w:rPr>
        <w:t> </w:t>
      </w:r>
      <w:r>
        <w:rPr/>
        <w:t>una</w:t>
      </w:r>
      <w:r>
        <w:rPr>
          <w:spacing w:val="-15"/>
        </w:rPr>
        <w:t> </w:t>
      </w:r>
      <w:r>
        <w:rPr/>
        <w:t>necesidad</w:t>
      </w:r>
      <w:r>
        <w:rPr>
          <w:spacing w:val="-13"/>
        </w:rPr>
        <w:t> </w:t>
      </w:r>
      <w:r>
        <w:rPr/>
        <w:t>urgente</w:t>
      </w:r>
      <w:r>
        <w:rPr>
          <w:spacing w:val="-17"/>
        </w:rPr>
        <w:t> </w:t>
      </w:r>
      <w:r>
        <w:rPr/>
        <w:t>de</w:t>
      </w:r>
      <w:r>
        <w:rPr>
          <w:spacing w:val="-14"/>
        </w:rPr>
        <w:t> </w:t>
      </w:r>
      <w:r>
        <w:rPr/>
        <w:t>mejorar</w:t>
      </w:r>
      <w:r>
        <w:rPr>
          <w:spacing w:val="-16"/>
        </w:rPr>
        <w:t> </w:t>
      </w:r>
      <w:r>
        <w:rPr/>
        <w:t>las</w:t>
      </w:r>
      <w:r>
        <w:rPr>
          <w:spacing w:val="-14"/>
        </w:rPr>
        <w:t> </w:t>
      </w:r>
      <w:r>
        <w:rPr/>
        <w:t>especificaciones</w:t>
      </w:r>
      <w:r>
        <w:rPr>
          <w:spacing w:val="-14"/>
        </w:rPr>
        <w:t> </w:t>
      </w:r>
      <w:r>
        <w:rPr/>
        <w:t>técnicas del indicador asi como modificar las metas que correspondan, en función a las condiciones actuales del servicio y su contribución esperada en la política. Además, es necesario que se mejore el reporte de la base de datos a fin de poder verificar la información desagregada.</w:t>
      </w:r>
    </w:p>
    <w:p>
      <w:pPr>
        <w:pStyle w:val="BodyText"/>
      </w:pPr>
    </w:p>
    <w:p>
      <w:pPr>
        <w:pStyle w:val="BodyText"/>
        <w:spacing w:before="119"/>
      </w:pPr>
    </w:p>
    <w:p>
      <w:pPr>
        <w:pStyle w:val="BodyText"/>
        <w:ind w:left="143"/>
        <w:jc w:val="both"/>
      </w:pPr>
      <w:bookmarkStart w:name="_bookmark16" w:id="17"/>
      <w:bookmarkEnd w:id="17"/>
      <w:r>
        <w:rPr/>
      </w:r>
      <w:r>
        <w:rPr>
          <w:color w:val="1F3762"/>
        </w:rPr>
        <w:t>Bajo</w:t>
      </w:r>
      <w:r>
        <w:rPr>
          <w:color w:val="1F3762"/>
          <w:spacing w:val="-9"/>
        </w:rPr>
        <w:t> </w:t>
      </w:r>
      <w:r>
        <w:rPr>
          <w:color w:val="1F3762"/>
        </w:rPr>
        <w:t>nivel</w:t>
      </w:r>
      <w:r>
        <w:rPr>
          <w:color w:val="1F3762"/>
          <w:spacing w:val="-8"/>
        </w:rPr>
        <w:t> </w:t>
      </w:r>
      <w:r>
        <w:rPr>
          <w:color w:val="1F3762"/>
        </w:rPr>
        <w:t>de</w:t>
      </w:r>
      <w:r>
        <w:rPr>
          <w:color w:val="1F3762"/>
          <w:spacing w:val="-11"/>
        </w:rPr>
        <w:t> </w:t>
      </w:r>
      <w:r>
        <w:rPr>
          <w:color w:val="1F3762"/>
          <w:spacing w:val="-2"/>
        </w:rPr>
        <w:t>cumplimiento</w:t>
      </w:r>
    </w:p>
    <w:p>
      <w:pPr>
        <w:pStyle w:val="BodyText"/>
        <w:spacing w:before="39"/>
      </w:pPr>
    </w:p>
    <w:p>
      <w:pPr>
        <w:pStyle w:val="BodyText"/>
        <w:spacing w:line="307" w:lineRule="auto"/>
        <w:ind w:left="143" w:right="710"/>
        <w:jc w:val="both"/>
      </w:pPr>
      <w:r>
        <w:rPr/>
        <w:t>A continuación, se analizan los indicadores con un bajo nivel de cumplimiento, compartiendo algunas evidencias que respondan a la pregunta: ¿por qué el indicador de servicio presenta un nivel de cumplimiento bajo? Para ello se analizó las metas del indicador, la información cualitativa reportada por el servicio y la información reportada por el sector.</w:t>
      </w:r>
    </w:p>
    <w:p>
      <w:pPr>
        <w:pStyle w:val="ListParagraph"/>
        <w:numPr>
          <w:ilvl w:val="2"/>
          <w:numId w:val="3"/>
        </w:numPr>
        <w:tabs>
          <w:tab w:pos="1222" w:val="left" w:leader="none"/>
        </w:tabs>
        <w:spacing w:line="307" w:lineRule="auto" w:before="159" w:after="0"/>
        <w:ind w:left="1222" w:right="710" w:hanging="720"/>
        <w:jc w:val="both"/>
        <w:rPr>
          <w:sz w:val="24"/>
        </w:rPr>
      </w:pPr>
      <w:r>
        <w:rPr>
          <w:color w:val="2E5395"/>
          <w:sz w:val="24"/>
        </w:rPr>
        <w:t>Servicio 01.01.07 Defensa Pública especializada intercultural, accesible, oportuna, efectiva, disponible y de calidad para la protección y sanción de la violencia contra las mujeres, integrantes del grupo familiar y en delitos sexuales en agravio de niños, niña y </w:t>
      </w:r>
      <w:r>
        <w:rPr>
          <w:color w:val="2E5395"/>
          <w:spacing w:val="-2"/>
          <w:sz w:val="24"/>
        </w:rPr>
        <w:t>adolescente.</w:t>
      </w:r>
    </w:p>
    <w:p>
      <w:pPr>
        <w:pStyle w:val="ListParagraph"/>
        <w:numPr>
          <w:ilvl w:val="3"/>
          <w:numId w:val="3"/>
        </w:numPr>
        <w:tabs>
          <w:tab w:pos="862" w:val="left" w:leader="none"/>
        </w:tabs>
        <w:spacing w:line="275" w:lineRule="exact" w:before="0"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before="40"/>
        <w:rPr>
          <w:rFonts w:ascii="Arial"/>
          <w:i/>
        </w:rPr>
      </w:pPr>
    </w:p>
    <w:p>
      <w:pPr>
        <w:pStyle w:val="BodyText"/>
        <w:spacing w:line="307" w:lineRule="auto"/>
        <w:ind w:left="143" w:right="705"/>
        <w:jc w:val="both"/>
      </w:pPr>
      <w:r>
        <w:rPr/>
        <w:t>El servicio consiste brindar asesoría técnica legal y/o patrocinio en materia de familia y penal, en el marco de la Ley 30364, a mujeres e integrantes del grupo familiar víctimas de violencia; niños niñas y adolescentes, víctimas de delitos sexuales y personas integrantes de grupos de especial protección, que sean víctimas de violencia de género.</w:t>
      </w:r>
    </w:p>
    <w:p>
      <w:pPr>
        <w:pStyle w:val="BodyText"/>
        <w:spacing w:after="0" w:line="307" w:lineRule="auto"/>
        <w:jc w:val="both"/>
        <w:sectPr>
          <w:pgSz w:w="11910" w:h="16840"/>
          <w:pgMar w:header="713" w:footer="1000" w:top="1420" w:bottom="1200" w:left="1559" w:right="992"/>
        </w:sectPr>
      </w:pPr>
    </w:p>
    <w:p>
      <w:pPr>
        <w:spacing w:line="307" w:lineRule="auto" w:before="123"/>
        <w:ind w:left="143" w:right="705" w:firstLine="0"/>
        <w:jc w:val="both"/>
        <w:rPr>
          <w:rFonts w:ascii="Arial" w:hAnsi="Arial"/>
          <w:i/>
          <w:sz w:val="24"/>
        </w:rPr>
      </w:pPr>
      <w:r>
        <w:rPr>
          <w:sz w:val="24"/>
        </w:rPr>
        <w:t>El responsable de la provisión del servicio es el MINJUSDH. En el marco de la política,</w:t>
      </w:r>
      <w:r>
        <w:rPr>
          <w:spacing w:val="-17"/>
          <w:sz w:val="24"/>
        </w:rPr>
        <w:t> </w:t>
      </w:r>
      <w:r>
        <w:rPr>
          <w:sz w:val="24"/>
        </w:rPr>
        <w:t>la</w:t>
      </w:r>
      <w:r>
        <w:rPr>
          <w:spacing w:val="-17"/>
          <w:sz w:val="24"/>
        </w:rPr>
        <w:t> </w:t>
      </w:r>
      <w:r>
        <w:rPr>
          <w:sz w:val="24"/>
        </w:rPr>
        <w:t>calidad</w:t>
      </w:r>
      <w:r>
        <w:rPr>
          <w:spacing w:val="-16"/>
          <w:sz w:val="24"/>
        </w:rPr>
        <w:t> </w:t>
      </w:r>
      <w:r>
        <w:rPr>
          <w:sz w:val="24"/>
        </w:rPr>
        <w:t>del</w:t>
      </w:r>
      <w:r>
        <w:rPr>
          <w:spacing w:val="-17"/>
          <w:sz w:val="24"/>
        </w:rPr>
        <w:t> </w:t>
      </w:r>
      <w:r>
        <w:rPr>
          <w:sz w:val="24"/>
        </w:rPr>
        <w:t>servicio</w:t>
      </w:r>
      <w:r>
        <w:rPr>
          <w:spacing w:val="-17"/>
          <w:sz w:val="24"/>
        </w:rPr>
        <w:t> </w:t>
      </w:r>
      <w:r>
        <w:rPr>
          <w:sz w:val="24"/>
        </w:rPr>
        <w:t>se</w:t>
      </w:r>
      <w:r>
        <w:rPr>
          <w:spacing w:val="-17"/>
          <w:sz w:val="24"/>
        </w:rPr>
        <w:t> </w:t>
      </w:r>
      <w:r>
        <w:rPr>
          <w:sz w:val="24"/>
        </w:rPr>
        <w:t>mide</w:t>
      </w:r>
      <w:r>
        <w:rPr>
          <w:spacing w:val="-16"/>
          <w:sz w:val="24"/>
        </w:rPr>
        <w:t> </w:t>
      </w:r>
      <w:r>
        <w:rPr>
          <w:sz w:val="24"/>
        </w:rPr>
        <w:t>a</w:t>
      </w:r>
      <w:r>
        <w:rPr>
          <w:spacing w:val="-17"/>
          <w:sz w:val="24"/>
        </w:rPr>
        <w:t> </w:t>
      </w:r>
      <w:r>
        <w:rPr>
          <w:sz w:val="24"/>
        </w:rPr>
        <w:t>través</w:t>
      </w:r>
      <w:r>
        <w:rPr>
          <w:spacing w:val="-17"/>
          <w:sz w:val="24"/>
        </w:rPr>
        <w:t> </w:t>
      </w:r>
      <w:r>
        <w:rPr>
          <w:sz w:val="24"/>
        </w:rPr>
        <w:t>de</w:t>
      </w:r>
      <w:r>
        <w:rPr>
          <w:spacing w:val="-16"/>
          <w:sz w:val="24"/>
        </w:rPr>
        <w:t> </w:t>
      </w:r>
      <w:r>
        <w:rPr>
          <w:sz w:val="24"/>
        </w:rPr>
        <w:t>dos</w:t>
      </w:r>
      <w:r>
        <w:rPr>
          <w:spacing w:val="-17"/>
          <w:sz w:val="24"/>
        </w:rPr>
        <w:t> </w:t>
      </w:r>
      <w:r>
        <w:rPr>
          <w:sz w:val="24"/>
        </w:rPr>
        <w:t>indicadores</w:t>
      </w:r>
      <w:r>
        <w:rPr>
          <w:spacing w:val="-17"/>
          <w:sz w:val="24"/>
        </w:rPr>
        <w:t> </w:t>
      </w:r>
      <w:r>
        <w:rPr>
          <w:sz w:val="24"/>
        </w:rPr>
        <w:t>“</w:t>
      </w:r>
      <w:r>
        <w:rPr>
          <w:rFonts w:ascii="Arial" w:hAnsi="Arial"/>
          <w:i/>
          <w:sz w:val="24"/>
        </w:rPr>
        <w:t>Porcentaje</w:t>
      </w:r>
      <w:r>
        <w:rPr>
          <w:rFonts w:ascii="Arial" w:hAnsi="Arial"/>
          <w:i/>
          <w:spacing w:val="-16"/>
          <w:sz w:val="24"/>
        </w:rPr>
        <w:t> </w:t>
      </w:r>
      <w:r>
        <w:rPr>
          <w:rFonts w:ascii="Arial" w:hAnsi="Arial"/>
          <w:i/>
          <w:sz w:val="24"/>
        </w:rPr>
        <w:t>de patrocinios a personas afectadas por hechos de violencia contra las mujeres e integrantes</w:t>
      </w:r>
      <w:r>
        <w:rPr>
          <w:rFonts w:ascii="Arial" w:hAnsi="Arial"/>
          <w:i/>
          <w:spacing w:val="-16"/>
          <w:sz w:val="24"/>
        </w:rPr>
        <w:t> </w:t>
      </w:r>
      <w:r>
        <w:rPr>
          <w:rFonts w:ascii="Arial" w:hAnsi="Arial"/>
          <w:i/>
          <w:sz w:val="24"/>
        </w:rPr>
        <w:t>del</w:t>
      </w:r>
      <w:r>
        <w:rPr>
          <w:rFonts w:ascii="Arial" w:hAnsi="Arial"/>
          <w:i/>
          <w:spacing w:val="-16"/>
          <w:sz w:val="24"/>
        </w:rPr>
        <w:t> </w:t>
      </w:r>
      <w:r>
        <w:rPr>
          <w:rFonts w:ascii="Arial" w:hAnsi="Arial"/>
          <w:i/>
          <w:sz w:val="24"/>
        </w:rPr>
        <w:t>grupo</w:t>
      </w:r>
      <w:r>
        <w:rPr>
          <w:rFonts w:ascii="Arial" w:hAnsi="Arial"/>
          <w:i/>
          <w:spacing w:val="-15"/>
          <w:sz w:val="24"/>
        </w:rPr>
        <w:t> </w:t>
      </w:r>
      <w:r>
        <w:rPr>
          <w:rFonts w:ascii="Arial" w:hAnsi="Arial"/>
          <w:i/>
          <w:sz w:val="24"/>
        </w:rPr>
        <w:t>familiar,</w:t>
      </w:r>
      <w:r>
        <w:rPr>
          <w:rFonts w:ascii="Arial" w:hAnsi="Arial"/>
          <w:i/>
          <w:spacing w:val="-15"/>
          <w:sz w:val="24"/>
        </w:rPr>
        <w:t> </w:t>
      </w:r>
      <w:r>
        <w:rPr>
          <w:rFonts w:ascii="Arial" w:hAnsi="Arial"/>
          <w:i/>
          <w:sz w:val="24"/>
        </w:rPr>
        <w:t>realizados</w:t>
      </w:r>
      <w:r>
        <w:rPr>
          <w:rFonts w:ascii="Arial" w:hAnsi="Arial"/>
          <w:i/>
          <w:spacing w:val="-16"/>
          <w:sz w:val="24"/>
        </w:rPr>
        <w:t> </w:t>
      </w:r>
      <w:r>
        <w:rPr>
          <w:rFonts w:ascii="Arial" w:hAnsi="Arial"/>
          <w:i/>
          <w:sz w:val="24"/>
        </w:rPr>
        <w:t>por</w:t>
      </w:r>
      <w:r>
        <w:rPr>
          <w:rFonts w:ascii="Arial" w:hAnsi="Arial"/>
          <w:i/>
          <w:spacing w:val="-14"/>
          <w:sz w:val="24"/>
        </w:rPr>
        <w:t> </w:t>
      </w:r>
      <w:r>
        <w:rPr>
          <w:rFonts w:ascii="Arial" w:hAnsi="Arial"/>
          <w:i/>
          <w:sz w:val="24"/>
        </w:rPr>
        <w:t>las/os</w:t>
      </w:r>
      <w:r>
        <w:rPr>
          <w:rFonts w:ascii="Arial" w:hAnsi="Arial"/>
          <w:i/>
          <w:spacing w:val="-16"/>
          <w:sz w:val="24"/>
        </w:rPr>
        <w:t> </w:t>
      </w:r>
      <w:r>
        <w:rPr>
          <w:rFonts w:ascii="Arial" w:hAnsi="Arial"/>
          <w:i/>
          <w:sz w:val="24"/>
        </w:rPr>
        <w:t>defensoras/es</w:t>
      </w:r>
      <w:r>
        <w:rPr>
          <w:rFonts w:ascii="Arial" w:hAnsi="Arial"/>
          <w:i/>
          <w:spacing w:val="-16"/>
          <w:sz w:val="24"/>
        </w:rPr>
        <w:t> </w:t>
      </w:r>
      <w:r>
        <w:rPr>
          <w:rFonts w:ascii="Arial" w:hAnsi="Arial"/>
          <w:i/>
          <w:sz w:val="24"/>
        </w:rPr>
        <w:t>públicas/os</w:t>
      </w:r>
      <w:r>
        <w:rPr>
          <w:rFonts w:ascii="Arial" w:hAnsi="Arial"/>
          <w:i/>
          <w:spacing w:val="-15"/>
          <w:sz w:val="24"/>
        </w:rPr>
        <w:t> </w:t>
      </w:r>
      <w:r>
        <w:rPr>
          <w:rFonts w:ascii="Arial" w:hAnsi="Arial"/>
          <w:i/>
          <w:sz w:val="24"/>
        </w:rPr>
        <w:t>de defensa de víctimas, con medidas de protección solicitadas” y “Porcentaje de </w:t>
      </w:r>
      <w:r>
        <w:rPr>
          <w:rFonts w:ascii="Arial" w:hAnsi="Arial"/>
          <w:i/>
          <w:spacing w:val="-8"/>
          <w:sz w:val="24"/>
        </w:rPr>
        <w:t>patrocinios</w:t>
      </w:r>
      <w:r>
        <w:rPr>
          <w:rFonts w:ascii="Arial" w:hAnsi="Arial"/>
          <w:i/>
          <w:spacing w:val="-9"/>
          <w:sz w:val="24"/>
        </w:rPr>
        <w:t> </w:t>
      </w:r>
      <w:r>
        <w:rPr>
          <w:rFonts w:ascii="Arial" w:hAnsi="Arial"/>
          <w:i/>
          <w:spacing w:val="-8"/>
          <w:sz w:val="24"/>
        </w:rPr>
        <w:t>en materias</w:t>
      </w:r>
      <w:r>
        <w:rPr>
          <w:rFonts w:ascii="Arial" w:hAnsi="Arial"/>
          <w:i/>
          <w:spacing w:val="-6"/>
          <w:sz w:val="24"/>
        </w:rPr>
        <w:t> </w:t>
      </w:r>
      <w:r>
        <w:rPr>
          <w:rFonts w:ascii="Arial" w:hAnsi="Arial"/>
          <w:i/>
          <w:spacing w:val="-8"/>
          <w:sz w:val="24"/>
        </w:rPr>
        <w:t>conexas</w:t>
      </w:r>
      <w:r>
        <w:rPr>
          <w:rFonts w:ascii="Arial" w:hAnsi="Arial"/>
          <w:i/>
          <w:spacing w:val="-9"/>
          <w:sz w:val="24"/>
        </w:rPr>
        <w:t> </w:t>
      </w:r>
      <w:r>
        <w:rPr>
          <w:rFonts w:ascii="Arial" w:hAnsi="Arial"/>
          <w:i/>
          <w:spacing w:val="-8"/>
          <w:sz w:val="24"/>
        </w:rPr>
        <w:t>a personas</w:t>
      </w:r>
      <w:r>
        <w:rPr>
          <w:rFonts w:ascii="Arial" w:hAnsi="Arial"/>
          <w:i/>
          <w:spacing w:val="-6"/>
          <w:sz w:val="24"/>
        </w:rPr>
        <w:t> </w:t>
      </w:r>
      <w:r>
        <w:rPr>
          <w:rFonts w:ascii="Arial" w:hAnsi="Arial"/>
          <w:i/>
          <w:spacing w:val="-8"/>
          <w:sz w:val="24"/>
        </w:rPr>
        <w:t>afectadas</w:t>
      </w:r>
      <w:r>
        <w:rPr>
          <w:rFonts w:ascii="Arial" w:hAnsi="Arial"/>
          <w:i/>
          <w:spacing w:val="-6"/>
          <w:sz w:val="24"/>
        </w:rPr>
        <w:t> </w:t>
      </w:r>
      <w:r>
        <w:rPr>
          <w:rFonts w:ascii="Arial" w:hAnsi="Arial"/>
          <w:i/>
          <w:spacing w:val="-8"/>
          <w:sz w:val="24"/>
        </w:rPr>
        <w:t>por hechos de</w:t>
      </w:r>
      <w:r>
        <w:rPr>
          <w:rFonts w:ascii="Arial" w:hAnsi="Arial"/>
          <w:i/>
          <w:spacing w:val="-9"/>
          <w:sz w:val="24"/>
        </w:rPr>
        <w:t> </w:t>
      </w:r>
      <w:r>
        <w:rPr>
          <w:rFonts w:ascii="Arial" w:hAnsi="Arial"/>
          <w:i/>
          <w:spacing w:val="-8"/>
          <w:sz w:val="24"/>
        </w:rPr>
        <w:t>violencia contra </w:t>
      </w:r>
      <w:r>
        <w:rPr>
          <w:rFonts w:ascii="Arial" w:hAnsi="Arial"/>
          <w:i/>
          <w:sz w:val="24"/>
        </w:rPr>
        <w:t>las</w:t>
      </w:r>
      <w:r>
        <w:rPr>
          <w:rFonts w:ascii="Arial" w:hAnsi="Arial"/>
          <w:i/>
          <w:spacing w:val="-3"/>
          <w:sz w:val="24"/>
        </w:rPr>
        <w:t> </w:t>
      </w:r>
      <w:r>
        <w:rPr>
          <w:rFonts w:ascii="Arial" w:hAnsi="Arial"/>
          <w:i/>
          <w:sz w:val="24"/>
        </w:rPr>
        <w:t>mujeres</w:t>
      </w:r>
      <w:r>
        <w:rPr>
          <w:rFonts w:ascii="Arial" w:hAnsi="Arial"/>
          <w:i/>
          <w:spacing w:val="-3"/>
          <w:sz w:val="24"/>
        </w:rPr>
        <w:t> </w:t>
      </w:r>
      <w:r>
        <w:rPr>
          <w:rFonts w:ascii="Arial" w:hAnsi="Arial"/>
          <w:i/>
          <w:sz w:val="24"/>
        </w:rPr>
        <w:t>e</w:t>
      </w:r>
      <w:r>
        <w:rPr>
          <w:rFonts w:ascii="Arial" w:hAnsi="Arial"/>
          <w:i/>
          <w:spacing w:val="-3"/>
          <w:sz w:val="24"/>
        </w:rPr>
        <w:t> </w:t>
      </w:r>
      <w:r>
        <w:rPr>
          <w:rFonts w:ascii="Arial" w:hAnsi="Arial"/>
          <w:i/>
          <w:sz w:val="24"/>
        </w:rPr>
        <w:t>integrantes</w:t>
      </w:r>
      <w:r>
        <w:rPr>
          <w:rFonts w:ascii="Arial" w:hAnsi="Arial"/>
          <w:i/>
          <w:spacing w:val="-4"/>
          <w:sz w:val="24"/>
        </w:rPr>
        <w:t> </w:t>
      </w:r>
      <w:r>
        <w:rPr>
          <w:rFonts w:ascii="Arial" w:hAnsi="Arial"/>
          <w:i/>
          <w:sz w:val="24"/>
        </w:rPr>
        <w:t>del</w:t>
      </w:r>
      <w:r>
        <w:rPr>
          <w:rFonts w:ascii="Arial" w:hAnsi="Arial"/>
          <w:i/>
          <w:spacing w:val="-3"/>
          <w:sz w:val="24"/>
        </w:rPr>
        <w:t> </w:t>
      </w:r>
      <w:r>
        <w:rPr>
          <w:rFonts w:ascii="Arial" w:hAnsi="Arial"/>
          <w:i/>
          <w:sz w:val="24"/>
        </w:rPr>
        <w:t>grupo</w:t>
      </w:r>
      <w:r>
        <w:rPr>
          <w:rFonts w:ascii="Arial" w:hAnsi="Arial"/>
          <w:i/>
          <w:spacing w:val="-3"/>
          <w:sz w:val="24"/>
        </w:rPr>
        <w:t> </w:t>
      </w:r>
      <w:r>
        <w:rPr>
          <w:rFonts w:ascii="Arial" w:hAnsi="Arial"/>
          <w:i/>
          <w:sz w:val="24"/>
        </w:rPr>
        <w:t>familiar,</w:t>
      </w:r>
      <w:r>
        <w:rPr>
          <w:rFonts w:ascii="Arial" w:hAnsi="Arial"/>
          <w:i/>
          <w:spacing w:val="-2"/>
          <w:sz w:val="24"/>
        </w:rPr>
        <w:t> </w:t>
      </w:r>
      <w:r>
        <w:rPr>
          <w:rFonts w:ascii="Arial" w:hAnsi="Arial"/>
          <w:i/>
          <w:sz w:val="24"/>
        </w:rPr>
        <w:t>realizados</w:t>
      </w:r>
      <w:r>
        <w:rPr>
          <w:rFonts w:ascii="Arial" w:hAnsi="Arial"/>
          <w:i/>
          <w:spacing w:val="-3"/>
          <w:sz w:val="24"/>
        </w:rPr>
        <w:t> </w:t>
      </w:r>
      <w:r>
        <w:rPr>
          <w:rFonts w:ascii="Arial" w:hAnsi="Arial"/>
          <w:i/>
          <w:sz w:val="24"/>
        </w:rPr>
        <w:t>por</w:t>
      </w:r>
      <w:r>
        <w:rPr>
          <w:rFonts w:ascii="Arial" w:hAnsi="Arial"/>
          <w:i/>
          <w:spacing w:val="-3"/>
          <w:sz w:val="24"/>
        </w:rPr>
        <w:t> </w:t>
      </w:r>
      <w:r>
        <w:rPr>
          <w:rFonts w:ascii="Arial" w:hAnsi="Arial"/>
          <w:i/>
          <w:sz w:val="24"/>
        </w:rPr>
        <w:t>las/os</w:t>
      </w:r>
      <w:r>
        <w:rPr>
          <w:rFonts w:ascii="Arial" w:hAnsi="Arial"/>
          <w:i/>
          <w:spacing w:val="-3"/>
          <w:sz w:val="24"/>
        </w:rPr>
        <w:t> </w:t>
      </w:r>
      <w:r>
        <w:rPr>
          <w:rFonts w:ascii="Arial" w:hAnsi="Arial"/>
          <w:i/>
          <w:sz w:val="24"/>
        </w:rPr>
        <w:t>defensoras/es </w:t>
      </w:r>
      <w:r>
        <w:rPr>
          <w:rFonts w:ascii="Arial" w:hAnsi="Arial"/>
          <w:i/>
          <w:spacing w:val="-4"/>
          <w:sz w:val="24"/>
        </w:rPr>
        <w:t>públicas/os</w:t>
      </w:r>
      <w:r>
        <w:rPr>
          <w:rFonts w:ascii="Arial" w:hAnsi="Arial"/>
          <w:i/>
          <w:spacing w:val="-11"/>
          <w:sz w:val="24"/>
        </w:rPr>
        <w:t> </w:t>
      </w:r>
      <w:r>
        <w:rPr>
          <w:rFonts w:ascii="Arial" w:hAnsi="Arial"/>
          <w:i/>
          <w:spacing w:val="-4"/>
          <w:sz w:val="24"/>
        </w:rPr>
        <w:t>de</w:t>
      </w:r>
      <w:r>
        <w:rPr>
          <w:rFonts w:ascii="Arial" w:hAnsi="Arial"/>
          <w:i/>
          <w:spacing w:val="-10"/>
          <w:sz w:val="24"/>
        </w:rPr>
        <w:t> </w:t>
      </w:r>
      <w:r>
        <w:rPr>
          <w:rFonts w:ascii="Arial" w:hAnsi="Arial"/>
          <w:i/>
          <w:spacing w:val="-4"/>
          <w:sz w:val="24"/>
        </w:rPr>
        <w:t>asistencia</w:t>
      </w:r>
      <w:r>
        <w:rPr>
          <w:rFonts w:ascii="Arial" w:hAnsi="Arial"/>
          <w:i/>
          <w:spacing w:val="-10"/>
          <w:sz w:val="24"/>
        </w:rPr>
        <w:t> </w:t>
      </w:r>
      <w:r>
        <w:rPr>
          <w:rFonts w:ascii="Arial" w:hAnsi="Arial"/>
          <w:i/>
          <w:spacing w:val="-4"/>
          <w:sz w:val="24"/>
        </w:rPr>
        <w:t>legal,</w:t>
      </w:r>
      <w:r>
        <w:rPr>
          <w:rFonts w:ascii="Arial" w:hAnsi="Arial"/>
          <w:i/>
          <w:spacing w:val="-10"/>
          <w:sz w:val="24"/>
        </w:rPr>
        <w:t> </w:t>
      </w:r>
      <w:r>
        <w:rPr>
          <w:rFonts w:ascii="Arial" w:hAnsi="Arial"/>
          <w:i/>
          <w:spacing w:val="-4"/>
          <w:sz w:val="24"/>
        </w:rPr>
        <w:t>con</w:t>
      </w:r>
      <w:r>
        <w:rPr>
          <w:rFonts w:ascii="Arial" w:hAnsi="Arial"/>
          <w:i/>
          <w:spacing w:val="-10"/>
          <w:sz w:val="24"/>
        </w:rPr>
        <w:t> </w:t>
      </w:r>
      <w:r>
        <w:rPr>
          <w:rFonts w:ascii="Arial" w:hAnsi="Arial"/>
          <w:i/>
          <w:spacing w:val="-4"/>
          <w:sz w:val="24"/>
        </w:rPr>
        <w:t>medidas</w:t>
      </w:r>
      <w:r>
        <w:rPr>
          <w:rFonts w:ascii="Arial" w:hAnsi="Arial"/>
          <w:i/>
          <w:spacing w:val="-9"/>
          <w:sz w:val="24"/>
        </w:rPr>
        <w:t> </w:t>
      </w:r>
      <w:r>
        <w:rPr>
          <w:rFonts w:ascii="Arial" w:hAnsi="Arial"/>
          <w:i/>
          <w:spacing w:val="-4"/>
          <w:sz w:val="24"/>
        </w:rPr>
        <w:t>de</w:t>
      </w:r>
      <w:r>
        <w:rPr>
          <w:rFonts w:ascii="Arial" w:hAnsi="Arial"/>
          <w:i/>
          <w:spacing w:val="-9"/>
          <w:sz w:val="24"/>
        </w:rPr>
        <w:t> </w:t>
      </w:r>
      <w:r>
        <w:rPr>
          <w:rFonts w:ascii="Arial" w:hAnsi="Arial"/>
          <w:i/>
          <w:spacing w:val="-4"/>
          <w:sz w:val="24"/>
        </w:rPr>
        <w:t>cautelares</w:t>
      </w:r>
      <w:r>
        <w:rPr>
          <w:rFonts w:ascii="Arial" w:hAnsi="Arial"/>
          <w:i/>
          <w:spacing w:val="-11"/>
          <w:sz w:val="24"/>
        </w:rPr>
        <w:t> </w:t>
      </w:r>
      <w:r>
        <w:rPr>
          <w:rFonts w:ascii="Arial" w:hAnsi="Arial"/>
          <w:i/>
          <w:spacing w:val="-4"/>
          <w:sz w:val="24"/>
        </w:rPr>
        <w:t>solicitadas”</w:t>
      </w:r>
    </w:p>
    <w:p>
      <w:pPr>
        <w:pStyle w:val="ListParagraph"/>
        <w:numPr>
          <w:ilvl w:val="3"/>
          <w:numId w:val="3"/>
        </w:numPr>
        <w:tabs>
          <w:tab w:pos="861" w:val="left" w:leader="none"/>
        </w:tabs>
        <w:spacing w:line="240" w:lineRule="auto" w:before="157" w:after="0"/>
        <w:ind w:left="861" w:right="0" w:hanging="359"/>
        <w:jc w:val="both"/>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7" w:lineRule="auto" w:before="235"/>
        <w:ind w:left="143" w:right="704"/>
        <w:jc w:val="both"/>
      </w:pPr>
      <w:r>
        <w:rPr/>
        <w:t>Tal como se mencionó en la sección anterior el servicio cuenta con dos indicadores de calidad:</w:t>
      </w:r>
    </w:p>
    <w:p>
      <w:pPr>
        <w:pStyle w:val="ListParagraph"/>
        <w:numPr>
          <w:ilvl w:val="0"/>
          <w:numId w:val="13"/>
        </w:numPr>
        <w:tabs>
          <w:tab w:pos="458" w:val="left" w:leader="none"/>
        </w:tabs>
        <w:spacing w:line="307" w:lineRule="auto" w:before="158" w:after="0"/>
        <w:ind w:left="143" w:right="713" w:firstLine="0"/>
        <w:jc w:val="both"/>
        <w:rPr>
          <w:sz w:val="24"/>
        </w:rPr>
      </w:pPr>
      <w:r>
        <w:rPr>
          <w:sz w:val="24"/>
        </w:rPr>
        <w:t>Porcentaje de patrocinios a personas afectadas por hechos de violencia contra las mujeres e integrantes del grupo familiar, realizados por las/os defensoras/es públicas/os de defensa de víctimas, con medidas de protección </w:t>
      </w:r>
      <w:r>
        <w:rPr>
          <w:spacing w:val="-2"/>
          <w:sz w:val="24"/>
        </w:rPr>
        <w:t>solicitadas.</w:t>
      </w:r>
    </w:p>
    <w:p>
      <w:pPr>
        <w:pStyle w:val="ListParagraph"/>
        <w:numPr>
          <w:ilvl w:val="0"/>
          <w:numId w:val="13"/>
        </w:numPr>
        <w:tabs>
          <w:tab w:pos="447" w:val="left" w:leader="none"/>
        </w:tabs>
        <w:spacing w:line="307" w:lineRule="auto" w:before="159" w:after="0"/>
        <w:ind w:left="143" w:right="713" w:firstLine="0"/>
        <w:jc w:val="both"/>
        <w:rPr>
          <w:sz w:val="24"/>
        </w:rPr>
      </w:pPr>
      <w:r>
        <w:rPr>
          <w:sz w:val="24"/>
        </w:rPr>
        <w:t>Porcentaje de patrocinios en materias conexas a personas afectadas por hechos de violencia contra las mujeres e integrantes del grupo familiar, realizados</w:t>
      </w:r>
      <w:r>
        <w:rPr>
          <w:spacing w:val="-13"/>
          <w:sz w:val="24"/>
        </w:rPr>
        <w:t> </w:t>
      </w:r>
      <w:r>
        <w:rPr>
          <w:sz w:val="24"/>
        </w:rPr>
        <w:t>por</w:t>
      </w:r>
      <w:r>
        <w:rPr>
          <w:spacing w:val="-14"/>
          <w:sz w:val="24"/>
        </w:rPr>
        <w:t> </w:t>
      </w:r>
      <w:r>
        <w:rPr>
          <w:sz w:val="24"/>
        </w:rPr>
        <w:t>las/os</w:t>
      </w:r>
      <w:r>
        <w:rPr>
          <w:spacing w:val="-13"/>
          <w:sz w:val="24"/>
        </w:rPr>
        <w:t> </w:t>
      </w:r>
      <w:r>
        <w:rPr>
          <w:sz w:val="24"/>
        </w:rPr>
        <w:t>defensoras/es</w:t>
      </w:r>
      <w:r>
        <w:rPr>
          <w:spacing w:val="-13"/>
          <w:sz w:val="24"/>
        </w:rPr>
        <w:t> </w:t>
      </w:r>
      <w:r>
        <w:rPr>
          <w:sz w:val="24"/>
        </w:rPr>
        <w:t>públicas/os</w:t>
      </w:r>
      <w:r>
        <w:rPr>
          <w:spacing w:val="-13"/>
          <w:sz w:val="24"/>
        </w:rPr>
        <w:t> </w:t>
      </w:r>
      <w:r>
        <w:rPr>
          <w:sz w:val="24"/>
        </w:rPr>
        <w:t>de</w:t>
      </w:r>
      <w:r>
        <w:rPr>
          <w:spacing w:val="-13"/>
          <w:sz w:val="24"/>
        </w:rPr>
        <w:t> </w:t>
      </w:r>
      <w:r>
        <w:rPr>
          <w:sz w:val="24"/>
        </w:rPr>
        <w:t>asistencia</w:t>
      </w:r>
      <w:r>
        <w:rPr>
          <w:spacing w:val="-14"/>
          <w:sz w:val="24"/>
        </w:rPr>
        <w:t> </w:t>
      </w:r>
      <w:r>
        <w:rPr>
          <w:sz w:val="24"/>
        </w:rPr>
        <w:t>legal,</w:t>
      </w:r>
      <w:r>
        <w:rPr>
          <w:spacing w:val="-12"/>
          <w:sz w:val="24"/>
        </w:rPr>
        <w:t> </w:t>
      </w:r>
      <w:r>
        <w:rPr>
          <w:sz w:val="24"/>
        </w:rPr>
        <w:t>con</w:t>
      </w:r>
      <w:r>
        <w:rPr>
          <w:spacing w:val="-14"/>
          <w:sz w:val="24"/>
        </w:rPr>
        <w:t> </w:t>
      </w:r>
      <w:r>
        <w:rPr>
          <w:sz w:val="24"/>
        </w:rPr>
        <w:t>medidas de cautelares solicitadas.</w:t>
      </w:r>
    </w:p>
    <w:p>
      <w:pPr>
        <w:pStyle w:val="BodyText"/>
        <w:spacing w:line="307" w:lineRule="auto" w:before="156"/>
        <w:ind w:left="143" w:right="704"/>
        <w:jc w:val="both"/>
      </w:pPr>
      <w:r>
        <w:rPr/>
        <w:t>Respecto al primero, en el año 2023, el 12.6 % de los patrocinios a personas afectadas por hechos de violencia contra las mujeres e integrantes de grupo familiar obtuvieron medidas de protección solicitadas, alcanzando un nivel de avance bajo (35.0 %) respecto a la meta esperada: 36.0%; cabe resaltar que el nivel de avance bajo se ha mantenido desde los años 2021 (36.7%) y 2022 </w:t>
      </w:r>
      <w:r>
        <w:rPr>
          <w:spacing w:val="-2"/>
        </w:rPr>
        <w:t>(33.7%).</w:t>
      </w:r>
    </w:p>
    <w:p>
      <w:pPr>
        <w:spacing w:before="156"/>
        <w:ind w:left="0" w:right="562" w:firstLine="0"/>
        <w:jc w:val="center"/>
        <w:rPr>
          <w:sz w:val="22"/>
        </w:rPr>
      </w:pPr>
      <w:r>
        <w:rPr>
          <w:color w:val="44536A"/>
          <w:sz w:val="22"/>
        </w:rPr>
        <w:t>Tabla</w:t>
      </w:r>
      <w:r>
        <w:rPr>
          <w:color w:val="44536A"/>
          <w:spacing w:val="-7"/>
          <w:sz w:val="22"/>
        </w:rPr>
        <w:t> </w:t>
      </w:r>
      <w:r>
        <w:rPr>
          <w:color w:val="44536A"/>
          <w:sz w:val="22"/>
        </w:rPr>
        <w:t>15.</w:t>
      </w:r>
      <w:r>
        <w:rPr>
          <w:color w:val="44536A"/>
          <w:spacing w:val="-7"/>
          <w:sz w:val="22"/>
        </w:rPr>
        <w:t> </w:t>
      </w:r>
      <w:r>
        <w:rPr>
          <w:color w:val="44536A"/>
          <w:sz w:val="22"/>
        </w:rPr>
        <w:t>Análisis</w:t>
      </w:r>
      <w:r>
        <w:rPr>
          <w:color w:val="44536A"/>
          <w:spacing w:val="-9"/>
          <w:sz w:val="22"/>
        </w:rPr>
        <w:t> </w:t>
      </w:r>
      <w:r>
        <w:rPr>
          <w:color w:val="44536A"/>
          <w:sz w:val="22"/>
        </w:rPr>
        <w:t>del</w:t>
      </w:r>
      <w:r>
        <w:rPr>
          <w:color w:val="44536A"/>
          <w:spacing w:val="-8"/>
          <w:sz w:val="22"/>
        </w:rPr>
        <w:t> </w:t>
      </w:r>
      <w:r>
        <w:rPr>
          <w:color w:val="44536A"/>
          <w:sz w:val="22"/>
        </w:rPr>
        <w:t>indicador</w:t>
      </w:r>
      <w:r>
        <w:rPr>
          <w:color w:val="44536A"/>
          <w:spacing w:val="-7"/>
          <w:sz w:val="22"/>
        </w:rPr>
        <w:t> </w:t>
      </w:r>
      <w:r>
        <w:rPr>
          <w:color w:val="44536A"/>
          <w:sz w:val="22"/>
        </w:rPr>
        <w:t>de</w:t>
      </w:r>
      <w:r>
        <w:rPr>
          <w:color w:val="44536A"/>
          <w:spacing w:val="-8"/>
          <w:sz w:val="22"/>
        </w:rPr>
        <w:t> </w:t>
      </w:r>
      <w:r>
        <w:rPr>
          <w:color w:val="44536A"/>
          <w:sz w:val="22"/>
        </w:rPr>
        <w:t>calidad</w:t>
      </w:r>
      <w:r>
        <w:rPr>
          <w:color w:val="44536A"/>
          <w:spacing w:val="-9"/>
          <w:sz w:val="22"/>
        </w:rPr>
        <w:t> </w:t>
      </w:r>
      <w:r>
        <w:rPr>
          <w:color w:val="44536A"/>
          <w:sz w:val="22"/>
        </w:rPr>
        <w:t>1</w:t>
      </w:r>
      <w:r>
        <w:rPr>
          <w:color w:val="44536A"/>
          <w:spacing w:val="-8"/>
          <w:sz w:val="22"/>
        </w:rPr>
        <w:t> </w:t>
      </w:r>
      <w:r>
        <w:rPr>
          <w:color w:val="44536A"/>
          <w:sz w:val="22"/>
        </w:rPr>
        <w:t>del</w:t>
      </w:r>
      <w:r>
        <w:rPr>
          <w:color w:val="44536A"/>
          <w:spacing w:val="-8"/>
          <w:sz w:val="22"/>
        </w:rPr>
        <w:t> </w:t>
      </w:r>
      <w:r>
        <w:rPr>
          <w:color w:val="44536A"/>
          <w:sz w:val="22"/>
        </w:rPr>
        <w:t>servicio</w:t>
      </w:r>
      <w:r>
        <w:rPr>
          <w:color w:val="44536A"/>
          <w:spacing w:val="-5"/>
          <w:sz w:val="22"/>
        </w:rPr>
        <w:t> </w:t>
      </w:r>
      <w:r>
        <w:rPr>
          <w:color w:val="44536A"/>
          <w:spacing w:val="-2"/>
          <w:sz w:val="22"/>
        </w:rPr>
        <w:t>01.01.07</w:t>
      </w:r>
    </w:p>
    <w:p>
      <w:pPr>
        <w:pStyle w:val="BodyText"/>
        <w:spacing w:before="10"/>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7"/>
        <w:gridCol w:w="701"/>
        <w:gridCol w:w="685"/>
        <w:gridCol w:w="684"/>
        <w:gridCol w:w="682"/>
        <w:gridCol w:w="684"/>
        <w:gridCol w:w="682"/>
        <w:gridCol w:w="684"/>
        <w:gridCol w:w="684"/>
        <w:gridCol w:w="682"/>
        <w:gridCol w:w="685"/>
        <w:gridCol w:w="682"/>
      </w:tblGrid>
      <w:tr>
        <w:trPr>
          <w:trHeight w:val="299" w:hRule="atLeast"/>
        </w:trPr>
        <w:tc>
          <w:tcPr>
            <w:tcW w:w="967" w:type="dxa"/>
            <w:shd w:val="clear" w:color="auto" w:fill="44536A"/>
          </w:tcPr>
          <w:p>
            <w:pPr>
              <w:pStyle w:val="TableParagraph"/>
              <w:spacing w:before="61"/>
              <w:ind w:left="7"/>
              <w:jc w:val="center"/>
              <w:rPr>
                <w:sz w:val="16"/>
              </w:rPr>
            </w:pPr>
            <w:r>
              <w:rPr>
                <w:color w:val="FFFFFF"/>
                <w:spacing w:val="-5"/>
                <w:sz w:val="16"/>
              </w:rPr>
              <w:t>OP</w:t>
            </w:r>
          </w:p>
        </w:tc>
        <w:tc>
          <w:tcPr>
            <w:tcW w:w="7535" w:type="dxa"/>
            <w:gridSpan w:val="11"/>
          </w:tcPr>
          <w:p>
            <w:pPr>
              <w:pStyle w:val="TableParagraph"/>
              <w:spacing w:before="49"/>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733" w:hRule="atLeast"/>
        </w:trPr>
        <w:tc>
          <w:tcPr>
            <w:tcW w:w="967" w:type="dxa"/>
            <w:shd w:val="clear" w:color="auto" w:fill="44536A"/>
          </w:tcPr>
          <w:p>
            <w:pPr>
              <w:pStyle w:val="TableParagraph"/>
              <w:spacing w:before="60"/>
              <w:rPr>
                <w:sz w:val="18"/>
              </w:rPr>
            </w:pPr>
          </w:p>
          <w:p>
            <w:pPr>
              <w:pStyle w:val="TableParagraph"/>
              <w:ind w:left="172"/>
              <w:rPr>
                <w:sz w:val="18"/>
              </w:rPr>
            </w:pPr>
            <w:r>
              <w:rPr>
                <w:color w:val="FFFFFF"/>
                <w:spacing w:val="-2"/>
                <w:sz w:val="18"/>
              </w:rPr>
              <w:t>Servicio</w:t>
            </w:r>
          </w:p>
        </w:tc>
        <w:tc>
          <w:tcPr>
            <w:tcW w:w="7535" w:type="dxa"/>
            <w:gridSpan w:val="11"/>
          </w:tcPr>
          <w:p>
            <w:pPr>
              <w:pStyle w:val="TableParagraph"/>
              <w:spacing w:line="283" w:lineRule="auto" w:before="23"/>
              <w:ind w:left="69"/>
              <w:rPr>
                <w:sz w:val="18"/>
              </w:rPr>
            </w:pPr>
            <w:r>
              <w:rPr>
                <w:sz w:val="18"/>
              </w:rPr>
              <w:t>Defensa</w:t>
            </w:r>
            <w:r>
              <w:rPr>
                <w:spacing w:val="-4"/>
                <w:sz w:val="18"/>
              </w:rPr>
              <w:t> </w:t>
            </w:r>
            <w:r>
              <w:rPr>
                <w:sz w:val="18"/>
              </w:rPr>
              <w:t>Pública</w:t>
            </w:r>
            <w:r>
              <w:rPr>
                <w:spacing w:val="-2"/>
                <w:sz w:val="18"/>
              </w:rPr>
              <w:t> </w:t>
            </w:r>
            <w:r>
              <w:rPr>
                <w:sz w:val="18"/>
              </w:rPr>
              <w:t>especializada</w:t>
            </w:r>
            <w:r>
              <w:rPr>
                <w:spacing w:val="-6"/>
                <w:sz w:val="18"/>
              </w:rPr>
              <w:t> </w:t>
            </w:r>
            <w:r>
              <w:rPr>
                <w:sz w:val="18"/>
              </w:rPr>
              <w:t>intercultural,</w:t>
            </w:r>
            <w:r>
              <w:rPr>
                <w:spacing w:val="-5"/>
                <w:sz w:val="18"/>
              </w:rPr>
              <w:t> </w:t>
            </w:r>
            <w:r>
              <w:rPr>
                <w:sz w:val="18"/>
              </w:rPr>
              <w:t>accesible,</w:t>
            </w:r>
            <w:r>
              <w:rPr>
                <w:spacing w:val="-8"/>
                <w:sz w:val="18"/>
              </w:rPr>
              <w:t> </w:t>
            </w:r>
            <w:r>
              <w:rPr>
                <w:sz w:val="18"/>
              </w:rPr>
              <w:t>oportuna,</w:t>
            </w:r>
            <w:r>
              <w:rPr>
                <w:spacing w:val="-5"/>
                <w:sz w:val="18"/>
              </w:rPr>
              <w:t> </w:t>
            </w:r>
            <w:r>
              <w:rPr>
                <w:sz w:val="18"/>
              </w:rPr>
              <w:t>efectiva,</w:t>
            </w:r>
            <w:r>
              <w:rPr>
                <w:spacing w:val="-5"/>
                <w:sz w:val="18"/>
              </w:rPr>
              <w:t> </w:t>
            </w:r>
            <w:r>
              <w:rPr>
                <w:sz w:val="18"/>
              </w:rPr>
              <w:t>disponible</w:t>
            </w:r>
            <w:r>
              <w:rPr>
                <w:spacing w:val="-5"/>
                <w:sz w:val="18"/>
              </w:rPr>
              <w:t> </w:t>
            </w:r>
            <w:r>
              <w:rPr>
                <w:sz w:val="18"/>
              </w:rPr>
              <w:t>y</w:t>
            </w:r>
            <w:r>
              <w:rPr>
                <w:spacing w:val="-8"/>
                <w:sz w:val="18"/>
              </w:rPr>
              <w:t> </w:t>
            </w:r>
            <w:r>
              <w:rPr>
                <w:sz w:val="18"/>
              </w:rPr>
              <w:t>de calidad para la protección y sanción de la violencia contra las mujeres, integrantes del</w:t>
            </w:r>
          </w:p>
          <w:p>
            <w:pPr>
              <w:pStyle w:val="TableParagraph"/>
              <w:spacing w:line="201" w:lineRule="exact" w:before="1"/>
              <w:ind w:left="69"/>
              <w:rPr>
                <w:sz w:val="18"/>
              </w:rPr>
            </w:pPr>
            <w:r>
              <w:rPr>
                <w:sz w:val="18"/>
              </w:rPr>
              <w:t>grupo</w:t>
            </w:r>
            <w:r>
              <w:rPr>
                <w:spacing w:val="-2"/>
                <w:sz w:val="18"/>
              </w:rPr>
              <w:t> </w:t>
            </w:r>
            <w:r>
              <w:rPr>
                <w:sz w:val="18"/>
              </w:rPr>
              <w:t>familiar</w:t>
            </w:r>
            <w:r>
              <w:rPr>
                <w:spacing w:val="-5"/>
                <w:sz w:val="18"/>
              </w:rPr>
              <w:t> </w:t>
            </w:r>
            <w:r>
              <w:rPr>
                <w:sz w:val="18"/>
              </w:rPr>
              <w:t>y</w:t>
            </w:r>
            <w:r>
              <w:rPr>
                <w:spacing w:val="-2"/>
                <w:sz w:val="18"/>
              </w:rPr>
              <w:t> </w:t>
            </w:r>
            <w:r>
              <w:rPr>
                <w:sz w:val="18"/>
              </w:rPr>
              <w:t>en</w:t>
            </w:r>
            <w:r>
              <w:rPr>
                <w:spacing w:val="-3"/>
                <w:sz w:val="18"/>
              </w:rPr>
              <w:t> </w:t>
            </w:r>
            <w:r>
              <w:rPr>
                <w:sz w:val="18"/>
              </w:rPr>
              <w:t>delitos</w:t>
            </w:r>
            <w:r>
              <w:rPr>
                <w:spacing w:val="-3"/>
                <w:sz w:val="18"/>
              </w:rPr>
              <w:t> </w:t>
            </w:r>
            <w:r>
              <w:rPr>
                <w:sz w:val="18"/>
              </w:rPr>
              <w:t>sexuales</w:t>
            </w:r>
            <w:r>
              <w:rPr>
                <w:spacing w:val="-2"/>
                <w:sz w:val="18"/>
              </w:rPr>
              <w:t> </w:t>
            </w:r>
            <w:r>
              <w:rPr>
                <w:sz w:val="18"/>
              </w:rPr>
              <w:t>en</w:t>
            </w:r>
            <w:r>
              <w:rPr>
                <w:spacing w:val="-2"/>
                <w:sz w:val="18"/>
              </w:rPr>
              <w:t> </w:t>
            </w:r>
            <w:r>
              <w:rPr>
                <w:sz w:val="18"/>
              </w:rPr>
              <w:t>agravio</w:t>
            </w:r>
            <w:r>
              <w:rPr>
                <w:spacing w:val="-1"/>
                <w:sz w:val="18"/>
              </w:rPr>
              <w:t> </w:t>
            </w:r>
            <w:r>
              <w:rPr>
                <w:sz w:val="18"/>
              </w:rPr>
              <w:t>de</w:t>
            </w:r>
            <w:r>
              <w:rPr>
                <w:spacing w:val="-3"/>
                <w:sz w:val="18"/>
              </w:rPr>
              <w:t> </w:t>
            </w:r>
            <w:r>
              <w:rPr>
                <w:sz w:val="18"/>
              </w:rPr>
              <w:t>niños,</w:t>
            </w:r>
            <w:r>
              <w:rPr>
                <w:spacing w:val="-2"/>
                <w:sz w:val="18"/>
              </w:rPr>
              <w:t> </w:t>
            </w:r>
            <w:r>
              <w:rPr>
                <w:sz w:val="18"/>
              </w:rPr>
              <w:t>niña</w:t>
            </w:r>
            <w:r>
              <w:rPr>
                <w:spacing w:val="-1"/>
                <w:sz w:val="18"/>
              </w:rPr>
              <w:t> </w:t>
            </w:r>
            <w:r>
              <w:rPr>
                <w:sz w:val="18"/>
              </w:rPr>
              <w:t>y</w:t>
            </w:r>
            <w:r>
              <w:rPr>
                <w:spacing w:val="-3"/>
                <w:sz w:val="18"/>
              </w:rPr>
              <w:t> </w:t>
            </w:r>
            <w:r>
              <w:rPr>
                <w:spacing w:val="-2"/>
                <w:sz w:val="18"/>
              </w:rPr>
              <w:t>adolescente.</w:t>
            </w:r>
          </w:p>
        </w:tc>
      </w:tr>
      <w:tr>
        <w:trPr>
          <w:trHeight w:val="736" w:hRule="atLeast"/>
        </w:trPr>
        <w:tc>
          <w:tcPr>
            <w:tcW w:w="967" w:type="dxa"/>
            <w:shd w:val="clear" w:color="auto" w:fill="44536A"/>
          </w:tcPr>
          <w:p>
            <w:pPr>
              <w:pStyle w:val="TableParagraph"/>
              <w:spacing w:before="63"/>
              <w:rPr>
                <w:sz w:val="18"/>
              </w:rPr>
            </w:pPr>
          </w:p>
          <w:p>
            <w:pPr>
              <w:pStyle w:val="TableParagraph"/>
              <w:ind w:left="100"/>
              <w:rPr>
                <w:sz w:val="18"/>
              </w:rPr>
            </w:pPr>
            <w:r>
              <w:rPr>
                <w:color w:val="FFFFFF"/>
                <w:spacing w:val="-2"/>
                <w:w w:val="105"/>
                <w:sz w:val="18"/>
              </w:rPr>
              <w:t>Indicador</w:t>
            </w:r>
          </w:p>
        </w:tc>
        <w:tc>
          <w:tcPr>
            <w:tcW w:w="7535" w:type="dxa"/>
            <w:gridSpan w:val="11"/>
          </w:tcPr>
          <w:p>
            <w:pPr>
              <w:pStyle w:val="TableParagraph"/>
              <w:spacing w:before="25"/>
              <w:ind w:left="69"/>
              <w:rPr>
                <w:sz w:val="18"/>
              </w:rPr>
            </w:pPr>
            <w:r>
              <w:rPr>
                <w:sz w:val="18"/>
              </w:rPr>
              <w:t>Porcentaje</w:t>
            </w:r>
            <w:r>
              <w:rPr>
                <w:spacing w:val="-1"/>
                <w:sz w:val="18"/>
              </w:rPr>
              <w:t> </w:t>
            </w:r>
            <w:r>
              <w:rPr>
                <w:sz w:val="18"/>
              </w:rPr>
              <w:t>de</w:t>
            </w:r>
            <w:r>
              <w:rPr>
                <w:spacing w:val="-2"/>
                <w:sz w:val="18"/>
              </w:rPr>
              <w:t> </w:t>
            </w:r>
            <w:r>
              <w:rPr>
                <w:sz w:val="18"/>
              </w:rPr>
              <w:t>patrocinios</w:t>
            </w:r>
            <w:r>
              <w:rPr>
                <w:spacing w:val="-3"/>
                <w:sz w:val="18"/>
              </w:rPr>
              <w:t> </w:t>
            </w:r>
            <w:r>
              <w:rPr>
                <w:sz w:val="18"/>
              </w:rPr>
              <w:t>a</w:t>
            </w:r>
            <w:r>
              <w:rPr>
                <w:spacing w:val="-2"/>
                <w:sz w:val="18"/>
              </w:rPr>
              <w:t> </w:t>
            </w:r>
            <w:r>
              <w:rPr>
                <w:sz w:val="18"/>
              </w:rPr>
              <w:t>personas afectadas</w:t>
            </w:r>
            <w:r>
              <w:rPr>
                <w:spacing w:val="-2"/>
                <w:sz w:val="18"/>
              </w:rPr>
              <w:t> </w:t>
            </w:r>
            <w:r>
              <w:rPr>
                <w:sz w:val="18"/>
              </w:rPr>
              <w:t>por</w:t>
            </w:r>
            <w:r>
              <w:rPr>
                <w:spacing w:val="-1"/>
                <w:sz w:val="18"/>
              </w:rPr>
              <w:t> </w:t>
            </w:r>
            <w:r>
              <w:rPr>
                <w:sz w:val="18"/>
              </w:rPr>
              <w:t>hechos</w:t>
            </w:r>
            <w:r>
              <w:rPr>
                <w:spacing w:val="-2"/>
                <w:sz w:val="18"/>
              </w:rPr>
              <w:t> </w:t>
            </w:r>
            <w:r>
              <w:rPr>
                <w:sz w:val="18"/>
              </w:rPr>
              <w:t>de violencia</w:t>
            </w:r>
            <w:r>
              <w:rPr>
                <w:spacing w:val="-2"/>
                <w:sz w:val="18"/>
              </w:rPr>
              <w:t> </w:t>
            </w:r>
            <w:r>
              <w:rPr>
                <w:sz w:val="18"/>
              </w:rPr>
              <w:t>contra</w:t>
            </w:r>
            <w:r>
              <w:rPr>
                <w:spacing w:val="1"/>
                <w:sz w:val="18"/>
              </w:rPr>
              <w:t> </w:t>
            </w:r>
            <w:r>
              <w:rPr>
                <w:sz w:val="18"/>
              </w:rPr>
              <w:t>las</w:t>
            </w:r>
            <w:r>
              <w:rPr>
                <w:spacing w:val="-1"/>
                <w:sz w:val="18"/>
              </w:rPr>
              <w:t> </w:t>
            </w:r>
            <w:r>
              <w:rPr>
                <w:spacing w:val="-2"/>
                <w:sz w:val="18"/>
              </w:rPr>
              <w:t>mujeres</w:t>
            </w:r>
          </w:p>
          <w:p>
            <w:pPr>
              <w:pStyle w:val="TableParagraph"/>
              <w:spacing w:line="240" w:lineRule="atLeast" w:before="5"/>
              <w:ind w:left="69"/>
              <w:rPr>
                <w:sz w:val="18"/>
              </w:rPr>
            </w:pPr>
            <w:r>
              <w:rPr>
                <w:sz w:val="18"/>
              </w:rPr>
              <w:t>e integrantes del grupo familiar, realizados por las/os defensoras/es públicas/os de defensa de víctimas, con medidas de protección solicitadas.</w:t>
            </w:r>
          </w:p>
        </w:tc>
      </w:tr>
      <w:tr>
        <w:trPr>
          <w:trHeight w:val="736" w:hRule="atLeast"/>
        </w:trPr>
        <w:tc>
          <w:tcPr>
            <w:tcW w:w="967" w:type="dxa"/>
            <w:shd w:val="clear" w:color="auto" w:fill="808080"/>
          </w:tcPr>
          <w:p>
            <w:pPr>
              <w:pStyle w:val="TableParagraph"/>
              <w:spacing w:before="60"/>
              <w:rPr>
                <w:sz w:val="18"/>
              </w:rPr>
            </w:pPr>
          </w:p>
          <w:p>
            <w:pPr>
              <w:pStyle w:val="TableParagraph"/>
              <w:ind w:left="323"/>
              <w:rPr>
                <w:sz w:val="18"/>
              </w:rPr>
            </w:pPr>
            <w:r>
              <w:rPr>
                <w:color w:val="FFFFFF"/>
                <w:spacing w:val="-5"/>
                <w:sz w:val="18"/>
              </w:rPr>
              <w:t>Año</w:t>
            </w:r>
          </w:p>
        </w:tc>
        <w:tc>
          <w:tcPr>
            <w:tcW w:w="701" w:type="dxa"/>
            <w:shd w:val="clear" w:color="auto" w:fill="808080"/>
          </w:tcPr>
          <w:p>
            <w:pPr>
              <w:pStyle w:val="TableParagraph"/>
              <w:spacing w:before="23"/>
              <w:ind w:left="7"/>
              <w:jc w:val="center"/>
              <w:rPr>
                <w:sz w:val="18"/>
              </w:rPr>
            </w:pPr>
            <w:r>
              <w:rPr>
                <w:color w:val="FFFFFF"/>
                <w:spacing w:val="-2"/>
                <w:sz w:val="18"/>
              </w:rPr>
              <w:t>Valor</w:t>
            </w:r>
          </w:p>
          <w:p>
            <w:pPr>
              <w:pStyle w:val="TableParagraph"/>
              <w:spacing w:line="240" w:lineRule="atLeast" w:before="4"/>
              <w:ind w:left="95" w:right="83" w:hanging="1"/>
              <w:jc w:val="center"/>
              <w:rPr>
                <w:sz w:val="18"/>
              </w:rPr>
            </w:pPr>
            <w:r>
              <w:rPr>
                <w:color w:val="FFFFFF"/>
                <w:spacing w:val="-6"/>
                <w:sz w:val="18"/>
              </w:rPr>
              <w:t>LB </w:t>
            </w:r>
            <w:r>
              <w:rPr>
                <w:color w:val="FFFFFF"/>
                <w:spacing w:val="-4"/>
                <w:sz w:val="18"/>
              </w:rPr>
              <w:t>(2020)</w:t>
            </w:r>
          </w:p>
        </w:tc>
        <w:tc>
          <w:tcPr>
            <w:tcW w:w="685" w:type="dxa"/>
            <w:shd w:val="clear" w:color="auto" w:fill="808080"/>
          </w:tcPr>
          <w:p>
            <w:pPr>
              <w:pStyle w:val="TableParagraph"/>
              <w:spacing w:before="60"/>
              <w:rPr>
                <w:sz w:val="18"/>
              </w:rPr>
            </w:pPr>
          </w:p>
          <w:p>
            <w:pPr>
              <w:pStyle w:val="TableParagraph"/>
              <w:ind w:left="6"/>
              <w:jc w:val="center"/>
              <w:rPr>
                <w:sz w:val="18"/>
              </w:rPr>
            </w:pPr>
            <w:r>
              <w:rPr>
                <w:color w:val="FFFFFF"/>
                <w:spacing w:val="-4"/>
                <w:sz w:val="18"/>
              </w:rPr>
              <w:t>2021</w:t>
            </w:r>
          </w:p>
        </w:tc>
        <w:tc>
          <w:tcPr>
            <w:tcW w:w="684" w:type="dxa"/>
            <w:shd w:val="clear" w:color="auto" w:fill="808080"/>
          </w:tcPr>
          <w:p>
            <w:pPr>
              <w:pStyle w:val="TableParagraph"/>
              <w:spacing w:before="60"/>
              <w:rPr>
                <w:sz w:val="18"/>
              </w:rPr>
            </w:pPr>
          </w:p>
          <w:p>
            <w:pPr>
              <w:pStyle w:val="TableParagraph"/>
              <w:ind w:left="15" w:right="9"/>
              <w:jc w:val="center"/>
              <w:rPr>
                <w:sz w:val="18"/>
              </w:rPr>
            </w:pPr>
            <w:r>
              <w:rPr>
                <w:color w:val="FFFFFF"/>
                <w:spacing w:val="-4"/>
                <w:sz w:val="18"/>
              </w:rPr>
              <w:t>2022</w:t>
            </w:r>
          </w:p>
        </w:tc>
        <w:tc>
          <w:tcPr>
            <w:tcW w:w="682" w:type="dxa"/>
            <w:shd w:val="clear" w:color="auto" w:fill="808080"/>
          </w:tcPr>
          <w:p>
            <w:pPr>
              <w:pStyle w:val="TableParagraph"/>
              <w:spacing w:before="60"/>
              <w:rPr>
                <w:sz w:val="18"/>
              </w:rPr>
            </w:pPr>
          </w:p>
          <w:p>
            <w:pPr>
              <w:pStyle w:val="TableParagraph"/>
              <w:ind w:left="9" w:right="1"/>
              <w:jc w:val="center"/>
              <w:rPr>
                <w:sz w:val="18"/>
              </w:rPr>
            </w:pPr>
            <w:r>
              <w:rPr>
                <w:color w:val="FFFFFF"/>
                <w:spacing w:val="-4"/>
                <w:sz w:val="18"/>
              </w:rPr>
              <w:t>2023</w:t>
            </w:r>
          </w:p>
        </w:tc>
        <w:tc>
          <w:tcPr>
            <w:tcW w:w="684" w:type="dxa"/>
            <w:shd w:val="clear" w:color="auto" w:fill="808080"/>
          </w:tcPr>
          <w:p>
            <w:pPr>
              <w:pStyle w:val="TableParagraph"/>
              <w:spacing w:before="60"/>
              <w:rPr>
                <w:sz w:val="18"/>
              </w:rPr>
            </w:pPr>
          </w:p>
          <w:p>
            <w:pPr>
              <w:pStyle w:val="TableParagraph"/>
              <w:ind w:left="15" w:right="10"/>
              <w:jc w:val="center"/>
              <w:rPr>
                <w:sz w:val="18"/>
              </w:rPr>
            </w:pPr>
            <w:r>
              <w:rPr>
                <w:color w:val="FFFFFF"/>
                <w:spacing w:val="-4"/>
                <w:sz w:val="18"/>
              </w:rPr>
              <w:t>2024</w:t>
            </w:r>
          </w:p>
        </w:tc>
        <w:tc>
          <w:tcPr>
            <w:tcW w:w="682" w:type="dxa"/>
            <w:shd w:val="clear" w:color="auto" w:fill="808080"/>
          </w:tcPr>
          <w:p>
            <w:pPr>
              <w:pStyle w:val="TableParagraph"/>
              <w:spacing w:before="60"/>
              <w:rPr>
                <w:sz w:val="18"/>
              </w:rPr>
            </w:pPr>
          </w:p>
          <w:p>
            <w:pPr>
              <w:pStyle w:val="TableParagraph"/>
              <w:ind w:left="9" w:right="2"/>
              <w:jc w:val="center"/>
              <w:rPr>
                <w:sz w:val="18"/>
              </w:rPr>
            </w:pPr>
            <w:r>
              <w:rPr>
                <w:color w:val="FFFFFF"/>
                <w:spacing w:val="-4"/>
                <w:sz w:val="18"/>
              </w:rPr>
              <w:t>2025</w:t>
            </w:r>
          </w:p>
        </w:tc>
        <w:tc>
          <w:tcPr>
            <w:tcW w:w="684" w:type="dxa"/>
            <w:shd w:val="clear" w:color="auto" w:fill="808080"/>
          </w:tcPr>
          <w:p>
            <w:pPr>
              <w:pStyle w:val="TableParagraph"/>
              <w:spacing w:before="60"/>
              <w:rPr>
                <w:sz w:val="18"/>
              </w:rPr>
            </w:pPr>
          </w:p>
          <w:p>
            <w:pPr>
              <w:pStyle w:val="TableParagraph"/>
              <w:ind w:left="15" w:right="10"/>
              <w:jc w:val="center"/>
              <w:rPr>
                <w:sz w:val="18"/>
              </w:rPr>
            </w:pPr>
            <w:r>
              <w:rPr>
                <w:color w:val="FFFFFF"/>
                <w:spacing w:val="-4"/>
                <w:sz w:val="18"/>
              </w:rPr>
              <w:t>2026</w:t>
            </w:r>
          </w:p>
        </w:tc>
        <w:tc>
          <w:tcPr>
            <w:tcW w:w="684" w:type="dxa"/>
            <w:shd w:val="clear" w:color="auto" w:fill="808080"/>
          </w:tcPr>
          <w:p>
            <w:pPr>
              <w:pStyle w:val="TableParagraph"/>
              <w:spacing w:before="60"/>
              <w:rPr>
                <w:sz w:val="18"/>
              </w:rPr>
            </w:pPr>
          </w:p>
          <w:p>
            <w:pPr>
              <w:pStyle w:val="TableParagraph"/>
              <w:ind w:left="15" w:right="10"/>
              <w:jc w:val="center"/>
              <w:rPr>
                <w:sz w:val="18"/>
              </w:rPr>
            </w:pPr>
            <w:r>
              <w:rPr>
                <w:color w:val="FFFFFF"/>
                <w:spacing w:val="-4"/>
                <w:sz w:val="18"/>
              </w:rPr>
              <w:t>2027</w:t>
            </w:r>
          </w:p>
        </w:tc>
        <w:tc>
          <w:tcPr>
            <w:tcW w:w="682" w:type="dxa"/>
            <w:shd w:val="clear" w:color="auto" w:fill="808080"/>
          </w:tcPr>
          <w:p>
            <w:pPr>
              <w:pStyle w:val="TableParagraph"/>
              <w:spacing w:before="60"/>
              <w:rPr>
                <w:sz w:val="18"/>
              </w:rPr>
            </w:pPr>
          </w:p>
          <w:p>
            <w:pPr>
              <w:pStyle w:val="TableParagraph"/>
              <w:ind w:left="9" w:right="7"/>
              <w:jc w:val="center"/>
              <w:rPr>
                <w:sz w:val="18"/>
              </w:rPr>
            </w:pPr>
            <w:r>
              <w:rPr>
                <w:color w:val="FFFFFF"/>
                <w:spacing w:val="-4"/>
                <w:sz w:val="18"/>
              </w:rPr>
              <w:t>2028</w:t>
            </w:r>
          </w:p>
        </w:tc>
        <w:tc>
          <w:tcPr>
            <w:tcW w:w="685" w:type="dxa"/>
            <w:shd w:val="clear" w:color="auto" w:fill="808080"/>
          </w:tcPr>
          <w:p>
            <w:pPr>
              <w:pStyle w:val="TableParagraph"/>
              <w:spacing w:before="60"/>
              <w:rPr>
                <w:sz w:val="18"/>
              </w:rPr>
            </w:pPr>
          </w:p>
          <w:p>
            <w:pPr>
              <w:pStyle w:val="TableParagraph"/>
              <w:ind w:left="6" w:right="3"/>
              <w:jc w:val="center"/>
              <w:rPr>
                <w:sz w:val="18"/>
              </w:rPr>
            </w:pPr>
            <w:r>
              <w:rPr>
                <w:color w:val="FFFFFF"/>
                <w:spacing w:val="-4"/>
                <w:sz w:val="18"/>
              </w:rPr>
              <w:t>2029</w:t>
            </w:r>
          </w:p>
        </w:tc>
        <w:tc>
          <w:tcPr>
            <w:tcW w:w="682" w:type="dxa"/>
            <w:shd w:val="clear" w:color="auto" w:fill="808080"/>
          </w:tcPr>
          <w:p>
            <w:pPr>
              <w:pStyle w:val="TableParagraph"/>
              <w:spacing w:before="60"/>
              <w:rPr>
                <w:sz w:val="18"/>
              </w:rPr>
            </w:pPr>
          </w:p>
          <w:p>
            <w:pPr>
              <w:pStyle w:val="TableParagraph"/>
              <w:ind w:left="9" w:right="4"/>
              <w:jc w:val="center"/>
              <w:rPr>
                <w:sz w:val="18"/>
              </w:rPr>
            </w:pPr>
            <w:r>
              <w:rPr>
                <w:color w:val="FFFFFF"/>
                <w:spacing w:val="-4"/>
                <w:sz w:val="18"/>
              </w:rPr>
              <w:t>2030</w:t>
            </w:r>
          </w:p>
        </w:tc>
      </w:tr>
      <w:tr>
        <w:trPr>
          <w:trHeight w:val="299" w:hRule="atLeast"/>
        </w:trPr>
        <w:tc>
          <w:tcPr>
            <w:tcW w:w="967" w:type="dxa"/>
            <w:shd w:val="clear" w:color="auto" w:fill="44536A"/>
          </w:tcPr>
          <w:p>
            <w:pPr>
              <w:pStyle w:val="TableParagraph"/>
              <w:spacing w:before="49"/>
              <w:ind w:left="69"/>
              <w:rPr>
                <w:sz w:val="18"/>
              </w:rPr>
            </w:pPr>
            <w:r>
              <w:rPr>
                <w:color w:val="FFFFFF"/>
                <w:spacing w:val="-2"/>
                <w:sz w:val="18"/>
              </w:rPr>
              <w:t>Metas</w:t>
            </w:r>
          </w:p>
        </w:tc>
        <w:tc>
          <w:tcPr>
            <w:tcW w:w="701" w:type="dxa"/>
          </w:tcPr>
          <w:p>
            <w:pPr>
              <w:pStyle w:val="TableParagraph"/>
              <w:spacing w:before="61"/>
              <w:ind w:left="83"/>
              <w:rPr>
                <w:sz w:val="16"/>
              </w:rPr>
            </w:pPr>
            <w:r>
              <w:rPr>
                <w:spacing w:val="-2"/>
                <w:sz w:val="16"/>
              </w:rPr>
              <w:t>32.98%</w:t>
            </w:r>
          </w:p>
        </w:tc>
        <w:tc>
          <w:tcPr>
            <w:tcW w:w="685" w:type="dxa"/>
          </w:tcPr>
          <w:p>
            <w:pPr>
              <w:pStyle w:val="TableParagraph"/>
              <w:spacing w:before="61"/>
              <w:ind w:left="6"/>
              <w:jc w:val="center"/>
              <w:rPr>
                <w:sz w:val="16"/>
              </w:rPr>
            </w:pPr>
            <w:r>
              <w:rPr>
                <w:spacing w:val="-2"/>
                <w:sz w:val="16"/>
              </w:rPr>
              <w:t>35.00%</w:t>
            </w:r>
          </w:p>
        </w:tc>
        <w:tc>
          <w:tcPr>
            <w:tcW w:w="684" w:type="dxa"/>
          </w:tcPr>
          <w:p>
            <w:pPr>
              <w:pStyle w:val="TableParagraph"/>
              <w:spacing w:before="61"/>
              <w:ind w:left="15" w:right="9"/>
              <w:jc w:val="center"/>
              <w:rPr>
                <w:sz w:val="16"/>
              </w:rPr>
            </w:pPr>
            <w:r>
              <w:rPr>
                <w:spacing w:val="-2"/>
                <w:sz w:val="16"/>
              </w:rPr>
              <w:t>35.50%</w:t>
            </w:r>
          </w:p>
        </w:tc>
        <w:tc>
          <w:tcPr>
            <w:tcW w:w="682" w:type="dxa"/>
          </w:tcPr>
          <w:p>
            <w:pPr>
              <w:pStyle w:val="TableParagraph"/>
              <w:spacing w:before="61"/>
              <w:ind w:left="9" w:right="1"/>
              <w:jc w:val="center"/>
              <w:rPr>
                <w:sz w:val="16"/>
              </w:rPr>
            </w:pPr>
            <w:r>
              <w:rPr>
                <w:spacing w:val="-2"/>
                <w:sz w:val="16"/>
              </w:rPr>
              <w:t>36.00%</w:t>
            </w:r>
          </w:p>
        </w:tc>
        <w:tc>
          <w:tcPr>
            <w:tcW w:w="684" w:type="dxa"/>
          </w:tcPr>
          <w:p>
            <w:pPr>
              <w:pStyle w:val="TableParagraph"/>
              <w:spacing w:before="61"/>
              <w:ind w:left="15" w:right="10"/>
              <w:jc w:val="center"/>
              <w:rPr>
                <w:sz w:val="16"/>
              </w:rPr>
            </w:pPr>
            <w:r>
              <w:rPr>
                <w:spacing w:val="-2"/>
                <w:sz w:val="16"/>
              </w:rPr>
              <w:t>36.50%</w:t>
            </w:r>
          </w:p>
        </w:tc>
        <w:tc>
          <w:tcPr>
            <w:tcW w:w="682" w:type="dxa"/>
          </w:tcPr>
          <w:p>
            <w:pPr>
              <w:pStyle w:val="TableParagraph"/>
              <w:spacing w:before="61"/>
              <w:ind w:left="9" w:right="2"/>
              <w:jc w:val="center"/>
              <w:rPr>
                <w:sz w:val="16"/>
              </w:rPr>
            </w:pPr>
            <w:r>
              <w:rPr>
                <w:spacing w:val="-2"/>
                <w:sz w:val="16"/>
              </w:rPr>
              <w:t>37.00%</w:t>
            </w:r>
          </w:p>
        </w:tc>
        <w:tc>
          <w:tcPr>
            <w:tcW w:w="684" w:type="dxa"/>
          </w:tcPr>
          <w:p>
            <w:pPr>
              <w:pStyle w:val="TableParagraph"/>
              <w:spacing w:before="61"/>
              <w:ind w:left="15" w:right="10"/>
              <w:jc w:val="center"/>
              <w:rPr>
                <w:sz w:val="16"/>
              </w:rPr>
            </w:pPr>
            <w:r>
              <w:rPr>
                <w:spacing w:val="-2"/>
                <w:sz w:val="16"/>
              </w:rPr>
              <w:t>37.50%</w:t>
            </w:r>
          </w:p>
        </w:tc>
        <w:tc>
          <w:tcPr>
            <w:tcW w:w="684" w:type="dxa"/>
          </w:tcPr>
          <w:p>
            <w:pPr>
              <w:pStyle w:val="TableParagraph"/>
              <w:spacing w:before="61"/>
              <w:ind w:left="15" w:right="10"/>
              <w:jc w:val="center"/>
              <w:rPr>
                <w:sz w:val="16"/>
              </w:rPr>
            </w:pPr>
            <w:r>
              <w:rPr>
                <w:spacing w:val="-2"/>
                <w:sz w:val="16"/>
              </w:rPr>
              <w:t>38.00%</w:t>
            </w:r>
          </w:p>
        </w:tc>
        <w:tc>
          <w:tcPr>
            <w:tcW w:w="682" w:type="dxa"/>
          </w:tcPr>
          <w:p>
            <w:pPr>
              <w:pStyle w:val="TableParagraph"/>
              <w:spacing w:before="61"/>
              <w:ind w:left="9" w:right="7"/>
              <w:jc w:val="center"/>
              <w:rPr>
                <w:sz w:val="16"/>
              </w:rPr>
            </w:pPr>
            <w:r>
              <w:rPr>
                <w:spacing w:val="-2"/>
                <w:sz w:val="16"/>
              </w:rPr>
              <w:t>38.50%</w:t>
            </w:r>
          </w:p>
        </w:tc>
        <w:tc>
          <w:tcPr>
            <w:tcW w:w="685" w:type="dxa"/>
          </w:tcPr>
          <w:p>
            <w:pPr>
              <w:pStyle w:val="TableParagraph"/>
              <w:spacing w:before="61"/>
              <w:ind w:left="6" w:right="3"/>
              <w:jc w:val="center"/>
              <w:rPr>
                <w:sz w:val="16"/>
              </w:rPr>
            </w:pPr>
            <w:r>
              <w:rPr>
                <w:spacing w:val="-2"/>
                <w:sz w:val="16"/>
              </w:rPr>
              <w:t>39.00%</w:t>
            </w:r>
          </w:p>
        </w:tc>
        <w:tc>
          <w:tcPr>
            <w:tcW w:w="682" w:type="dxa"/>
          </w:tcPr>
          <w:p>
            <w:pPr>
              <w:pStyle w:val="TableParagraph"/>
              <w:spacing w:before="61"/>
              <w:ind w:left="9" w:right="4"/>
              <w:jc w:val="center"/>
              <w:rPr>
                <w:sz w:val="16"/>
              </w:rPr>
            </w:pPr>
            <w:r>
              <w:rPr>
                <w:spacing w:val="-2"/>
                <w:sz w:val="16"/>
              </w:rPr>
              <w:t>39.50%</w:t>
            </w:r>
          </w:p>
        </w:tc>
      </w:tr>
      <w:tr>
        <w:trPr>
          <w:trHeight w:val="570" w:hRule="atLeast"/>
        </w:trPr>
        <w:tc>
          <w:tcPr>
            <w:tcW w:w="967"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701" w:type="dxa"/>
            <w:shd w:val="clear" w:color="auto" w:fill="C8C8C8"/>
          </w:tcPr>
          <w:p>
            <w:pPr>
              <w:pStyle w:val="TableParagraph"/>
              <w:rPr>
                <w:rFonts w:ascii="Times New Roman"/>
                <w:sz w:val="22"/>
              </w:rPr>
            </w:pPr>
          </w:p>
        </w:tc>
        <w:tc>
          <w:tcPr>
            <w:tcW w:w="685" w:type="dxa"/>
          </w:tcPr>
          <w:p>
            <w:pPr>
              <w:pStyle w:val="TableParagraph"/>
              <w:spacing w:before="11"/>
              <w:rPr>
                <w:sz w:val="16"/>
              </w:rPr>
            </w:pPr>
          </w:p>
          <w:p>
            <w:pPr>
              <w:pStyle w:val="TableParagraph"/>
              <w:ind w:left="6"/>
              <w:jc w:val="center"/>
              <w:rPr>
                <w:sz w:val="16"/>
              </w:rPr>
            </w:pPr>
            <w:r>
              <w:rPr>
                <w:spacing w:val="-2"/>
                <w:sz w:val="16"/>
              </w:rPr>
              <w:t>12.84%</w:t>
            </w:r>
          </w:p>
        </w:tc>
        <w:tc>
          <w:tcPr>
            <w:tcW w:w="684" w:type="dxa"/>
          </w:tcPr>
          <w:p>
            <w:pPr>
              <w:pStyle w:val="TableParagraph"/>
              <w:spacing w:before="11"/>
              <w:rPr>
                <w:sz w:val="16"/>
              </w:rPr>
            </w:pPr>
          </w:p>
          <w:p>
            <w:pPr>
              <w:pStyle w:val="TableParagraph"/>
              <w:ind w:left="15" w:right="9"/>
              <w:jc w:val="center"/>
              <w:rPr>
                <w:sz w:val="16"/>
              </w:rPr>
            </w:pPr>
            <w:r>
              <w:rPr>
                <w:spacing w:val="-2"/>
                <w:sz w:val="16"/>
              </w:rPr>
              <w:t>11.98%</w:t>
            </w:r>
          </w:p>
        </w:tc>
        <w:tc>
          <w:tcPr>
            <w:tcW w:w="682" w:type="dxa"/>
          </w:tcPr>
          <w:p>
            <w:pPr>
              <w:pStyle w:val="TableParagraph"/>
              <w:spacing w:before="11"/>
              <w:rPr>
                <w:sz w:val="16"/>
              </w:rPr>
            </w:pPr>
          </w:p>
          <w:p>
            <w:pPr>
              <w:pStyle w:val="TableParagraph"/>
              <w:ind w:left="9" w:right="1"/>
              <w:jc w:val="center"/>
              <w:rPr>
                <w:sz w:val="16"/>
              </w:rPr>
            </w:pPr>
            <w:r>
              <w:rPr>
                <w:spacing w:val="-2"/>
                <w:sz w:val="16"/>
              </w:rPr>
              <w:t>12.59%</w:t>
            </w:r>
          </w:p>
        </w:tc>
        <w:tc>
          <w:tcPr>
            <w:tcW w:w="684" w:type="dxa"/>
            <w:shd w:val="clear" w:color="auto" w:fill="C8C8C8"/>
          </w:tcPr>
          <w:p>
            <w:pPr>
              <w:pStyle w:val="TableParagraph"/>
              <w:rPr>
                <w:rFonts w:ascii="Times New Roman"/>
                <w:sz w:val="22"/>
              </w:rPr>
            </w:pPr>
          </w:p>
        </w:tc>
        <w:tc>
          <w:tcPr>
            <w:tcW w:w="682" w:type="dxa"/>
            <w:shd w:val="clear" w:color="auto" w:fill="C8C8C8"/>
          </w:tcPr>
          <w:p>
            <w:pPr>
              <w:pStyle w:val="TableParagraph"/>
              <w:rPr>
                <w:rFonts w:ascii="Times New Roman"/>
                <w:sz w:val="22"/>
              </w:rPr>
            </w:pPr>
          </w:p>
        </w:tc>
        <w:tc>
          <w:tcPr>
            <w:tcW w:w="684" w:type="dxa"/>
            <w:shd w:val="clear" w:color="auto" w:fill="C8C8C8"/>
          </w:tcPr>
          <w:p>
            <w:pPr>
              <w:pStyle w:val="TableParagraph"/>
              <w:rPr>
                <w:rFonts w:ascii="Times New Roman"/>
                <w:sz w:val="22"/>
              </w:rPr>
            </w:pPr>
          </w:p>
        </w:tc>
        <w:tc>
          <w:tcPr>
            <w:tcW w:w="684" w:type="dxa"/>
            <w:shd w:val="clear" w:color="auto" w:fill="C8C8C8"/>
          </w:tcPr>
          <w:p>
            <w:pPr>
              <w:pStyle w:val="TableParagraph"/>
              <w:rPr>
                <w:rFonts w:ascii="Times New Roman"/>
                <w:sz w:val="22"/>
              </w:rPr>
            </w:pPr>
          </w:p>
        </w:tc>
        <w:tc>
          <w:tcPr>
            <w:tcW w:w="682" w:type="dxa"/>
            <w:shd w:val="clear" w:color="auto" w:fill="C8C8C8"/>
          </w:tcPr>
          <w:p>
            <w:pPr>
              <w:pStyle w:val="TableParagraph"/>
              <w:rPr>
                <w:rFonts w:ascii="Times New Roman"/>
                <w:sz w:val="22"/>
              </w:rPr>
            </w:pPr>
          </w:p>
        </w:tc>
        <w:tc>
          <w:tcPr>
            <w:tcW w:w="685" w:type="dxa"/>
            <w:shd w:val="clear" w:color="auto" w:fill="C8C8C8"/>
          </w:tcPr>
          <w:p>
            <w:pPr>
              <w:pStyle w:val="TableParagraph"/>
              <w:rPr>
                <w:rFonts w:ascii="Times New Roman"/>
                <w:sz w:val="22"/>
              </w:rPr>
            </w:pPr>
          </w:p>
        </w:tc>
        <w:tc>
          <w:tcPr>
            <w:tcW w:w="682" w:type="dxa"/>
            <w:shd w:val="clear" w:color="auto" w:fill="C8C8C8"/>
          </w:tcPr>
          <w:p>
            <w:pPr>
              <w:pStyle w:val="TableParagraph"/>
              <w:rPr>
                <w:rFonts w:ascii="Times New Roman"/>
                <w:sz w:val="22"/>
              </w:rPr>
            </w:pPr>
          </w:p>
        </w:tc>
      </w:tr>
    </w:tbl>
    <w:p>
      <w:pPr>
        <w:pStyle w:val="TableParagraph"/>
        <w:spacing w:after="0"/>
        <w:rPr>
          <w:rFonts w:ascii="Times New Roman"/>
          <w:sz w:val="22"/>
        </w:rPr>
        <w:sectPr>
          <w:pgSz w:w="11910" w:h="16840"/>
          <w:pgMar w:header="713" w:footer="1000" w:top="1420" w:bottom="1200" w:left="1559" w:right="992"/>
        </w:sectPr>
      </w:pPr>
    </w:p>
    <w:p>
      <w:pPr>
        <w:pStyle w:val="BodyText"/>
        <w:spacing w:before="6"/>
        <w:rPr>
          <w:sz w:val="7"/>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7"/>
        <w:gridCol w:w="701"/>
        <w:gridCol w:w="685"/>
        <w:gridCol w:w="684"/>
        <w:gridCol w:w="682"/>
        <w:gridCol w:w="684"/>
        <w:gridCol w:w="682"/>
        <w:gridCol w:w="684"/>
        <w:gridCol w:w="684"/>
        <w:gridCol w:w="682"/>
        <w:gridCol w:w="685"/>
        <w:gridCol w:w="682"/>
      </w:tblGrid>
      <w:tr>
        <w:trPr>
          <w:trHeight w:val="569" w:hRule="atLeast"/>
        </w:trPr>
        <w:tc>
          <w:tcPr>
            <w:tcW w:w="967" w:type="dxa"/>
            <w:tcBorders>
              <w:top w:val="nil"/>
            </w:tcBorders>
            <w:shd w:val="clear" w:color="auto" w:fill="44536A"/>
          </w:tcPr>
          <w:p>
            <w:pPr>
              <w:pStyle w:val="TableParagraph"/>
              <w:spacing w:line="240" w:lineRule="atLeast" w:before="28"/>
              <w:ind w:left="69" w:right="230"/>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01" w:type="dxa"/>
            <w:tcBorders>
              <w:top w:val="nil"/>
            </w:tcBorders>
            <w:shd w:val="clear" w:color="auto" w:fill="C8C8C8"/>
          </w:tcPr>
          <w:p>
            <w:pPr>
              <w:pStyle w:val="TableParagraph"/>
              <w:rPr>
                <w:rFonts w:ascii="Times New Roman"/>
                <w:sz w:val="20"/>
              </w:rPr>
            </w:pPr>
          </w:p>
        </w:tc>
        <w:tc>
          <w:tcPr>
            <w:tcW w:w="685" w:type="dxa"/>
            <w:tcBorders>
              <w:top w:val="nil"/>
            </w:tcBorders>
          </w:tcPr>
          <w:p>
            <w:pPr>
              <w:pStyle w:val="TableParagraph"/>
              <w:spacing w:before="12"/>
              <w:rPr>
                <w:sz w:val="16"/>
              </w:rPr>
            </w:pPr>
          </w:p>
          <w:p>
            <w:pPr>
              <w:pStyle w:val="TableParagraph"/>
              <w:ind w:left="74"/>
              <w:rPr>
                <w:sz w:val="16"/>
              </w:rPr>
            </w:pPr>
            <w:r>
              <w:rPr>
                <w:spacing w:val="-2"/>
                <w:sz w:val="16"/>
              </w:rPr>
              <w:t>36.69%</w:t>
            </w:r>
          </w:p>
        </w:tc>
        <w:tc>
          <w:tcPr>
            <w:tcW w:w="684" w:type="dxa"/>
            <w:tcBorders>
              <w:top w:val="nil"/>
            </w:tcBorders>
          </w:tcPr>
          <w:p>
            <w:pPr>
              <w:pStyle w:val="TableParagraph"/>
              <w:spacing w:before="12"/>
              <w:rPr>
                <w:sz w:val="16"/>
              </w:rPr>
            </w:pPr>
          </w:p>
          <w:p>
            <w:pPr>
              <w:pStyle w:val="TableParagraph"/>
              <w:ind w:left="73"/>
              <w:rPr>
                <w:sz w:val="16"/>
              </w:rPr>
            </w:pPr>
            <w:r>
              <w:rPr>
                <w:spacing w:val="-2"/>
                <w:sz w:val="16"/>
              </w:rPr>
              <w:t>33.74%</w:t>
            </w:r>
          </w:p>
        </w:tc>
        <w:tc>
          <w:tcPr>
            <w:tcW w:w="682" w:type="dxa"/>
            <w:tcBorders>
              <w:top w:val="nil"/>
            </w:tcBorders>
          </w:tcPr>
          <w:p>
            <w:pPr>
              <w:pStyle w:val="TableParagraph"/>
              <w:spacing w:before="12"/>
              <w:rPr>
                <w:sz w:val="16"/>
              </w:rPr>
            </w:pPr>
          </w:p>
          <w:p>
            <w:pPr>
              <w:pStyle w:val="TableParagraph"/>
              <w:ind w:left="73"/>
              <w:rPr>
                <w:sz w:val="16"/>
              </w:rPr>
            </w:pPr>
            <w:r>
              <w:rPr>
                <w:spacing w:val="-2"/>
                <w:sz w:val="16"/>
              </w:rPr>
              <w:t>34.97%</w:t>
            </w:r>
          </w:p>
        </w:tc>
        <w:tc>
          <w:tcPr>
            <w:tcW w:w="684" w:type="dxa"/>
            <w:tcBorders>
              <w:top w:val="nil"/>
            </w:tcBorders>
            <w:shd w:val="clear" w:color="auto" w:fill="C8C8C8"/>
          </w:tcPr>
          <w:p>
            <w:pPr>
              <w:pStyle w:val="TableParagraph"/>
              <w:rPr>
                <w:rFonts w:ascii="Times New Roman"/>
                <w:sz w:val="20"/>
              </w:rPr>
            </w:pPr>
          </w:p>
        </w:tc>
        <w:tc>
          <w:tcPr>
            <w:tcW w:w="682" w:type="dxa"/>
            <w:tcBorders>
              <w:top w:val="nil"/>
            </w:tcBorders>
            <w:shd w:val="clear" w:color="auto" w:fill="C8C8C8"/>
          </w:tcPr>
          <w:p>
            <w:pPr>
              <w:pStyle w:val="TableParagraph"/>
              <w:rPr>
                <w:rFonts w:ascii="Times New Roman"/>
                <w:sz w:val="20"/>
              </w:rPr>
            </w:pPr>
          </w:p>
        </w:tc>
        <w:tc>
          <w:tcPr>
            <w:tcW w:w="684" w:type="dxa"/>
            <w:tcBorders>
              <w:top w:val="nil"/>
            </w:tcBorders>
            <w:shd w:val="clear" w:color="auto" w:fill="C8C8C8"/>
          </w:tcPr>
          <w:p>
            <w:pPr>
              <w:pStyle w:val="TableParagraph"/>
              <w:rPr>
                <w:rFonts w:ascii="Times New Roman"/>
                <w:sz w:val="20"/>
              </w:rPr>
            </w:pPr>
          </w:p>
        </w:tc>
        <w:tc>
          <w:tcPr>
            <w:tcW w:w="684" w:type="dxa"/>
            <w:tcBorders>
              <w:top w:val="nil"/>
            </w:tcBorders>
            <w:shd w:val="clear" w:color="auto" w:fill="C8C8C8"/>
          </w:tcPr>
          <w:p>
            <w:pPr>
              <w:pStyle w:val="TableParagraph"/>
              <w:rPr>
                <w:rFonts w:ascii="Times New Roman"/>
                <w:sz w:val="20"/>
              </w:rPr>
            </w:pPr>
          </w:p>
        </w:tc>
        <w:tc>
          <w:tcPr>
            <w:tcW w:w="682" w:type="dxa"/>
            <w:tcBorders>
              <w:top w:val="nil"/>
            </w:tcBorders>
            <w:shd w:val="clear" w:color="auto" w:fill="C8C8C8"/>
          </w:tcPr>
          <w:p>
            <w:pPr>
              <w:pStyle w:val="TableParagraph"/>
              <w:rPr>
                <w:rFonts w:ascii="Times New Roman"/>
                <w:sz w:val="20"/>
              </w:rPr>
            </w:pPr>
          </w:p>
        </w:tc>
        <w:tc>
          <w:tcPr>
            <w:tcW w:w="685" w:type="dxa"/>
            <w:tcBorders>
              <w:top w:val="nil"/>
            </w:tcBorders>
            <w:shd w:val="clear" w:color="auto" w:fill="C8C8C8"/>
          </w:tcPr>
          <w:p>
            <w:pPr>
              <w:pStyle w:val="TableParagraph"/>
              <w:rPr>
                <w:rFonts w:ascii="Times New Roman"/>
                <w:sz w:val="20"/>
              </w:rPr>
            </w:pPr>
          </w:p>
        </w:tc>
        <w:tc>
          <w:tcPr>
            <w:tcW w:w="682" w:type="dxa"/>
            <w:tcBorders>
              <w:top w:val="nil"/>
            </w:tcBorders>
            <w:shd w:val="clear" w:color="auto" w:fill="C8C8C8"/>
          </w:tcPr>
          <w:p>
            <w:pPr>
              <w:pStyle w:val="TableParagraph"/>
              <w:rPr>
                <w:rFonts w:ascii="Times New Roman"/>
                <w:sz w:val="20"/>
              </w:rPr>
            </w:pPr>
          </w:p>
        </w:tc>
      </w:tr>
    </w:tbl>
    <w:p>
      <w:pPr>
        <w:spacing w:line="307" w:lineRule="auto" w:before="28"/>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65"/>
        <w:rPr>
          <w:sz w:val="18"/>
        </w:rPr>
      </w:pPr>
    </w:p>
    <w:p>
      <w:pPr>
        <w:pStyle w:val="BodyText"/>
        <w:spacing w:line="307" w:lineRule="auto" w:before="1"/>
        <w:ind w:left="143" w:right="707"/>
        <w:jc w:val="both"/>
      </w:pPr>
      <w:r>
        <w:rPr/>
        <w:t>Respecto al segundo, en el año 2023, el 21.3 % de los patrocinios a personas afectadas por hechos de violencia contra las mujeres e integrantes de grupo familiar obtuvieron medidas cautelares solicitadas, alcanzando un nivel de avance bajo (59.2%) respecto a la meta esperada: 36.0%; cabe resaltar que el nivel de avance bajo se ha mantenido desde el año 2022 (62.7%).</w:t>
      </w:r>
    </w:p>
    <w:p>
      <w:pPr>
        <w:spacing w:before="153"/>
        <w:ind w:left="1222" w:right="0" w:firstLine="0"/>
        <w:jc w:val="both"/>
        <w:rPr>
          <w:sz w:val="22"/>
        </w:rPr>
      </w:pPr>
      <w:r>
        <w:rPr>
          <w:color w:val="44536A"/>
          <w:sz w:val="22"/>
        </w:rPr>
        <w:t>Tabla</w:t>
      </w:r>
      <w:r>
        <w:rPr>
          <w:color w:val="44536A"/>
          <w:spacing w:val="-7"/>
          <w:sz w:val="22"/>
        </w:rPr>
        <w:t> </w:t>
      </w:r>
      <w:r>
        <w:rPr>
          <w:color w:val="44536A"/>
          <w:sz w:val="22"/>
        </w:rPr>
        <w:t>16.</w:t>
      </w:r>
      <w:r>
        <w:rPr>
          <w:color w:val="44536A"/>
          <w:spacing w:val="-7"/>
          <w:sz w:val="22"/>
        </w:rPr>
        <w:t> </w:t>
      </w:r>
      <w:r>
        <w:rPr>
          <w:color w:val="44536A"/>
          <w:sz w:val="22"/>
        </w:rPr>
        <w:t>Análisis</w:t>
      </w:r>
      <w:r>
        <w:rPr>
          <w:color w:val="44536A"/>
          <w:spacing w:val="-9"/>
          <w:sz w:val="22"/>
        </w:rPr>
        <w:t> </w:t>
      </w:r>
      <w:r>
        <w:rPr>
          <w:color w:val="44536A"/>
          <w:sz w:val="22"/>
        </w:rPr>
        <w:t>del</w:t>
      </w:r>
      <w:r>
        <w:rPr>
          <w:color w:val="44536A"/>
          <w:spacing w:val="-7"/>
          <w:sz w:val="22"/>
        </w:rPr>
        <w:t> </w:t>
      </w:r>
      <w:r>
        <w:rPr>
          <w:color w:val="44536A"/>
          <w:sz w:val="22"/>
        </w:rPr>
        <w:t>indicador</w:t>
      </w:r>
      <w:r>
        <w:rPr>
          <w:color w:val="44536A"/>
          <w:spacing w:val="-10"/>
          <w:sz w:val="22"/>
        </w:rPr>
        <w:t> </w:t>
      </w:r>
      <w:r>
        <w:rPr>
          <w:color w:val="44536A"/>
          <w:sz w:val="22"/>
        </w:rPr>
        <w:t>de</w:t>
      </w:r>
      <w:r>
        <w:rPr>
          <w:color w:val="44536A"/>
          <w:spacing w:val="-8"/>
          <w:sz w:val="22"/>
        </w:rPr>
        <w:t> </w:t>
      </w:r>
      <w:r>
        <w:rPr>
          <w:color w:val="44536A"/>
          <w:sz w:val="22"/>
        </w:rPr>
        <w:t>calidad</w:t>
      </w:r>
      <w:r>
        <w:rPr>
          <w:color w:val="44536A"/>
          <w:spacing w:val="-5"/>
          <w:sz w:val="22"/>
        </w:rPr>
        <w:t> </w:t>
      </w:r>
      <w:r>
        <w:rPr>
          <w:color w:val="44536A"/>
          <w:sz w:val="22"/>
        </w:rPr>
        <w:t>2</w:t>
      </w:r>
      <w:r>
        <w:rPr>
          <w:color w:val="44536A"/>
          <w:spacing w:val="-8"/>
          <w:sz w:val="22"/>
        </w:rPr>
        <w:t> </w:t>
      </w:r>
      <w:r>
        <w:rPr>
          <w:color w:val="44536A"/>
          <w:sz w:val="22"/>
        </w:rPr>
        <w:t>del</w:t>
      </w:r>
      <w:r>
        <w:rPr>
          <w:color w:val="44536A"/>
          <w:spacing w:val="-8"/>
          <w:sz w:val="22"/>
        </w:rPr>
        <w:t> </w:t>
      </w:r>
      <w:r>
        <w:rPr>
          <w:color w:val="44536A"/>
          <w:sz w:val="22"/>
        </w:rPr>
        <w:t>servicio</w:t>
      </w:r>
      <w:r>
        <w:rPr>
          <w:color w:val="44536A"/>
          <w:spacing w:val="-6"/>
          <w:sz w:val="22"/>
        </w:rPr>
        <w:t> </w:t>
      </w:r>
      <w:r>
        <w:rPr>
          <w:color w:val="44536A"/>
          <w:spacing w:val="-2"/>
          <w:sz w:val="22"/>
        </w:rPr>
        <w:t>01.01.07</w:t>
      </w:r>
    </w:p>
    <w:p>
      <w:pPr>
        <w:pStyle w:val="BodyText"/>
        <w:spacing w:before="10"/>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7"/>
        <w:gridCol w:w="701"/>
        <w:gridCol w:w="685"/>
        <w:gridCol w:w="684"/>
        <w:gridCol w:w="682"/>
        <w:gridCol w:w="684"/>
        <w:gridCol w:w="682"/>
        <w:gridCol w:w="684"/>
        <w:gridCol w:w="684"/>
        <w:gridCol w:w="682"/>
        <w:gridCol w:w="685"/>
        <w:gridCol w:w="682"/>
      </w:tblGrid>
      <w:tr>
        <w:trPr>
          <w:trHeight w:val="302" w:hRule="atLeast"/>
        </w:trPr>
        <w:tc>
          <w:tcPr>
            <w:tcW w:w="967" w:type="dxa"/>
            <w:shd w:val="clear" w:color="auto" w:fill="44536A"/>
          </w:tcPr>
          <w:p>
            <w:pPr>
              <w:pStyle w:val="TableParagraph"/>
              <w:spacing w:before="63"/>
              <w:ind w:left="7"/>
              <w:jc w:val="center"/>
              <w:rPr>
                <w:sz w:val="16"/>
              </w:rPr>
            </w:pPr>
            <w:r>
              <w:rPr>
                <w:color w:val="FFFFFF"/>
                <w:spacing w:val="-5"/>
                <w:sz w:val="16"/>
              </w:rPr>
              <w:t>OP</w:t>
            </w:r>
          </w:p>
        </w:tc>
        <w:tc>
          <w:tcPr>
            <w:tcW w:w="7535" w:type="dxa"/>
            <w:gridSpan w:val="11"/>
          </w:tcPr>
          <w:p>
            <w:pPr>
              <w:pStyle w:val="TableParagraph"/>
              <w:spacing w:before="51"/>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733" w:hRule="atLeast"/>
        </w:trPr>
        <w:tc>
          <w:tcPr>
            <w:tcW w:w="967" w:type="dxa"/>
            <w:shd w:val="clear" w:color="auto" w:fill="44536A"/>
          </w:tcPr>
          <w:p>
            <w:pPr>
              <w:pStyle w:val="TableParagraph"/>
              <w:spacing w:before="60"/>
              <w:rPr>
                <w:sz w:val="18"/>
              </w:rPr>
            </w:pPr>
          </w:p>
          <w:p>
            <w:pPr>
              <w:pStyle w:val="TableParagraph"/>
              <w:ind w:left="172"/>
              <w:rPr>
                <w:sz w:val="18"/>
              </w:rPr>
            </w:pPr>
            <w:r>
              <w:rPr>
                <w:color w:val="FFFFFF"/>
                <w:spacing w:val="-2"/>
                <w:sz w:val="18"/>
              </w:rPr>
              <w:t>Servicio</w:t>
            </w:r>
          </w:p>
        </w:tc>
        <w:tc>
          <w:tcPr>
            <w:tcW w:w="7535" w:type="dxa"/>
            <w:gridSpan w:val="11"/>
          </w:tcPr>
          <w:p>
            <w:pPr>
              <w:pStyle w:val="TableParagraph"/>
              <w:spacing w:line="283" w:lineRule="auto" w:before="23"/>
              <w:ind w:left="69"/>
              <w:rPr>
                <w:sz w:val="18"/>
              </w:rPr>
            </w:pPr>
            <w:r>
              <w:rPr>
                <w:sz w:val="18"/>
              </w:rPr>
              <w:t>Defensa</w:t>
            </w:r>
            <w:r>
              <w:rPr>
                <w:spacing w:val="-4"/>
                <w:sz w:val="18"/>
              </w:rPr>
              <w:t> </w:t>
            </w:r>
            <w:r>
              <w:rPr>
                <w:sz w:val="18"/>
              </w:rPr>
              <w:t>Pública</w:t>
            </w:r>
            <w:r>
              <w:rPr>
                <w:spacing w:val="-4"/>
                <w:sz w:val="18"/>
              </w:rPr>
              <w:t> </w:t>
            </w:r>
            <w:r>
              <w:rPr>
                <w:sz w:val="18"/>
              </w:rPr>
              <w:t>especializada</w:t>
            </w:r>
            <w:r>
              <w:rPr>
                <w:spacing w:val="-6"/>
                <w:sz w:val="18"/>
              </w:rPr>
              <w:t> </w:t>
            </w:r>
            <w:r>
              <w:rPr>
                <w:sz w:val="18"/>
              </w:rPr>
              <w:t>intercultural,</w:t>
            </w:r>
            <w:r>
              <w:rPr>
                <w:spacing w:val="-5"/>
                <w:sz w:val="18"/>
              </w:rPr>
              <w:t> </w:t>
            </w:r>
            <w:r>
              <w:rPr>
                <w:sz w:val="18"/>
              </w:rPr>
              <w:t>accesible,</w:t>
            </w:r>
            <w:r>
              <w:rPr>
                <w:spacing w:val="-8"/>
                <w:sz w:val="18"/>
              </w:rPr>
              <w:t> </w:t>
            </w:r>
            <w:r>
              <w:rPr>
                <w:sz w:val="18"/>
              </w:rPr>
              <w:t>oportuna,</w:t>
            </w:r>
            <w:r>
              <w:rPr>
                <w:spacing w:val="-5"/>
                <w:sz w:val="18"/>
              </w:rPr>
              <w:t> </w:t>
            </w:r>
            <w:r>
              <w:rPr>
                <w:sz w:val="18"/>
              </w:rPr>
              <w:t>efectiva,</w:t>
            </w:r>
            <w:r>
              <w:rPr>
                <w:spacing w:val="-5"/>
                <w:sz w:val="18"/>
              </w:rPr>
              <w:t> </w:t>
            </w:r>
            <w:r>
              <w:rPr>
                <w:sz w:val="18"/>
              </w:rPr>
              <w:t>disponible</w:t>
            </w:r>
            <w:r>
              <w:rPr>
                <w:spacing w:val="-5"/>
                <w:sz w:val="18"/>
              </w:rPr>
              <w:t> </w:t>
            </w:r>
            <w:r>
              <w:rPr>
                <w:sz w:val="18"/>
              </w:rPr>
              <w:t>y</w:t>
            </w:r>
            <w:r>
              <w:rPr>
                <w:spacing w:val="-8"/>
                <w:sz w:val="18"/>
              </w:rPr>
              <w:t> </w:t>
            </w:r>
            <w:r>
              <w:rPr>
                <w:sz w:val="18"/>
              </w:rPr>
              <w:t>de calidad para la protección y sanción de la violencia contra las mujeres, integrantes del</w:t>
            </w:r>
          </w:p>
          <w:p>
            <w:pPr>
              <w:pStyle w:val="TableParagraph"/>
              <w:spacing w:line="201" w:lineRule="exact" w:before="1"/>
              <w:ind w:left="69"/>
              <w:rPr>
                <w:sz w:val="18"/>
              </w:rPr>
            </w:pPr>
            <w:r>
              <w:rPr>
                <w:sz w:val="18"/>
              </w:rPr>
              <w:t>grupo</w:t>
            </w:r>
            <w:r>
              <w:rPr>
                <w:spacing w:val="-2"/>
                <w:sz w:val="18"/>
              </w:rPr>
              <w:t> </w:t>
            </w:r>
            <w:r>
              <w:rPr>
                <w:sz w:val="18"/>
              </w:rPr>
              <w:t>familiar</w:t>
            </w:r>
            <w:r>
              <w:rPr>
                <w:spacing w:val="-5"/>
                <w:sz w:val="18"/>
              </w:rPr>
              <w:t> </w:t>
            </w:r>
            <w:r>
              <w:rPr>
                <w:sz w:val="18"/>
              </w:rPr>
              <w:t>y</w:t>
            </w:r>
            <w:r>
              <w:rPr>
                <w:spacing w:val="-2"/>
                <w:sz w:val="18"/>
              </w:rPr>
              <w:t> </w:t>
            </w:r>
            <w:r>
              <w:rPr>
                <w:sz w:val="18"/>
              </w:rPr>
              <w:t>en</w:t>
            </w:r>
            <w:r>
              <w:rPr>
                <w:spacing w:val="-3"/>
                <w:sz w:val="18"/>
              </w:rPr>
              <w:t> </w:t>
            </w:r>
            <w:r>
              <w:rPr>
                <w:sz w:val="18"/>
              </w:rPr>
              <w:t>delitos</w:t>
            </w:r>
            <w:r>
              <w:rPr>
                <w:spacing w:val="-3"/>
                <w:sz w:val="18"/>
              </w:rPr>
              <w:t> </w:t>
            </w:r>
            <w:r>
              <w:rPr>
                <w:sz w:val="18"/>
              </w:rPr>
              <w:t>sexuales</w:t>
            </w:r>
            <w:r>
              <w:rPr>
                <w:spacing w:val="-2"/>
                <w:sz w:val="18"/>
              </w:rPr>
              <w:t> </w:t>
            </w:r>
            <w:r>
              <w:rPr>
                <w:sz w:val="18"/>
              </w:rPr>
              <w:t>en</w:t>
            </w:r>
            <w:r>
              <w:rPr>
                <w:spacing w:val="-2"/>
                <w:sz w:val="18"/>
              </w:rPr>
              <w:t> </w:t>
            </w:r>
            <w:r>
              <w:rPr>
                <w:sz w:val="18"/>
              </w:rPr>
              <w:t>agravio</w:t>
            </w:r>
            <w:r>
              <w:rPr>
                <w:spacing w:val="-1"/>
                <w:sz w:val="18"/>
              </w:rPr>
              <w:t> </w:t>
            </w:r>
            <w:r>
              <w:rPr>
                <w:sz w:val="18"/>
              </w:rPr>
              <w:t>de</w:t>
            </w:r>
            <w:r>
              <w:rPr>
                <w:spacing w:val="-3"/>
                <w:sz w:val="18"/>
              </w:rPr>
              <w:t> </w:t>
            </w:r>
            <w:r>
              <w:rPr>
                <w:sz w:val="18"/>
              </w:rPr>
              <w:t>niños,</w:t>
            </w:r>
            <w:r>
              <w:rPr>
                <w:spacing w:val="-2"/>
                <w:sz w:val="18"/>
              </w:rPr>
              <w:t> </w:t>
            </w:r>
            <w:r>
              <w:rPr>
                <w:sz w:val="18"/>
              </w:rPr>
              <w:t>niña</w:t>
            </w:r>
            <w:r>
              <w:rPr>
                <w:spacing w:val="-1"/>
                <w:sz w:val="18"/>
              </w:rPr>
              <w:t> </w:t>
            </w:r>
            <w:r>
              <w:rPr>
                <w:sz w:val="18"/>
              </w:rPr>
              <w:t>y</w:t>
            </w:r>
            <w:r>
              <w:rPr>
                <w:spacing w:val="-3"/>
                <w:sz w:val="18"/>
              </w:rPr>
              <w:t> </w:t>
            </w:r>
            <w:r>
              <w:rPr>
                <w:spacing w:val="-2"/>
                <w:sz w:val="18"/>
              </w:rPr>
              <w:t>adolescente.</w:t>
            </w:r>
          </w:p>
        </w:tc>
      </w:tr>
      <w:tr>
        <w:trPr>
          <w:trHeight w:val="736" w:hRule="atLeast"/>
        </w:trPr>
        <w:tc>
          <w:tcPr>
            <w:tcW w:w="967" w:type="dxa"/>
            <w:shd w:val="clear" w:color="auto" w:fill="44536A"/>
          </w:tcPr>
          <w:p>
            <w:pPr>
              <w:pStyle w:val="TableParagraph"/>
              <w:spacing w:before="63"/>
              <w:rPr>
                <w:sz w:val="18"/>
              </w:rPr>
            </w:pPr>
          </w:p>
          <w:p>
            <w:pPr>
              <w:pStyle w:val="TableParagraph"/>
              <w:ind w:left="100"/>
              <w:rPr>
                <w:sz w:val="18"/>
              </w:rPr>
            </w:pPr>
            <w:r>
              <w:rPr>
                <w:color w:val="FFFFFF"/>
                <w:spacing w:val="-2"/>
                <w:w w:val="105"/>
                <w:sz w:val="18"/>
              </w:rPr>
              <w:t>Indicador</w:t>
            </w:r>
          </w:p>
        </w:tc>
        <w:tc>
          <w:tcPr>
            <w:tcW w:w="7535" w:type="dxa"/>
            <w:gridSpan w:val="11"/>
          </w:tcPr>
          <w:p>
            <w:pPr>
              <w:pStyle w:val="TableParagraph"/>
              <w:spacing w:before="23"/>
              <w:ind w:left="69"/>
              <w:rPr>
                <w:sz w:val="18"/>
              </w:rPr>
            </w:pPr>
            <w:r>
              <w:rPr>
                <w:sz w:val="18"/>
              </w:rPr>
              <w:t>Porcentaje</w:t>
            </w:r>
            <w:r>
              <w:rPr>
                <w:spacing w:val="-1"/>
                <w:sz w:val="18"/>
              </w:rPr>
              <w:t> </w:t>
            </w:r>
            <w:r>
              <w:rPr>
                <w:sz w:val="18"/>
              </w:rPr>
              <w:t>de</w:t>
            </w:r>
            <w:r>
              <w:rPr>
                <w:spacing w:val="-2"/>
                <w:sz w:val="18"/>
              </w:rPr>
              <w:t> </w:t>
            </w:r>
            <w:r>
              <w:rPr>
                <w:sz w:val="18"/>
              </w:rPr>
              <w:t>patrocinios en</w:t>
            </w:r>
            <w:r>
              <w:rPr>
                <w:spacing w:val="-4"/>
                <w:sz w:val="18"/>
              </w:rPr>
              <w:t> </w:t>
            </w:r>
            <w:r>
              <w:rPr>
                <w:sz w:val="18"/>
              </w:rPr>
              <w:t>materias</w:t>
            </w:r>
            <w:r>
              <w:rPr>
                <w:spacing w:val="1"/>
                <w:sz w:val="18"/>
              </w:rPr>
              <w:t> </w:t>
            </w:r>
            <w:r>
              <w:rPr>
                <w:sz w:val="18"/>
              </w:rPr>
              <w:t>conexas a</w:t>
            </w:r>
            <w:r>
              <w:rPr>
                <w:spacing w:val="-1"/>
                <w:sz w:val="18"/>
              </w:rPr>
              <w:t> </w:t>
            </w:r>
            <w:r>
              <w:rPr>
                <w:sz w:val="18"/>
              </w:rPr>
              <w:t>personas</w:t>
            </w:r>
            <w:r>
              <w:rPr>
                <w:spacing w:val="-2"/>
                <w:sz w:val="18"/>
              </w:rPr>
              <w:t> </w:t>
            </w:r>
            <w:r>
              <w:rPr>
                <w:sz w:val="18"/>
              </w:rPr>
              <w:t>afectadas</w:t>
            </w:r>
            <w:r>
              <w:rPr>
                <w:spacing w:val="-3"/>
                <w:sz w:val="18"/>
              </w:rPr>
              <w:t> </w:t>
            </w:r>
            <w:r>
              <w:rPr>
                <w:sz w:val="18"/>
              </w:rPr>
              <w:t>por hechos</w:t>
            </w:r>
            <w:r>
              <w:rPr>
                <w:spacing w:val="-2"/>
                <w:sz w:val="18"/>
              </w:rPr>
              <w:t> </w:t>
            </w:r>
            <w:r>
              <w:rPr>
                <w:spacing w:val="-5"/>
                <w:sz w:val="18"/>
              </w:rPr>
              <w:t>de</w:t>
            </w:r>
          </w:p>
          <w:p>
            <w:pPr>
              <w:pStyle w:val="TableParagraph"/>
              <w:spacing w:line="240" w:lineRule="atLeast" w:before="6"/>
              <w:ind w:left="69"/>
              <w:rPr>
                <w:sz w:val="18"/>
              </w:rPr>
            </w:pPr>
            <w:r>
              <w:rPr>
                <w:sz w:val="18"/>
              </w:rPr>
              <w:t>violencia contra las mujeres e integrantes del grupo familiar, realizados por las/os defensoras/es</w:t>
            </w:r>
            <w:r>
              <w:rPr>
                <w:spacing w:val="-6"/>
                <w:sz w:val="18"/>
              </w:rPr>
              <w:t> </w:t>
            </w:r>
            <w:r>
              <w:rPr>
                <w:sz w:val="18"/>
              </w:rPr>
              <w:t>públicas/os</w:t>
            </w:r>
            <w:r>
              <w:rPr>
                <w:spacing w:val="-6"/>
                <w:sz w:val="18"/>
              </w:rPr>
              <w:t> </w:t>
            </w:r>
            <w:r>
              <w:rPr>
                <w:sz w:val="18"/>
              </w:rPr>
              <w:t>de</w:t>
            </w:r>
            <w:r>
              <w:rPr>
                <w:spacing w:val="-6"/>
                <w:sz w:val="18"/>
              </w:rPr>
              <w:t> </w:t>
            </w:r>
            <w:r>
              <w:rPr>
                <w:sz w:val="18"/>
              </w:rPr>
              <w:t>asistencia</w:t>
            </w:r>
            <w:r>
              <w:rPr>
                <w:spacing w:val="-3"/>
                <w:sz w:val="18"/>
              </w:rPr>
              <w:t> </w:t>
            </w:r>
            <w:r>
              <w:rPr>
                <w:sz w:val="18"/>
              </w:rPr>
              <w:t>legal,</w:t>
            </w:r>
            <w:r>
              <w:rPr>
                <w:spacing w:val="-6"/>
                <w:sz w:val="18"/>
              </w:rPr>
              <w:t> </w:t>
            </w:r>
            <w:r>
              <w:rPr>
                <w:sz w:val="18"/>
              </w:rPr>
              <w:t>con</w:t>
            </w:r>
            <w:r>
              <w:rPr>
                <w:spacing w:val="-4"/>
                <w:sz w:val="18"/>
              </w:rPr>
              <w:t> </w:t>
            </w:r>
            <w:r>
              <w:rPr>
                <w:sz w:val="18"/>
              </w:rPr>
              <w:t>medidas</w:t>
            </w:r>
            <w:r>
              <w:rPr>
                <w:spacing w:val="-6"/>
                <w:sz w:val="18"/>
              </w:rPr>
              <w:t> </w:t>
            </w:r>
            <w:r>
              <w:rPr>
                <w:sz w:val="18"/>
              </w:rPr>
              <w:t>de</w:t>
            </w:r>
            <w:r>
              <w:rPr>
                <w:spacing w:val="-4"/>
                <w:sz w:val="18"/>
              </w:rPr>
              <w:t> </w:t>
            </w:r>
            <w:r>
              <w:rPr>
                <w:sz w:val="18"/>
              </w:rPr>
              <w:t>cautelares</w:t>
            </w:r>
            <w:r>
              <w:rPr>
                <w:spacing w:val="-4"/>
                <w:sz w:val="18"/>
              </w:rPr>
              <w:t> </w:t>
            </w:r>
            <w:r>
              <w:rPr>
                <w:sz w:val="18"/>
              </w:rPr>
              <w:t>solicitadas.</w:t>
            </w:r>
          </w:p>
        </w:tc>
      </w:tr>
      <w:tr>
        <w:trPr>
          <w:trHeight w:val="733" w:hRule="atLeast"/>
        </w:trPr>
        <w:tc>
          <w:tcPr>
            <w:tcW w:w="967" w:type="dxa"/>
            <w:shd w:val="clear" w:color="auto" w:fill="808080"/>
          </w:tcPr>
          <w:p>
            <w:pPr>
              <w:pStyle w:val="TableParagraph"/>
              <w:spacing w:before="60"/>
              <w:rPr>
                <w:sz w:val="18"/>
              </w:rPr>
            </w:pPr>
          </w:p>
          <w:p>
            <w:pPr>
              <w:pStyle w:val="TableParagraph"/>
              <w:ind w:left="323"/>
              <w:rPr>
                <w:sz w:val="18"/>
              </w:rPr>
            </w:pPr>
            <w:r>
              <w:rPr>
                <w:color w:val="FFFFFF"/>
                <w:spacing w:val="-5"/>
                <w:sz w:val="18"/>
              </w:rPr>
              <w:t>Año</w:t>
            </w:r>
          </w:p>
        </w:tc>
        <w:tc>
          <w:tcPr>
            <w:tcW w:w="701" w:type="dxa"/>
            <w:shd w:val="clear" w:color="auto" w:fill="808080"/>
          </w:tcPr>
          <w:p>
            <w:pPr>
              <w:pStyle w:val="TableParagraph"/>
              <w:spacing w:before="23"/>
              <w:ind w:left="7"/>
              <w:jc w:val="center"/>
              <w:rPr>
                <w:sz w:val="18"/>
              </w:rPr>
            </w:pPr>
            <w:r>
              <w:rPr>
                <w:color w:val="FFFFFF"/>
                <w:spacing w:val="-2"/>
                <w:sz w:val="18"/>
              </w:rPr>
              <w:t>Valor</w:t>
            </w:r>
          </w:p>
          <w:p>
            <w:pPr>
              <w:pStyle w:val="TableParagraph"/>
              <w:spacing w:line="240" w:lineRule="atLeast" w:before="4"/>
              <w:ind w:left="95" w:right="83" w:hanging="1"/>
              <w:jc w:val="center"/>
              <w:rPr>
                <w:sz w:val="18"/>
              </w:rPr>
            </w:pPr>
            <w:r>
              <w:rPr>
                <w:color w:val="FFFFFF"/>
                <w:spacing w:val="-6"/>
                <w:sz w:val="18"/>
              </w:rPr>
              <w:t>LB </w:t>
            </w:r>
            <w:r>
              <w:rPr>
                <w:color w:val="FFFFFF"/>
                <w:spacing w:val="-4"/>
                <w:sz w:val="18"/>
              </w:rPr>
              <w:t>(2020)</w:t>
            </w:r>
          </w:p>
        </w:tc>
        <w:tc>
          <w:tcPr>
            <w:tcW w:w="685" w:type="dxa"/>
            <w:shd w:val="clear" w:color="auto" w:fill="808080"/>
          </w:tcPr>
          <w:p>
            <w:pPr>
              <w:pStyle w:val="TableParagraph"/>
              <w:spacing w:before="60"/>
              <w:rPr>
                <w:sz w:val="18"/>
              </w:rPr>
            </w:pPr>
          </w:p>
          <w:p>
            <w:pPr>
              <w:pStyle w:val="TableParagraph"/>
              <w:ind w:left="6"/>
              <w:jc w:val="center"/>
              <w:rPr>
                <w:sz w:val="18"/>
              </w:rPr>
            </w:pPr>
            <w:r>
              <w:rPr>
                <w:color w:val="FFFFFF"/>
                <w:spacing w:val="-4"/>
                <w:sz w:val="18"/>
              </w:rPr>
              <w:t>2021</w:t>
            </w:r>
          </w:p>
        </w:tc>
        <w:tc>
          <w:tcPr>
            <w:tcW w:w="684" w:type="dxa"/>
            <w:shd w:val="clear" w:color="auto" w:fill="808080"/>
          </w:tcPr>
          <w:p>
            <w:pPr>
              <w:pStyle w:val="TableParagraph"/>
              <w:spacing w:before="60"/>
              <w:rPr>
                <w:sz w:val="18"/>
              </w:rPr>
            </w:pPr>
          </w:p>
          <w:p>
            <w:pPr>
              <w:pStyle w:val="TableParagraph"/>
              <w:ind w:left="15" w:right="9"/>
              <w:jc w:val="center"/>
              <w:rPr>
                <w:sz w:val="18"/>
              </w:rPr>
            </w:pPr>
            <w:r>
              <w:rPr>
                <w:color w:val="FFFFFF"/>
                <w:spacing w:val="-4"/>
                <w:sz w:val="18"/>
              </w:rPr>
              <w:t>2022</w:t>
            </w:r>
          </w:p>
        </w:tc>
        <w:tc>
          <w:tcPr>
            <w:tcW w:w="682" w:type="dxa"/>
            <w:shd w:val="clear" w:color="auto" w:fill="808080"/>
          </w:tcPr>
          <w:p>
            <w:pPr>
              <w:pStyle w:val="TableParagraph"/>
              <w:spacing w:before="60"/>
              <w:rPr>
                <w:sz w:val="18"/>
              </w:rPr>
            </w:pPr>
          </w:p>
          <w:p>
            <w:pPr>
              <w:pStyle w:val="TableParagraph"/>
              <w:ind w:left="9" w:right="1"/>
              <w:jc w:val="center"/>
              <w:rPr>
                <w:sz w:val="18"/>
              </w:rPr>
            </w:pPr>
            <w:r>
              <w:rPr>
                <w:color w:val="FFFFFF"/>
                <w:spacing w:val="-4"/>
                <w:sz w:val="18"/>
              </w:rPr>
              <w:t>2023</w:t>
            </w:r>
          </w:p>
        </w:tc>
        <w:tc>
          <w:tcPr>
            <w:tcW w:w="684" w:type="dxa"/>
            <w:shd w:val="clear" w:color="auto" w:fill="808080"/>
          </w:tcPr>
          <w:p>
            <w:pPr>
              <w:pStyle w:val="TableParagraph"/>
              <w:spacing w:before="60"/>
              <w:rPr>
                <w:sz w:val="18"/>
              </w:rPr>
            </w:pPr>
          </w:p>
          <w:p>
            <w:pPr>
              <w:pStyle w:val="TableParagraph"/>
              <w:ind w:left="15" w:right="10"/>
              <w:jc w:val="center"/>
              <w:rPr>
                <w:sz w:val="18"/>
              </w:rPr>
            </w:pPr>
            <w:r>
              <w:rPr>
                <w:color w:val="FFFFFF"/>
                <w:spacing w:val="-4"/>
                <w:sz w:val="18"/>
              </w:rPr>
              <w:t>2024</w:t>
            </w:r>
          </w:p>
        </w:tc>
        <w:tc>
          <w:tcPr>
            <w:tcW w:w="682" w:type="dxa"/>
            <w:shd w:val="clear" w:color="auto" w:fill="808080"/>
          </w:tcPr>
          <w:p>
            <w:pPr>
              <w:pStyle w:val="TableParagraph"/>
              <w:spacing w:before="60"/>
              <w:rPr>
                <w:sz w:val="18"/>
              </w:rPr>
            </w:pPr>
          </w:p>
          <w:p>
            <w:pPr>
              <w:pStyle w:val="TableParagraph"/>
              <w:ind w:left="9" w:right="2"/>
              <w:jc w:val="center"/>
              <w:rPr>
                <w:sz w:val="18"/>
              </w:rPr>
            </w:pPr>
            <w:r>
              <w:rPr>
                <w:color w:val="FFFFFF"/>
                <w:spacing w:val="-4"/>
                <w:sz w:val="18"/>
              </w:rPr>
              <w:t>2025</w:t>
            </w:r>
          </w:p>
        </w:tc>
        <w:tc>
          <w:tcPr>
            <w:tcW w:w="684" w:type="dxa"/>
            <w:shd w:val="clear" w:color="auto" w:fill="808080"/>
          </w:tcPr>
          <w:p>
            <w:pPr>
              <w:pStyle w:val="TableParagraph"/>
              <w:spacing w:before="60"/>
              <w:rPr>
                <w:sz w:val="18"/>
              </w:rPr>
            </w:pPr>
          </w:p>
          <w:p>
            <w:pPr>
              <w:pStyle w:val="TableParagraph"/>
              <w:ind w:left="15" w:right="10"/>
              <w:jc w:val="center"/>
              <w:rPr>
                <w:sz w:val="18"/>
              </w:rPr>
            </w:pPr>
            <w:r>
              <w:rPr>
                <w:color w:val="FFFFFF"/>
                <w:spacing w:val="-4"/>
                <w:sz w:val="18"/>
              </w:rPr>
              <w:t>2026</w:t>
            </w:r>
          </w:p>
        </w:tc>
        <w:tc>
          <w:tcPr>
            <w:tcW w:w="684" w:type="dxa"/>
            <w:shd w:val="clear" w:color="auto" w:fill="808080"/>
          </w:tcPr>
          <w:p>
            <w:pPr>
              <w:pStyle w:val="TableParagraph"/>
              <w:spacing w:before="60"/>
              <w:rPr>
                <w:sz w:val="18"/>
              </w:rPr>
            </w:pPr>
          </w:p>
          <w:p>
            <w:pPr>
              <w:pStyle w:val="TableParagraph"/>
              <w:ind w:left="15" w:right="10"/>
              <w:jc w:val="center"/>
              <w:rPr>
                <w:sz w:val="18"/>
              </w:rPr>
            </w:pPr>
            <w:r>
              <w:rPr>
                <w:color w:val="FFFFFF"/>
                <w:spacing w:val="-4"/>
                <w:sz w:val="18"/>
              </w:rPr>
              <w:t>2027</w:t>
            </w:r>
          </w:p>
        </w:tc>
        <w:tc>
          <w:tcPr>
            <w:tcW w:w="682" w:type="dxa"/>
            <w:shd w:val="clear" w:color="auto" w:fill="808080"/>
          </w:tcPr>
          <w:p>
            <w:pPr>
              <w:pStyle w:val="TableParagraph"/>
              <w:spacing w:before="60"/>
              <w:rPr>
                <w:sz w:val="18"/>
              </w:rPr>
            </w:pPr>
          </w:p>
          <w:p>
            <w:pPr>
              <w:pStyle w:val="TableParagraph"/>
              <w:ind w:left="9" w:right="7"/>
              <w:jc w:val="center"/>
              <w:rPr>
                <w:sz w:val="18"/>
              </w:rPr>
            </w:pPr>
            <w:r>
              <w:rPr>
                <w:color w:val="FFFFFF"/>
                <w:spacing w:val="-4"/>
                <w:sz w:val="18"/>
              </w:rPr>
              <w:t>2028</w:t>
            </w:r>
          </w:p>
        </w:tc>
        <w:tc>
          <w:tcPr>
            <w:tcW w:w="685" w:type="dxa"/>
            <w:shd w:val="clear" w:color="auto" w:fill="808080"/>
          </w:tcPr>
          <w:p>
            <w:pPr>
              <w:pStyle w:val="TableParagraph"/>
              <w:spacing w:before="60"/>
              <w:rPr>
                <w:sz w:val="18"/>
              </w:rPr>
            </w:pPr>
          </w:p>
          <w:p>
            <w:pPr>
              <w:pStyle w:val="TableParagraph"/>
              <w:ind w:left="6" w:right="3"/>
              <w:jc w:val="center"/>
              <w:rPr>
                <w:sz w:val="18"/>
              </w:rPr>
            </w:pPr>
            <w:r>
              <w:rPr>
                <w:color w:val="FFFFFF"/>
                <w:spacing w:val="-4"/>
                <w:sz w:val="18"/>
              </w:rPr>
              <w:t>2029</w:t>
            </w:r>
          </w:p>
        </w:tc>
        <w:tc>
          <w:tcPr>
            <w:tcW w:w="682" w:type="dxa"/>
            <w:shd w:val="clear" w:color="auto" w:fill="808080"/>
          </w:tcPr>
          <w:p>
            <w:pPr>
              <w:pStyle w:val="TableParagraph"/>
              <w:spacing w:before="60"/>
              <w:rPr>
                <w:sz w:val="18"/>
              </w:rPr>
            </w:pPr>
          </w:p>
          <w:p>
            <w:pPr>
              <w:pStyle w:val="TableParagraph"/>
              <w:ind w:left="9" w:right="4"/>
              <w:jc w:val="center"/>
              <w:rPr>
                <w:sz w:val="18"/>
              </w:rPr>
            </w:pPr>
            <w:r>
              <w:rPr>
                <w:color w:val="FFFFFF"/>
                <w:spacing w:val="-4"/>
                <w:sz w:val="18"/>
              </w:rPr>
              <w:t>2030</w:t>
            </w:r>
          </w:p>
        </w:tc>
      </w:tr>
      <w:tr>
        <w:trPr>
          <w:trHeight w:val="302" w:hRule="atLeast"/>
        </w:trPr>
        <w:tc>
          <w:tcPr>
            <w:tcW w:w="967" w:type="dxa"/>
            <w:shd w:val="clear" w:color="auto" w:fill="44536A"/>
          </w:tcPr>
          <w:p>
            <w:pPr>
              <w:pStyle w:val="TableParagraph"/>
              <w:spacing w:before="51"/>
              <w:ind w:left="69"/>
              <w:rPr>
                <w:sz w:val="18"/>
              </w:rPr>
            </w:pPr>
            <w:r>
              <w:rPr>
                <w:color w:val="FFFFFF"/>
                <w:spacing w:val="-2"/>
                <w:sz w:val="18"/>
              </w:rPr>
              <w:t>Metas</w:t>
            </w:r>
          </w:p>
        </w:tc>
        <w:tc>
          <w:tcPr>
            <w:tcW w:w="701" w:type="dxa"/>
          </w:tcPr>
          <w:p>
            <w:pPr>
              <w:pStyle w:val="TableParagraph"/>
              <w:spacing w:before="61"/>
              <w:ind w:left="83"/>
              <w:rPr>
                <w:sz w:val="16"/>
              </w:rPr>
            </w:pPr>
            <w:r>
              <w:rPr>
                <w:spacing w:val="-2"/>
                <w:sz w:val="16"/>
              </w:rPr>
              <w:t>44.14%</w:t>
            </w:r>
          </w:p>
        </w:tc>
        <w:tc>
          <w:tcPr>
            <w:tcW w:w="685" w:type="dxa"/>
          </w:tcPr>
          <w:p>
            <w:pPr>
              <w:pStyle w:val="TableParagraph"/>
              <w:spacing w:before="61"/>
              <w:ind w:left="6"/>
              <w:jc w:val="center"/>
              <w:rPr>
                <w:sz w:val="16"/>
              </w:rPr>
            </w:pPr>
            <w:r>
              <w:rPr>
                <w:spacing w:val="-2"/>
                <w:sz w:val="16"/>
              </w:rPr>
              <w:t>35.00%</w:t>
            </w:r>
          </w:p>
        </w:tc>
        <w:tc>
          <w:tcPr>
            <w:tcW w:w="684" w:type="dxa"/>
          </w:tcPr>
          <w:p>
            <w:pPr>
              <w:pStyle w:val="TableParagraph"/>
              <w:spacing w:before="61"/>
              <w:ind w:left="15" w:right="9"/>
              <w:jc w:val="center"/>
              <w:rPr>
                <w:sz w:val="16"/>
              </w:rPr>
            </w:pPr>
            <w:r>
              <w:rPr>
                <w:spacing w:val="-2"/>
                <w:sz w:val="16"/>
              </w:rPr>
              <w:t>35.50%</w:t>
            </w:r>
          </w:p>
        </w:tc>
        <w:tc>
          <w:tcPr>
            <w:tcW w:w="682" w:type="dxa"/>
          </w:tcPr>
          <w:p>
            <w:pPr>
              <w:pStyle w:val="TableParagraph"/>
              <w:spacing w:before="61"/>
              <w:ind w:left="9" w:right="1"/>
              <w:jc w:val="center"/>
              <w:rPr>
                <w:sz w:val="16"/>
              </w:rPr>
            </w:pPr>
            <w:r>
              <w:rPr>
                <w:spacing w:val="-2"/>
                <w:sz w:val="16"/>
              </w:rPr>
              <w:t>36.00%</w:t>
            </w:r>
          </w:p>
        </w:tc>
        <w:tc>
          <w:tcPr>
            <w:tcW w:w="684" w:type="dxa"/>
          </w:tcPr>
          <w:p>
            <w:pPr>
              <w:pStyle w:val="TableParagraph"/>
              <w:spacing w:before="61"/>
              <w:ind w:left="15" w:right="10"/>
              <w:jc w:val="center"/>
              <w:rPr>
                <w:sz w:val="16"/>
              </w:rPr>
            </w:pPr>
            <w:r>
              <w:rPr>
                <w:spacing w:val="-2"/>
                <w:sz w:val="16"/>
              </w:rPr>
              <w:t>36.50%</w:t>
            </w:r>
          </w:p>
        </w:tc>
        <w:tc>
          <w:tcPr>
            <w:tcW w:w="682" w:type="dxa"/>
          </w:tcPr>
          <w:p>
            <w:pPr>
              <w:pStyle w:val="TableParagraph"/>
              <w:spacing w:before="61"/>
              <w:ind w:left="9" w:right="2"/>
              <w:jc w:val="center"/>
              <w:rPr>
                <w:sz w:val="16"/>
              </w:rPr>
            </w:pPr>
            <w:r>
              <w:rPr>
                <w:spacing w:val="-2"/>
                <w:sz w:val="16"/>
              </w:rPr>
              <w:t>37.00%</w:t>
            </w:r>
          </w:p>
        </w:tc>
        <w:tc>
          <w:tcPr>
            <w:tcW w:w="684" w:type="dxa"/>
          </w:tcPr>
          <w:p>
            <w:pPr>
              <w:pStyle w:val="TableParagraph"/>
              <w:spacing w:before="61"/>
              <w:ind w:left="15" w:right="10"/>
              <w:jc w:val="center"/>
              <w:rPr>
                <w:sz w:val="16"/>
              </w:rPr>
            </w:pPr>
            <w:r>
              <w:rPr>
                <w:spacing w:val="-2"/>
                <w:sz w:val="16"/>
              </w:rPr>
              <w:t>37.50%</w:t>
            </w:r>
          </w:p>
        </w:tc>
        <w:tc>
          <w:tcPr>
            <w:tcW w:w="684" w:type="dxa"/>
          </w:tcPr>
          <w:p>
            <w:pPr>
              <w:pStyle w:val="TableParagraph"/>
              <w:spacing w:before="61"/>
              <w:ind w:left="15" w:right="10"/>
              <w:jc w:val="center"/>
              <w:rPr>
                <w:sz w:val="16"/>
              </w:rPr>
            </w:pPr>
            <w:r>
              <w:rPr>
                <w:spacing w:val="-2"/>
                <w:sz w:val="16"/>
              </w:rPr>
              <w:t>38.00%</w:t>
            </w:r>
          </w:p>
        </w:tc>
        <w:tc>
          <w:tcPr>
            <w:tcW w:w="682" w:type="dxa"/>
          </w:tcPr>
          <w:p>
            <w:pPr>
              <w:pStyle w:val="TableParagraph"/>
              <w:spacing w:before="61"/>
              <w:ind w:left="9" w:right="7"/>
              <w:jc w:val="center"/>
              <w:rPr>
                <w:sz w:val="16"/>
              </w:rPr>
            </w:pPr>
            <w:r>
              <w:rPr>
                <w:spacing w:val="-2"/>
                <w:sz w:val="16"/>
              </w:rPr>
              <w:t>38.50%</w:t>
            </w:r>
          </w:p>
        </w:tc>
        <w:tc>
          <w:tcPr>
            <w:tcW w:w="685" w:type="dxa"/>
          </w:tcPr>
          <w:p>
            <w:pPr>
              <w:pStyle w:val="TableParagraph"/>
              <w:spacing w:before="61"/>
              <w:ind w:left="6" w:right="3"/>
              <w:jc w:val="center"/>
              <w:rPr>
                <w:sz w:val="16"/>
              </w:rPr>
            </w:pPr>
            <w:r>
              <w:rPr>
                <w:spacing w:val="-2"/>
                <w:sz w:val="16"/>
              </w:rPr>
              <w:t>39.00%</w:t>
            </w:r>
          </w:p>
        </w:tc>
        <w:tc>
          <w:tcPr>
            <w:tcW w:w="682" w:type="dxa"/>
          </w:tcPr>
          <w:p>
            <w:pPr>
              <w:pStyle w:val="TableParagraph"/>
              <w:spacing w:before="61"/>
              <w:ind w:left="9" w:right="4"/>
              <w:jc w:val="center"/>
              <w:rPr>
                <w:sz w:val="16"/>
              </w:rPr>
            </w:pPr>
            <w:r>
              <w:rPr>
                <w:spacing w:val="-2"/>
                <w:sz w:val="16"/>
              </w:rPr>
              <w:t>39.50%</w:t>
            </w:r>
          </w:p>
        </w:tc>
      </w:tr>
      <w:tr>
        <w:trPr>
          <w:trHeight w:val="568" w:hRule="atLeast"/>
        </w:trPr>
        <w:tc>
          <w:tcPr>
            <w:tcW w:w="967" w:type="dxa"/>
            <w:shd w:val="clear" w:color="auto" w:fill="44536A"/>
          </w:tcPr>
          <w:p>
            <w:pPr>
              <w:pStyle w:val="TableParagraph"/>
              <w:spacing w:line="240" w:lineRule="atLeast" w:before="28"/>
              <w:ind w:left="69"/>
              <w:rPr>
                <w:sz w:val="18"/>
              </w:rPr>
            </w:pPr>
            <w:r>
              <w:rPr>
                <w:color w:val="FFFFFF"/>
                <w:spacing w:val="-4"/>
                <w:w w:val="105"/>
                <w:sz w:val="18"/>
              </w:rPr>
              <w:t>Valor </w:t>
            </w:r>
            <w:r>
              <w:rPr>
                <w:color w:val="FFFFFF"/>
                <w:spacing w:val="-2"/>
                <w:w w:val="105"/>
                <w:sz w:val="18"/>
              </w:rPr>
              <w:t>reportado</w:t>
            </w:r>
          </w:p>
        </w:tc>
        <w:tc>
          <w:tcPr>
            <w:tcW w:w="701" w:type="dxa"/>
            <w:shd w:val="clear" w:color="auto" w:fill="C8C8C8"/>
          </w:tcPr>
          <w:p>
            <w:pPr>
              <w:pStyle w:val="TableParagraph"/>
              <w:rPr>
                <w:rFonts w:ascii="Times New Roman"/>
                <w:sz w:val="20"/>
              </w:rPr>
            </w:pPr>
          </w:p>
        </w:tc>
        <w:tc>
          <w:tcPr>
            <w:tcW w:w="685" w:type="dxa"/>
          </w:tcPr>
          <w:p>
            <w:pPr>
              <w:pStyle w:val="TableParagraph"/>
              <w:spacing w:before="11"/>
              <w:rPr>
                <w:sz w:val="16"/>
              </w:rPr>
            </w:pPr>
          </w:p>
          <w:p>
            <w:pPr>
              <w:pStyle w:val="TableParagraph"/>
              <w:ind w:left="6"/>
              <w:jc w:val="center"/>
              <w:rPr>
                <w:sz w:val="16"/>
              </w:rPr>
            </w:pPr>
            <w:r>
              <w:rPr>
                <w:spacing w:val="-2"/>
                <w:sz w:val="16"/>
              </w:rPr>
              <w:t>28.07%</w:t>
            </w:r>
          </w:p>
        </w:tc>
        <w:tc>
          <w:tcPr>
            <w:tcW w:w="684" w:type="dxa"/>
          </w:tcPr>
          <w:p>
            <w:pPr>
              <w:pStyle w:val="TableParagraph"/>
              <w:spacing w:before="11"/>
              <w:rPr>
                <w:sz w:val="16"/>
              </w:rPr>
            </w:pPr>
          </w:p>
          <w:p>
            <w:pPr>
              <w:pStyle w:val="TableParagraph"/>
              <w:ind w:left="15" w:right="9"/>
              <w:jc w:val="center"/>
              <w:rPr>
                <w:sz w:val="16"/>
              </w:rPr>
            </w:pPr>
            <w:r>
              <w:rPr>
                <w:spacing w:val="-2"/>
                <w:sz w:val="16"/>
              </w:rPr>
              <w:t>22.24%</w:t>
            </w:r>
          </w:p>
        </w:tc>
        <w:tc>
          <w:tcPr>
            <w:tcW w:w="682" w:type="dxa"/>
          </w:tcPr>
          <w:p>
            <w:pPr>
              <w:pStyle w:val="TableParagraph"/>
              <w:spacing w:before="11"/>
              <w:rPr>
                <w:sz w:val="16"/>
              </w:rPr>
            </w:pPr>
          </w:p>
          <w:p>
            <w:pPr>
              <w:pStyle w:val="TableParagraph"/>
              <w:ind w:left="9" w:right="1"/>
              <w:jc w:val="center"/>
              <w:rPr>
                <w:sz w:val="16"/>
              </w:rPr>
            </w:pPr>
            <w:r>
              <w:rPr>
                <w:spacing w:val="-2"/>
                <w:sz w:val="16"/>
              </w:rPr>
              <w:t>21.32%</w:t>
            </w:r>
          </w:p>
        </w:tc>
        <w:tc>
          <w:tcPr>
            <w:tcW w:w="684" w:type="dxa"/>
            <w:shd w:val="clear" w:color="auto" w:fill="C8C8C8"/>
          </w:tcPr>
          <w:p>
            <w:pPr>
              <w:pStyle w:val="TableParagraph"/>
              <w:rPr>
                <w:rFonts w:ascii="Times New Roman"/>
                <w:sz w:val="20"/>
              </w:rPr>
            </w:pPr>
          </w:p>
        </w:tc>
        <w:tc>
          <w:tcPr>
            <w:tcW w:w="682" w:type="dxa"/>
            <w:shd w:val="clear" w:color="auto" w:fill="C8C8C8"/>
          </w:tcPr>
          <w:p>
            <w:pPr>
              <w:pStyle w:val="TableParagraph"/>
              <w:rPr>
                <w:rFonts w:ascii="Times New Roman"/>
                <w:sz w:val="20"/>
              </w:rPr>
            </w:pPr>
          </w:p>
        </w:tc>
        <w:tc>
          <w:tcPr>
            <w:tcW w:w="684" w:type="dxa"/>
            <w:shd w:val="clear" w:color="auto" w:fill="C8C8C8"/>
          </w:tcPr>
          <w:p>
            <w:pPr>
              <w:pStyle w:val="TableParagraph"/>
              <w:rPr>
                <w:rFonts w:ascii="Times New Roman"/>
                <w:sz w:val="20"/>
              </w:rPr>
            </w:pPr>
          </w:p>
        </w:tc>
        <w:tc>
          <w:tcPr>
            <w:tcW w:w="684" w:type="dxa"/>
            <w:shd w:val="clear" w:color="auto" w:fill="C8C8C8"/>
          </w:tcPr>
          <w:p>
            <w:pPr>
              <w:pStyle w:val="TableParagraph"/>
              <w:rPr>
                <w:rFonts w:ascii="Times New Roman"/>
                <w:sz w:val="20"/>
              </w:rPr>
            </w:pPr>
          </w:p>
        </w:tc>
        <w:tc>
          <w:tcPr>
            <w:tcW w:w="682" w:type="dxa"/>
            <w:shd w:val="clear" w:color="auto" w:fill="C8C8C8"/>
          </w:tcPr>
          <w:p>
            <w:pPr>
              <w:pStyle w:val="TableParagraph"/>
              <w:rPr>
                <w:rFonts w:ascii="Times New Roman"/>
                <w:sz w:val="20"/>
              </w:rPr>
            </w:pPr>
          </w:p>
        </w:tc>
        <w:tc>
          <w:tcPr>
            <w:tcW w:w="685" w:type="dxa"/>
            <w:shd w:val="clear" w:color="auto" w:fill="C8C8C8"/>
          </w:tcPr>
          <w:p>
            <w:pPr>
              <w:pStyle w:val="TableParagraph"/>
              <w:rPr>
                <w:rFonts w:ascii="Times New Roman"/>
                <w:sz w:val="20"/>
              </w:rPr>
            </w:pPr>
          </w:p>
        </w:tc>
        <w:tc>
          <w:tcPr>
            <w:tcW w:w="682" w:type="dxa"/>
            <w:shd w:val="clear" w:color="auto" w:fill="C8C8C8"/>
          </w:tcPr>
          <w:p>
            <w:pPr>
              <w:pStyle w:val="TableParagraph"/>
              <w:rPr>
                <w:rFonts w:ascii="Times New Roman"/>
                <w:sz w:val="20"/>
              </w:rPr>
            </w:pPr>
          </w:p>
        </w:tc>
      </w:tr>
      <w:tr>
        <w:trPr>
          <w:trHeight w:val="571" w:hRule="atLeast"/>
        </w:trPr>
        <w:tc>
          <w:tcPr>
            <w:tcW w:w="967" w:type="dxa"/>
            <w:shd w:val="clear" w:color="auto" w:fill="44536A"/>
          </w:tcPr>
          <w:p>
            <w:pPr>
              <w:pStyle w:val="TableParagraph"/>
              <w:spacing w:line="240" w:lineRule="atLeast" w:before="30"/>
              <w:ind w:left="69" w:right="230"/>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01" w:type="dxa"/>
            <w:shd w:val="clear" w:color="auto" w:fill="C8C8C8"/>
          </w:tcPr>
          <w:p>
            <w:pPr>
              <w:pStyle w:val="TableParagraph"/>
              <w:rPr>
                <w:rFonts w:ascii="Times New Roman"/>
                <w:sz w:val="20"/>
              </w:rPr>
            </w:pPr>
          </w:p>
        </w:tc>
        <w:tc>
          <w:tcPr>
            <w:tcW w:w="685" w:type="dxa"/>
          </w:tcPr>
          <w:p>
            <w:pPr>
              <w:pStyle w:val="TableParagraph"/>
              <w:spacing w:before="13"/>
              <w:rPr>
                <w:sz w:val="16"/>
              </w:rPr>
            </w:pPr>
          </w:p>
          <w:p>
            <w:pPr>
              <w:pStyle w:val="TableParagraph"/>
              <w:ind w:left="6"/>
              <w:jc w:val="center"/>
              <w:rPr>
                <w:sz w:val="16"/>
              </w:rPr>
            </w:pPr>
            <w:r>
              <w:rPr>
                <w:spacing w:val="-2"/>
                <w:sz w:val="16"/>
              </w:rPr>
              <w:t>80.19%</w:t>
            </w:r>
          </w:p>
        </w:tc>
        <w:tc>
          <w:tcPr>
            <w:tcW w:w="684" w:type="dxa"/>
          </w:tcPr>
          <w:p>
            <w:pPr>
              <w:pStyle w:val="TableParagraph"/>
              <w:spacing w:before="13"/>
              <w:rPr>
                <w:sz w:val="16"/>
              </w:rPr>
            </w:pPr>
          </w:p>
          <w:p>
            <w:pPr>
              <w:pStyle w:val="TableParagraph"/>
              <w:ind w:left="15" w:right="9"/>
              <w:jc w:val="center"/>
              <w:rPr>
                <w:sz w:val="16"/>
              </w:rPr>
            </w:pPr>
            <w:r>
              <w:rPr>
                <w:spacing w:val="-2"/>
                <w:sz w:val="16"/>
              </w:rPr>
              <w:t>62.66%</w:t>
            </w:r>
          </w:p>
        </w:tc>
        <w:tc>
          <w:tcPr>
            <w:tcW w:w="682" w:type="dxa"/>
          </w:tcPr>
          <w:p>
            <w:pPr>
              <w:pStyle w:val="TableParagraph"/>
              <w:spacing w:before="13"/>
              <w:rPr>
                <w:sz w:val="16"/>
              </w:rPr>
            </w:pPr>
          </w:p>
          <w:p>
            <w:pPr>
              <w:pStyle w:val="TableParagraph"/>
              <w:ind w:left="9" w:right="1"/>
              <w:jc w:val="center"/>
              <w:rPr>
                <w:sz w:val="16"/>
              </w:rPr>
            </w:pPr>
            <w:r>
              <w:rPr>
                <w:spacing w:val="-2"/>
                <w:sz w:val="16"/>
              </w:rPr>
              <w:t>59.22%</w:t>
            </w:r>
          </w:p>
        </w:tc>
        <w:tc>
          <w:tcPr>
            <w:tcW w:w="684" w:type="dxa"/>
            <w:shd w:val="clear" w:color="auto" w:fill="C8C8C8"/>
          </w:tcPr>
          <w:p>
            <w:pPr>
              <w:pStyle w:val="TableParagraph"/>
              <w:rPr>
                <w:rFonts w:ascii="Times New Roman"/>
                <w:sz w:val="20"/>
              </w:rPr>
            </w:pPr>
          </w:p>
        </w:tc>
        <w:tc>
          <w:tcPr>
            <w:tcW w:w="682" w:type="dxa"/>
            <w:shd w:val="clear" w:color="auto" w:fill="C8C8C8"/>
          </w:tcPr>
          <w:p>
            <w:pPr>
              <w:pStyle w:val="TableParagraph"/>
              <w:rPr>
                <w:rFonts w:ascii="Times New Roman"/>
                <w:sz w:val="20"/>
              </w:rPr>
            </w:pPr>
          </w:p>
        </w:tc>
        <w:tc>
          <w:tcPr>
            <w:tcW w:w="684" w:type="dxa"/>
            <w:shd w:val="clear" w:color="auto" w:fill="C8C8C8"/>
          </w:tcPr>
          <w:p>
            <w:pPr>
              <w:pStyle w:val="TableParagraph"/>
              <w:rPr>
                <w:rFonts w:ascii="Times New Roman"/>
                <w:sz w:val="20"/>
              </w:rPr>
            </w:pPr>
          </w:p>
        </w:tc>
        <w:tc>
          <w:tcPr>
            <w:tcW w:w="684" w:type="dxa"/>
            <w:shd w:val="clear" w:color="auto" w:fill="C8C8C8"/>
          </w:tcPr>
          <w:p>
            <w:pPr>
              <w:pStyle w:val="TableParagraph"/>
              <w:rPr>
                <w:rFonts w:ascii="Times New Roman"/>
                <w:sz w:val="20"/>
              </w:rPr>
            </w:pPr>
          </w:p>
        </w:tc>
        <w:tc>
          <w:tcPr>
            <w:tcW w:w="682" w:type="dxa"/>
            <w:shd w:val="clear" w:color="auto" w:fill="C8C8C8"/>
          </w:tcPr>
          <w:p>
            <w:pPr>
              <w:pStyle w:val="TableParagraph"/>
              <w:rPr>
                <w:rFonts w:ascii="Times New Roman"/>
                <w:sz w:val="20"/>
              </w:rPr>
            </w:pPr>
          </w:p>
        </w:tc>
        <w:tc>
          <w:tcPr>
            <w:tcW w:w="685" w:type="dxa"/>
            <w:shd w:val="clear" w:color="auto" w:fill="C8C8C8"/>
          </w:tcPr>
          <w:p>
            <w:pPr>
              <w:pStyle w:val="TableParagraph"/>
              <w:rPr>
                <w:rFonts w:ascii="Times New Roman"/>
                <w:sz w:val="20"/>
              </w:rPr>
            </w:pPr>
          </w:p>
        </w:tc>
        <w:tc>
          <w:tcPr>
            <w:tcW w:w="682" w:type="dxa"/>
            <w:shd w:val="clear" w:color="auto" w:fill="C8C8C8"/>
          </w:tcPr>
          <w:p>
            <w:pPr>
              <w:pStyle w:val="TableParagraph"/>
              <w:rPr>
                <w:rFonts w:ascii="Times New Roman"/>
                <w:sz w:val="20"/>
              </w:rPr>
            </w:pPr>
          </w:p>
        </w:tc>
      </w:tr>
    </w:tbl>
    <w:p>
      <w:pPr>
        <w:pStyle w:val="BodyText"/>
        <w:rPr>
          <w:sz w:val="22"/>
        </w:rPr>
      </w:pPr>
    </w:p>
    <w:p>
      <w:pPr>
        <w:pStyle w:val="BodyText"/>
        <w:rPr>
          <w:sz w:val="22"/>
        </w:rPr>
      </w:pPr>
    </w:p>
    <w:p>
      <w:pPr>
        <w:pStyle w:val="BodyText"/>
        <w:spacing w:before="130"/>
        <w:rPr>
          <w:sz w:val="22"/>
        </w:rPr>
      </w:pPr>
    </w:p>
    <w:p>
      <w:pPr>
        <w:pStyle w:val="ListParagraph"/>
        <w:numPr>
          <w:ilvl w:val="1"/>
          <w:numId w:val="1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7" w:lineRule="auto" w:before="234"/>
        <w:ind w:left="143" w:right="704"/>
        <w:jc w:val="both"/>
      </w:pPr>
      <w:r>
        <w:rPr/>
        <w:t>Al analizar el comportamiento del primer indicador, se puede observar el porcentaje de patrocinios que obtienen medidas de protección oscila entre 12% y 13%, durante el periodo 2021-2023, porcentaje muy por debajo de las metas </w:t>
      </w:r>
      <w:r>
        <w:rPr>
          <w:spacing w:val="-2"/>
        </w:rPr>
        <w:t>programadas.</w:t>
      </w:r>
    </w:p>
    <w:p>
      <w:pPr>
        <w:pStyle w:val="BodyText"/>
        <w:spacing w:line="307" w:lineRule="auto" w:before="157"/>
        <w:ind w:left="143" w:right="702"/>
        <w:jc w:val="both"/>
      </w:pPr>
      <w:r>
        <w:rPr/>
        <w:t>En cuanto al segundo indicador, el porcentaje de patrocinios con medidas cautelares</w:t>
      </w:r>
      <w:r>
        <w:rPr>
          <w:spacing w:val="-2"/>
        </w:rPr>
        <w:t> </w:t>
      </w:r>
      <w:r>
        <w:rPr/>
        <w:t>solicitadas</w:t>
      </w:r>
      <w:r>
        <w:rPr>
          <w:spacing w:val="-5"/>
        </w:rPr>
        <w:t> </w:t>
      </w:r>
      <w:r>
        <w:rPr/>
        <w:t>disminuyeron</w:t>
      </w:r>
      <w:r>
        <w:rPr>
          <w:spacing w:val="-3"/>
        </w:rPr>
        <w:t> </w:t>
      </w:r>
      <w:r>
        <w:rPr/>
        <w:t>de</w:t>
      </w:r>
      <w:r>
        <w:rPr>
          <w:spacing w:val="-3"/>
        </w:rPr>
        <w:t> </w:t>
      </w:r>
      <w:r>
        <w:rPr/>
        <w:t>28.1%</w:t>
      </w:r>
      <w:r>
        <w:rPr>
          <w:spacing w:val="-3"/>
        </w:rPr>
        <w:t> </w:t>
      </w:r>
      <w:r>
        <w:rPr/>
        <w:t>a</w:t>
      </w:r>
      <w:r>
        <w:rPr>
          <w:spacing w:val="-3"/>
        </w:rPr>
        <w:t> </w:t>
      </w:r>
      <w:r>
        <w:rPr/>
        <w:t>21.3%</w:t>
      </w:r>
      <w:r>
        <w:rPr>
          <w:spacing w:val="-3"/>
        </w:rPr>
        <w:t> </w:t>
      </w:r>
      <w:r>
        <w:rPr/>
        <w:t>durante</w:t>
      </w:r>
      <w:r>
        <w:rPr>
          <w:spacing w:val="-3"/>
        </w:rPr>
        <w:t> </w:t>
      </w:r>
      <w:r>
        <w:rPr/>
        <w:t>el</w:t>
      </w:r>
      <w:r>
        <w:rPr>
          <w:spacing w:val="-2"/>
        </w:rPr>
        <w:t> </w:t>
      </w:r>
      <w:r>
        <w:rPr/>
        <w:t>periodo</w:t>
      </w:r>
      <w:r>
        <w:rPr>
          <w:spacing w:val="-2"/>
        </w:rPr>
        <w:t> </w:t>
      </w:r>
      <w:r>
        <w:rPr/>
        <w:t>2021- </w:t>
      </w:r>
      <w:r>
        <w:rPr>
          <w:spacing w:val="-2"/>
        </w:rPr>
        <w:t>2023.</w:t>
      </w:r>
    </w:p>
    <w:p>
      <w:pPr>
        <w:pStyle w:val="BodyText"/>
        <w:spacing w:line="307" w:lineRule="auto" w:before="160"/>
        <w:ind w:left="143" w:right="705"/>
        <w:jc w:val="both"/>
      </w:pPr>
      <w:r>
        <w:rPr/>
        <w:t>Al respecto, según</w:t>
      </w:r>
      <w:r>
        <w:rPr>
          <w:spacing w:val="-3"/>
        </w:rPr>
        <w:t> </w:t>
      </w:r>
      <w:r>
        <w:rPr/>
        <w:t>lo reportado</w:t>
      </w:r>
      <w:r>
        <w:rPr>
          <w:spacing w:val="-1"/>
        </w:rPr>
        <w:t> </w:t>
      </w:r>
      <w:r>
        <w:rPr/>
        <w:t>por el</w:t>
      </w:r>
      <w:r>
        <w:rPr>
          <w:spacing w:val="-1"/>
        </w:rPr>
        <w:t> </w:t>
      </w:r>
      <w:r>
        <w:rPr/>
        <w:t>servicio,</w:t>
      </w:r>
      <w:r>
        <w:rPr>
          <w:spacing w:val="-1"/>
        </w:rPr>
        <w:t> </w:t>
      </w:r>
      <w:r>
        <w:rPr/>
        <w:t>se identifica que la actualización Decreto Legislativo 1470 y Ley 31715 durante el 2020 produjo una disminución de</w:t>
      </w:r>
      <w:r>
        <w:rPr>
          <w:spacing w:val="-1"/>
        </w:rPr>
        <w:t> </w:t>
      </w:r>
      <w:r>
        <w:rPr/>
        <w:t>la</w:t>
      </w:r>
      <w:r>
        <w:rPr>
          <w:spacing w:val="-4"/>
        </w:rPr>
        <w:t> </w:t>
      </w:r>
      <w:r>
        <w:rPr/>
        <w:t>cifra</w:t>
      </w:r>
      <w:r>
        <w:rPr>
          <w:spacing w:val="-3"/>
        </w:rPr>
        <w:t> </w:t>
      </w:r>
      <w:r>
        <w:rPr/>
        <w:t>del numerador</w:t>
      </w:r>
      <w:r>
        <w:rPr>
          <w:spacing w:val="-1"/>
        </w:rPr>
        <w:t> </w:t>
      </w:r>
      <w:r>
        <w:rPr/>
        <w:t>ya</w:t>
      </w:r>
      <w:r>
        <w:rPr>
          <w:spacing w:val="-3"/>
        </w:rPr>
        <w:t> </w:t>
      </w:r>
      <w:r>
        <w:rPr/>
        <w:t>que</w:t>
      </w:r>
      <w:r>
        <w:rPr>
          <w:spacing w:val="-1"/>
        </w:rPr>
        <w:t> </w:t>
      </w:r>
      <w:r>
        <w:rPr/>
        <w:t>las modificaciones de</w:t>
      </w:r>
      <w:r>
        <w:rPr>
          <w:spacing w:val="-1"/>
        </w:rPr>
        <w:t> </w:t>
      </w:r>
      <w:r>
        <w:rPr/>
        <w:t>la</w:t>
      </w:r>
      <w:r>
        <w:rPr>
          <w:spacing w:val="-1"/>
        </w:rPr>
        <w:t> </w:t>
      </w:r>
      <w:r>
        <w:rPr/>
        <w:t>normativa establecían que las medidas de protección y cautelares, en el marco de un patrocinio legal, ya</w:t>
      </w:r>
      <w:r>
        <w:rPr>
          <w:spacing w:val="27"/>
        </w:rPr>
        <w:t> </w:t>
      </w:r>
      <w:r>
        <w:rPr/>
        <w:t>no</w:t>
      </w:r>
      <w:r>
        <w:rPr>
          <w:spacing w:val="27"/>
        </w:rPr>
        <w:t> </w:t>
      </w:r>
      <w:r>
        <w:rPr/>
        <w:t>tenían</w:t>
      </w:r>
      <w:r>
        <w:rPr>
          <w:spacing w:val="23"/>
        </w:rPr>
        <w:t> </w:t>
      </w:r>
      <w:r>
        <w:rPr/>
        <w:t>que</w:t>
      </w:r>
      <w:r>
        <w:rPr>
          <w:spacing w:val="26"/>
        </w:rPr>
        <w:t> </w:t>
      </w:r>
      <w:r>
        <w:rPr/>
        <w:t>ser</w:t>
      </w:r>
      <w:r>
        <w:rPr>
          <w:spacing w:val="27"/>
        </w:rPr>
        <w:t> </w:t>
      </w:r>
      <w:r>
        <w:rPr/>
        <w:t>requeridas</w:t>
      </w:r>
      <w:r>
        <w:rPr>
          <w:spacing w:val="27"/>
        </w:rPr>
        <w:t> </w:t>
      </w:r>
      <w:r>
        <w:rPr/>
        <w:t>por</w:t>
      </w:r>
      <w:r>
        <w:rPr>
          <w:spacing w:val="26"/>
        </w:rPr>
        <w:t> </w:t>
      </w:r>
      <w:r>
        <w:rPr/>
        <w:t>el</w:t>
      </w:r>
      <w:r>
        <w:rPr>
          <w:spacing w:val="29"/>
        </w:rPr>
        <w:t> </w:t>
      </w:r>
      <w:r>
        <w:rPr/>
        <w:t>defensor</w:t>
      </w:r>
      <w:r>
        <w:rPr>
          <w:spacing w:val="28"/>
        </w:rPr>
        <w:t> </w:t>
      </w:r>
      <w:r>
        <w:rPr/>
        <w:t>público,</w:t>
      </w:r>
      <w:r>
        <w:rPr>
          <w:spacing w:val="27"/>
        </w:rPr>
        <w:t> </w:t>
      </w:r>
      <w:r>
        <w:rPr/>
        <w:t>sino</w:t>
      </w:r>
      <w:r>
        <w:rPr>
          <w:spacing w:val="24"/>
        </w:rPr>
        <w:t> </w:t>
      </w:r>
      <w:r>
        <w:rPr/>
        <w:t>que</w:t>
      </w:r>
      <w:r>
        <w:rPr>
          <w:spacing w:val="23"/>
        </w:rPr>
        <w:t> </w:t>
      </w:r>
      <w:r>
        <w:rPr/>
        <w:t>podían</w:t>
      </w:r>
      <w:r>
        <w:rPr>
          <w:spacing w:val="26"/>
        </w:rPr>
        <w:t> </w:t>
      </w:r>
      <w:r>
        <w:rPr/>
        <w:t>ser</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2"/>
        <w:jc w:val="both"/>
      </w:pPr>
      <w:r>
        <w:rPr/>
        <w:t>otorgadas en otras instancias. En ese sentido, el indicador ya no contabiliza la integralidad de las medidas otorgadas, sino que solo abarca las requeridas por el defensor.</w:t>
      </w:r>
    </w:p>
    <w:p>
      <w:pPr>
        <w:pStyle w:val="BodyText"/>
        <w:spacing w:line="307" w:lineRule="auto" w:before="157"/>
        <w:ind w:left="143" w:right="703"/>
        <w:jc w:val="both"/>
      </w:pPr>
      <w:r>
        <w:rPr/>
        <w:t>Por otro lado, el servicio identificó medidas que deben implementarse para mejorar el avance en el indicador como mayor articulación con las entidades públicas que toman conocimiento directo de niñas, niños y adolescentes en situación de riesgo o desprotección. No obstante, si bien la mejora en la identificación de casos que requieren la emisión de medidas de protección y cautelares puede influir a que se emitan mayor cantidad de medidas, estas necesariamente no serán realizadas por el defensor público, sino que puede</w:t>
      </w:r>
      <w:r>
        <w:rPr>
          <w:spacing w:val="40"/>
        </w:rPr>
        <w:t> </w:t>
      </w:r>
      <w:r>
        <w:rPr/>
        <w:t>ser realizada por otras entidades no contempladas por el indicador. De ese modo, esta</w:t>
      </w:r>
      <w:r>
        <w:rPr>
          <w:spacing w:val="-1"/>
        </w:rPr>
        <w:t> </w:t>
      </w:r>
      <w:r>
        <w:rPr/>
        <w:t>acción</w:t>
      </w:r>
      <w:r>
        <w:rPr>
          <w:spacing w:val="-1"/>
        </w:rPr>
        <w:t> </w:t>
      </w:r>
      <w:r>
        <w:rPr/>
        <w:t>puede no impactar en</w:t>
      </w:r>
      <w:r>
        <w:rPr>
          <w:spacing w:val="-1"/>
        </w:rPr>
        <w:t> </w:t>
      </w:r>
      <w:r>
        <w:rPr/>
        <w:t>el nivel de</w:t>
      </w:r>
      <w:r>
        <w:rPr>
          <w:spacing w:val="-1"/>
        </w:rPr>
        <w:t> </w:t>
      </w:r>
      <w:r>
        <w:rPr/>
        <w:t>cumplimiento</w:t>
      </w:r>
      <w:r>
        <w:rPr>
          <w:spacing w:val="-1"/>
        </w:rPr>
        <w:t> </w:t>
      </w:r>
      <w:r>
        <w:rPr/>
        <w:t>del indicador.</w:t>
      </w:r>
    </w:p>
    <w:p>
      <w:pPr>
        <w:pStyle w:val="BodyText"/>
        <w:spacing w:line="309" w:lineRule="auto" w:before="155"/>
        <w:ind w:left="143" w:right="705"/>
        <w:jc w:val="both"/>
      </w:pPr>
      <w:r>
        <w:rPr/>
        <w:t>En ese sentido, es necesario evaluar la pertinencia del indicador para medir los avances en la contribución del servicio al logro de la reducción de la violencia.</w:t>
      </w:r>
    </w:p>
    <w:p>
      <w:pPr>
        <w:pStyle w:val="BodyText"/>
      </w:pPr>
    </w:p>
    <w:p>
      <w:pPr>
        <w:pStyle w:val="BodyText"/>
        <w:spacing w:before="116"/>
      </w:pPr>
    </w:p>
    <w:p>
      <w:pPr>
        <w:pStyle w:val="ListParagraph"/>
        <w:numPr>
          <w:ilvl w:val="2"/>
          <w:numId w:val="3"/>
        </w:numPr>
        <w:tabs>
          <w:tab w:pos="1222" w:val="left" w:leader="none"/>
        </w:tabs>
        <w:spacing w:line="307" w:lineRule="auto" w:before="0" w:after="0"/>
        <w:ind w:left="1222" w:right="708" w:hanging="720"/>
        <w:jc w:val="both"/>
        <w:rPr>
          <w:sz w:val="24"/>
        </w:rPr>
      </w:pPr>
      <w:r>
        <w:rPr>
          <w:color w:val="2E5395"/>
          <w:sz w:val="24"/>
        </w:rPr>
        <w:t>Servicio</w:t>
      </w:r>
      <w:r>
        <w:rPr>
          <w:color w:val="2E5395"/>
          <w:spacing w:val="-17"/>
          <w:sz w:val="24"/>
        </w:rPr>
        <w:t> </w:t>
      </w:r>
      <w:r>
        <w:rPr>
          <w:color w:val="2E5395"/>
          <w:sz w:val="24"/>
        </w:rPr>
        <w:t>01.02.01</w:t>
      </w:r>
      <w:r>
        <w:rPr>
          <w:color w:val="2E5395"/>
          <w:spacing w:val="-17"/>
          <w:sz w:val="24"/>
        </w:rPr>
        <w:t> </w:t>
      </w:r>
      <w:r>
        <w:rPr>
          <w:color w:val="2E5395"/>
          <w:sz w:val="24"/>
        </w:rPr>
        <w:t>Estrategia</w:t>
      </w:r>
      <w:r>
        <w:rPr>
          <w:color w:val="2E5395"/>
          <w:spacing w:val="-16"/>
          <w:sz w:val="24"/>
        </w:rPr>
        <w:t> </w:t>
      </w:r>
      <w:r>
        <w:rPr>
          <w:color w:val="2E5395"/>
          <w:sz w:val="24"/>
        </w:rPr>
        <w:t>Comunitaria</w:t>
      </w:r>
      <w:r>
        <w:rPr>
          <w:color w:val="2E5395"/>
          <w:spacing w:val="-17"/>
          <w:sz w:val="24"/>
        </w:rPr>
        <w:t> </w:t>
      </w:r>
      <w:r>
        <w:rPr>
          <w:color w:val="2E5395"/>
          <w:sz w:val="24"/>
        </w:rPr>
        <w:t>de</w:t>
      </w:r>
      <w:r>
        <w:rPr>
          <w:color w:val="2E5395"/>
          <w:spacing w:val="-17"/>
          <w:sz w:val="24"/>
        </w:rPr>
        <w:t> </w:t>
      </w:r>
      <w:r>
        <w:rPr>
          <w:color w:val="2E5395"/>
          <w:sz w:val="24"/>
        </w:rPr>
        <w:t>prevención</w:t>
      </w:r>
      <w:r>
        <w:rPr>
          <w:color w:val="2E5395"/>
          <w:spacing w:val="-17"/>
          <w:sz w:val="24"/>
        </w:rPr>
        <w:t> </w:t>
      </w:r>
      <w:r>
        <w:rPr>
          <w:color w:val="2E5395"/>
          <w:sz w:val="24"/>
        </w:rPr>
        <w:t>de</w:t>
      </w:r>
      <w:r>
        <w:rPr>
          <w:color w:val="2E5395"/>
          <w:spacing w:val="-16"/>
          <w:sz w:val="24"/>
        </w:rPr>
        <w:t> </w:t>
      </w:r>
      <w:r>
        <w:rPr>
          <w:color w:val="2E5395"/>
          <w:sz w:val="24"/>
        </w:rPr>
        <w:t>la</w:t>
      </w:r>
      <w:r>
        <w:rPr>
          <w:color w:val="2E5395"/>
          <w:spacing w:val="-17"/>
          <w:sz w:val="24"/>
        </w:rPr>
        <w:t> </w:t>
      </w:r>
      <w:r>
        <w:rPr>
          <w:color w:val="2E5395"/>
          <w:sz w:val="24"/>
        </w:rPr>
        <w:t>violencia basada</w:t>
      </w:r>
      <w:r>
        <w:rPr>
          <w:color w:val="2E5395"/>
          <w:spacing w:val="-3"/>
          <w:sz w:val="24"/>
        </w:rPr>
        <w:t> </w:t>
      </w:r>
      <w:r>
        <w:rPr>
          <w:color w:val="2E5395"/>
          <w:sz w:val="24"/>
        </w:rPr>
        <w:t>en género</w:t>
      </w:r>
      <w:r>
        <w:rPr>
          <w:color w:val="2E5395"/>
          <w:spacing w:val="-2"/>
          <w:sz w:val="24"/>
        </w:rPr>
        <w:t> </w:t>
      </w:r>
      <w:r>
        <w:rPr>
          <w:color w:val="2E5395"/>
          <w:sz w:val="24"/>
        </w:rPr>
        <w:t>contra las mujeres e</w:t>
      </w:r>
      <w:r>
        <w:rPr>
          <w:color w:val="2E5395"/>
          <w:spacing w:val="-3"/>
          <w:sz w:val="24"/>
        </w:rPr>
        <w:t> </w:t>
      </w:r>
      <w:r>
        <w:rPr>
          <w:color w:val="2E5395"/>
          <w:sz w:val="24"/>
        </w:rPr>
        <w:t>integrantes</w:t>
      </w:r>
      <w:r>
        <w:rPr>
          <w:color w:val="2E5395"/>
          <w:spacing w:val="-2"/>
          <w:sz w:val="24"/>
        </w:rPr>
        <w:t> </w:t>
      </w:r>
      <w:r>
        <w:rPr>
          <w:color w:val="2E5395"/>
          <w:sz w:val="24"/>
        </w:rPr>
        <w:t>del</w:t>
      </w:r>
      <w:r>
        <w:rPr>
          <w:color w:val="2E5395"/>
          <w:spacing w:val="-2"/>
          <w:sz w:val="24"/>
        </w:rPr>
        <w:t> </w:t>
      </w:r>
      <w:r>
        <w:rPr>
          <w:color w:val="2E5395"/>
          <w:sz w:val="24"/>
        </w:rPr>
        <w:t>grupo familiar, considerando prioritariamente aquellas en situación de</w:t>
      </w:r>
      <w:r>
        <w:rPr>
          <w:color w:val="2E5395"/>
          <w:spacing w:val="80"/>
          <w:sz w:val="24"/>
        </w:rPr>
        <w:t> </w:t>
      </w:r>
      <w:r>
        <w:rPr>
          <w:color w:val="2E5395"/>
          <w:spacing w:val="-2"/>
          <w:sz w:val="24"/>
        </w:rPr>
        <w:t>vulnerabilidad.</w:t>
      </w:r>
    </w:p>
    <w:p>
      <w:pPr>
        <w:pStyle w:val="BodyText"/>
        <w:spacing w:before="172"/>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before="39"/>
        <w:rPr>
          <w:rFonts w:ascii="Arial"/>
          <w:i/>
        </w:rPr>
      </w:pPr>
    </w:p>
    <w:p>
      <w:pPr>
        <w:pStyle w:val="BodyText"/>
        <w:spacing w:line="307" w:lineRule="auto"/>
        <w:ind w:left="143" w:right="706"/>
        <w:jc w:val="both"/>
      </w:pPr>
      <w:r>
        <w:rPr/>
        <w:t>El servicio consiste en brindar un conjunto de intervenciones preventivas que involucra de manera estratégica a la comunidad para la reducción de la tolerancia social frente a la violencia contra las mujeres e integrantes del grupo familiar y la generación de cambios en los patrones socio culturales, promoviendo y fortaleciendo el desarrollo de acciones de información, sensibilización y capacitación, así como la articulación de organizaciones e instituciones locales.</w:t>
      </w:r>
    </w:p>
    <w:p>
      <w:pPr>
        <w:spacing w:line="307" w:lineRule="auto" w:before="156"/>
        <w:ind w:left="143" w:right="704" w:firstLine="0"/>
        <w:jc w:val="both"/>
        <w:rPr>
          <w:sz w:val="24"/>
        </w:rPr>
      </w:pPr>
      <w:r>
        <w:rPr>
          <w:sz w:val="24"/>
        </w:rPr>
        <w:t>El responsable de la provisión del servicio es el Programa Aurora. En el marco de</w:t>
      </w:r>
      <w:r>
        <w:rPr>
          <w:spacing w:val="-17"/>
          <w:sz w:val="24"/>
        </w:rPr>
        <w:t> </w:t>
      </w:r>
      <w:r>
        <w:rPr>
          <w:sz w:val="24"/>
        </w:rPr>
        <w:t>la</w:t>
      </w:r>
      <w:r>
        <w:rPr>
          <w:spacing w:val="-17"/>
          <w:sz w:val="24"/>
        </w:rPr>
        <w:t> </w:t>
      </w:r>
      <w:r>
        <w:rPr>
          <w:sz w:val="24"/>
        </w:rPr>
        <w:t>política,</w:t>
      </w:r>
      <w:r>
        <w:rPr>
          <w:spacing w:val="-16"/>
          <w:sz w:val="24"/>
        </w:rPr>
        <w:t> </w:t>
      </w:r>
      <w:r>
        <w:rPr>
          <w:sz w:val="24"/>
        </w:rPr>
        <w:t>la</w:t>
      </w:r>
      <w:r>
        <w:rPr>
          <w:spacing w:val="-17"/>
          <w:sz w:val="24"/>
        </w:rPr>
        <w:t> </w:t>
      </w:r>
      <w:r>
        <w:rPr>
          <w:sz w:val="24"/>
        </w:rPr>
        <w:t>eficacia</w:t>
      </w:r>
      <w:r>
        <w:rPr>
          <w:spacing w:val="-16"/>
          <w:sz w:val="24"/>
        </w:rPr>
        <w:t> </w:t>
      </w:r>
      <w:r>
        <w:rPr>
          <w:sz w:val="24"/>
        </w:rPr>
        <w:t>del</w:t>
      </w:r>
      <w:r>
        <w:rPr>
          <w:spacing w:val="-15"/>
          <w:sz w:val="24"/>
        </w:rPr>
        <w:t> </w:t>
      </w:r>
      <w:r>
        <w:rPr>
          <w:sz w:val="24"/>
        </w:rPr>
        <w:t>servicio</w:t>
      </w:r>
      <w:r>
        <w:rPr>
          <w:spacing w:val="-17"/>
          <w:sz w:val="24"/>
        </w:rPr>
        <w:t> </w:t>
      </w:r>
      <w:r>
        <w:rPr>
          <w:sz w:val="24"/>
        </w:rPr>
        <w:t>se</w:t>
      </w:r>
      <w:r>
        <w:rPr>
          <w:spacing w:val="-17"/>
          <w:sz w:val="24"/>
        </w:rPr>
        <w:t> </w:t>
      </w:r>
      <w:r>
        <w:rPr>
          <w:sz w:val="24"/>
        </w:rPr>
        <w:t>mide</w:t>
      </w:r>
      <w:r>
        <w:rPr>
          <w:spacing w:val="-16"/>
          <w:sz w:val="24"/>
        </w:rPr>
        <w:t> </w:t>
      </w:r>
      <w:r>
        <w:rPr>
          <w:sz w:val="24"/>
        </w:rPr>
        <w:t>a</w:t>
      </w:r>
      <w:r>
        <w:rPr>
          <w:spacing w:val="-15"/>
          <w:sz w:val="24"/>
        </w:rPr>
        <w:t> </w:t>
      </w:r>
      <w:r>
        <w:rPr>
          <w:sz w:val="24"/>
        </w:rPr>
        <w:t>través</w:t>
      </w:r>
      <w:r>
        <w:rPr>
          <w:spacing w:val="-17"/>
          <w:sz w:val="24"/>
        </w:rPr>
        <w:t> </w:t>
      </w:r>
      <w:r>
        <w:rPr>
          <w:sz w:val="24"/>
        </w:rPr>
        <w:t>del</w:t>
      </w:r>
      <w:r>
        <w:rPr>
          <w:spacing w:val="-16"/>
          <w:sz w:val="24"/>
        </w:rPr>
        <w:t> </w:t>
      </w:r>
      <w:r>
        <w:rPr>
          <w:sz w:val="24"/>
        </w:rPr>
        <w:t>indicador</w:t>
      </w:r>
      <w:r>
        <w:rPr>
          <w:spacing w:val="-17"/>
          <w:sz w:val="24"/>
        </w:rPr>
        <w:t> </w:t>
      </w:r>
      <w:r>
        <w:rPr>
          <w:sz w:val="24"/>
        </w:rPr>
        <w:t>“</w:t>
      </w:r>
      <w:r>
        <w:rPr>
          <w:rFonts w:ascii="Arial" w:hAnsi="Arial"/>
          <w:i/>
          <w:sz w:val="24"/>
        </w:rPr>
        <w:t>Porcentaje</w:t>
      </w:r>
      <w:r>
        <w:rPr>
          <w:rFonts w:ascii="Arial" w:hAnsi="Arial"/>
          <w:i/>
          <w:spacing w:val="-16"/>
          <w:sz w:val="24"/>
        </w:rPr>
        <w:t> </w:t>
      </w:r>
      <w:r>
        <w:rPr>
          <w:rFonts w:ascii="Arial" w:hAnsi="Arial"/>
          <w:i/>
          <w:sz w:val="24"/>
        </w:rPr>
        <w:t>de </w:t>
      </w:r>
      <w:r>
        <w:rPr>
          <w:rFonts w:ascii="Arial" w:hAnsi="Arial"/>
          <w:i/>
          <w:spacing w:val="-2"/>
          <w:sz w:val="24"/>
        </w:rPr>
        <w:t>distritos</w:t>
      </w:r>
      <w:r>
        <w:rPr>
          <w:rFonts w:ascii="Arial" w:hAnsi="Arial"/>
          <w:i/>
          <w:spacing w:val="-13"/>
          <w:sz w:val="24"/>
        </w:rPr>
        <w:t> </w:t>
      </w:r>
      <w:r>
        <w:rPr>
          <w:rFonts w:ascii="Arial" w:hAnsi="Arial"/>
          <w:i/>
          <w:spacing w:val="-2"/>
          <w:sz w:val="24"/>
        </w:rPr>
        <w:t>que</w:t>
      </w:r>
      <w:r>
        <w:rPr>
          <w:rFonts w:ascii="Arial" w:hAnsi="Arial"/>
          <w:i/>
          <w:spacing w:val="-13"/>
          <w:sz w:val="24"/>
        </w:rPr>
        <w:t> </w:t>
      </w:r>
      <w:r>
        <w:rPr>
          <w:rFonts w:ascii="Arial" w:hAnsi="Arial"/>
          <w:i/>
          <w:spacing w:val="-2"/>
          <w:sz w:val="24"/>
        </w:rPr>
        <w:t>reciben</w:t>
      </w:r>
      <w:r>
        <w:rPr>
          <w:rFonts w:ascii="Arial" w:hAnsi="Arial"/>
          <w:i/>
          <w:spacing w:val="-13"/>
          <w:sz w:val="24"/>
        </w:rPr>
        <w:t> </w:t>
      </w:r>
      <w:r>
        <w:rPr>
          <w:rFonts w:ascii="Arial" w:hAnsi="Arial"/>
          <w:i/>
          <w:spacing w:val="-2"/>
          <w:sz w:val="24"/>
        </w:rPr>
        <w:t>el</w:t>
      </w:r>
      <w:r>
        <w:rPr>
          <w:rFonts w:ascii="Arial" w:hAnsi="Arial"/>
          <w:i/>
          <w:spacing w:val="-13"/>
          <w:sz w:val="24"/>
        </w:rPr>
        <w:t> </w:t>
      </w:r>
      <w:r>
        <w:rPr>
          <w:rFonts w:ascii="Arial" w:hAnsi="Arial"/>
          <w:i/>
          <w:spacing w:val="-2"/>
          <w:sz w:val="24"/>
        </w:rPr>
        <w:t>servicio</w:t>
      </w:r>
      <w:r>
        <w:rPr>
          <w:rFonts w:ascii="Arial" w:hAnsi="Arial"/>
          <w:i/>
          <w:spacing w:val="-13"/>
          <w:sz w:val="24"/>
        </w:rPr>
        <w:t> </w:t>
      </w:r>
      <w:r>
        <w:rPr>
          <w:rFonts w:ascii="Arial" w:hAnsi="Arial"/>
          <w:i/>
          <w:spacing w:val="-2"/>
          <w:sz w:val="24"/>
        </w:rPr>
        <w:t>de</w:t>
      </w:r>
      <w:r>
        <w:rPr>
          <w:rFonts w:ascii="Arial" w:hAnsi="Arial"/>
          <w:i/>
          <w:spacing w:val="-14"/>
          <w:sz w:val="24"/>
        </w:rPr>
        <w:t> </w:t>
      </w:r>
      <w:r>
        <w:rPr>
          <w:rFonts w:ascii="Arial" w:hAnsi="Arial"/>
          <w:i/>
          <w:spacing w:val="-2"/>
          <w:sz w:val="24"/>
        </w:rPr>
        <w:t>Estrategia</w:t>
      </w:r>
      <w:r>
        <w:rPr>
          <w:rFonts w:ascii="Arial" w:hAnsi="Arial"/>
          <w:i/>
          <w:spacing w:val="-12"/>
          <w:sz w:val="24"/>
        </w:rPr>
        <w:t> </w:t>
      </w:r>
      <w:r>
        <w:rPr>
          <w:rFonts w:ascii="Arial" w:hAnsi="Arial"/>
          <w:i/>
          <w:spacing w:val="-2"/>
          <w:sz w:val="24"/>
        </w:rPr>
        <w:t>Comunitaria”</w:t>
      </w:r>
      <w:r>
        <w:rPr>
          <w:rFonts w:ascii="Arial" w:hAnsi="Arial"/>
          <w:i/>
          <w:spacing w:val="-13"/>
          <w:sz w:val="24"/>
        </w:rPr>
        <w:t> </w:t>
      </w:r>
      <w:r>
        <w:rPr>
          <w:spacing w:val="-2"/>
          <w:sz w:val="24"/>
        </w:rPr>
        <w:t>y</w:t>
      </w:r>
      <w:r>
        <w:rPr>
          <w:spacing w:val="-13"/>
          <w:sz w:val="24"/>
        </w:rPr>
        <w:t> </w:t>
      </w:r>
      <w:r>
        <w:rPr>
          <w:spacing w:val="-2"/>
          <w:sz w:val="24"/>
        </w:rPr>
        <w:t>la</w:t>
      </w:r>
      <w:r>
        <w:rPr>
          <w:spacing w:val="-13"/>
          <w:sz w:val="24"/>
        </w:rPr>
        <w:t> </w:t>
      </w:r>
      <w:r>
        <w:rPr>
          <w:spacing w:val="-2"/>
          <w:sz w:val="24"/>
        </w:rPr>
        <w:t>calidad</w:t>
      </w:r>
      <w:r>
        <w:rPr>
          <w:spacing w:val="-11"/>
          <w:sz w:val="24"/>
        </w:rPr>
        <w:t> </w:t>
      </w:r>
      <w:r>
        <w:rPr>
          <w:spacing w:val="-2"/>
          <w:sz w:val="24"/>
        </w:rPr>
        <w:t>a</w:t>
      </w:r>
      <w:r>
        <w:rPr>
          <w:spacing w:val="-13"/>
          <w:sz w:val="24"/>
        </w:rPr>
        <w:t> </w:t>
      </w:r>
      <w:r>
        <w:rPr>
          <w:spacing w:val="-2"/>
          <w:sz w:val="24"/>
        </w:rPr>
        <w:t>través</w:t>
      </w:r>
      <w:r>
        <w:rPr>
          <w:spacing w:val="-11"/>
          <w:sz w:val="24"/>
        </w:rPr>
        <w:t> </w:t>
      </w:r>
      <w:r>
        <w:rPr>
          <w:spacing w:val="-2"/>
          <w:sz w:val="24"/>
        </w:rPr>
        <w:t>del </w:t>
      </w:r>
      <w:r>
        <w:rPr>
          <w:sz w:val="24"/>
        </w:rPr>
        <w:t>indicador “</w:t>
      </w:r>
      <w:r>
        <w:rPr>
          <w:rFonts w:ascii="Arial" w:hAnsi="Arial"/>
          <w:i/>
          <w:sz w:val="24"/>
        </w:rPr>
        <w:t>Porcentaje de mujeres del servicio de la Estrategia Comunitaria que reciben</w:t>
      </w:r>
      <w:r>
        <w:rPr>
          <w:rFonts w:ascii="Arial" w:hAnsi="Arial"/>
          <w:i/>
          <w:spacing w:val="-17"/>
          <w:sz w:val="24"/>
        </w:rPr>
        <w:t> </w:t>
      </w:r>
      <w:r>
        <w:rPr>
          <w:rFonts w:ascii="Arial" w:hAnsi="Arial"/>
          <w:i/>
          <w:sz w:val="24"/>
        </w:rPr>
        <w:t>el</w:t>
      </w:r>
      <w:r>
        <w:rPr>
          <w:rFonts w:ascii="Arial" w:hAnsi="Arial"/>
          <w:i/>
          <w:spacing w:val="-17"/>
          <w:sz w:val="24"/>
        </w:rPr>
        <w:t> </w:t>
      </w:r>
      <w:r>
        <w:rPr>
          <w:rFonts w:ascii="Arial" w:hAnsi="Arial"/>
          <w:i/>
          <w:sz w:val="24"/>
        </w:rPr>
        <w:t>80%</w:t>
      </w:r>
      <w:r>
        <w:rPr>
          <w:rFonts w:ascii="Arial" w:hAnsi="Arial"/>
          <w:i/>
          <w:spacing w:val="-16"/>
          <w:sz w:val="24"/>
        </w:rPr>
        <w:t> </w:t>
      </w:r>
      <w:r>
        <w:rPr>
          <w:rFonts w:ascii="Arial" w:hAnsi="Arial"/>
          <w:i/>
          <w:sz w:val="24"/>
        </w:rPr>
        <w:t>del</w:t>
      </w:r>
      <w:r>
        <w:rPr>
          <w:rFonts w:ascii="Arial" w:hAnsi="Arial"/>
          <w:i/>
          <w:spacing w:val="-17"/>
          <w:sz w:val="24"/>
        </w:rPr>
        <w:t> </w:t>
      </w:r>
      <w:r>
        <w:rPr>
          <w:rFonts w:ascii="Arial" w:hAnsi="Arial"/>
          <w:i/>
          <w:sz w:val="24"/>
        </w:rPr>
        <w:t>paquete</w:t>
      </w:r>
      <w:r>
        <w:rPr>
          <w:rFonts w:ascii="Arial" w:hAnsi="Arial"/>
          <w:i/>
          <w:spacing w:val="-17"/>
          <w:sz w:val="24"/>
        </w:rPr>
        <w:t> </w:t>
      </w:r>
      <w:r>
        <w:rPr>
          <w:rFonts w:ascii="Arial" w:hAnsi="Arial"/>
          <w:i/>
          <w:sz w:val="24"/>
        </w:rPr>
        <w:t>completo</w:t>
      </w:r>
      <w:r>
        <w:rPr>
          <w:sz w:val="24"/>
        </w:rPr>
        <w:t>”</w:t>
      </w:r>
    </w:p>
    <w:p>
      <w:pPr>
        <w:pStyle w:val="ListParagraph"/>
        <w:numPr>
          <w:ilvl w:val="3"/>
          <w:numId w:val="3"/>
        </w:numPr>
        <w:tabs>
          <w:tab w:pos="862" w:val="left" w:leader="none"/>
        </w:tabs>
        <w:spacing w:line="240" w:lineRule="auto" w:before="161"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ListParagraph"/>
        <w:spacing w:after="0" w:line="240" w:lineRule="auto"/>
        <w:jc w:val="left"/>
        <w:rPr>
          <w:rFonts w:ascii="Arial" w:hAnsi="Arial"/>
          <w:i/>
          <w:sz w:val="24"/>
        </w:rPr>
        <w:sectPr>
          <w:pgSz w:w="11910" w:h="16840"/>
          <w:pgMar w:header="713" w:footer="1000" w:top="1420" w:bottom="1200" w:left="1559" w:right="992"/>
        </w:sectPr>
      </w:pPr>
    </w:p>
    <w:p>
      <w:pPr>
        <w:pStyle w:val="BodyText"/>
        <w:spacing w:line="307" w:lineRule="auto" w:before="123"/>
        <w:ind w:left="143" w:right="706"/>
        <w:jc w:val="both"/>
      </w:pPr>
      <w:r>
        <w:rPr>
          <w:u w:val="single"/>
        </w:rPr>
        <w:t>Análisis</w:t>
      </w:r>
      <w:r>
        <w:rPr>
          <w:spacing w:val="-3"/>
          <w:u w:val="single"/>
        </w:rPr>
        <w:t> </w:t>
      </w:r>
      <w:r>
        <w:rPr>
          <w:u w:val="single"/>
        </w:rPr>
        <w:t>de</w:t>
      </w:r>
      <w:r>
        <w:rPr>
          <w:spacing w:val="-2"/>
          <w:u w:val="single"/>
        </w:rPr>
        <w:t> </w:t>
      </w:r>
      <w:r>
        <w:rPr>
          <w:u w:val="single"/>
        </w:rPr>
        <w:t>eficacia:</w:t>
      </w:r>
      <w:r>
        <w:rPr>
          <w:spacing w:val="-3"/>
          <w:u w:val="single"/>
        </w:rPr>
        <w:t> </w:t>
      </w:r>
      <w:r>
        <w:rPr/>
        <w:t>En</w:t>
      </w:r>
      <w:r>
        <w:rPr>
          <w:spacing w:val="-4"/>
        </w:rPr>
        <w:t> </w:t>
      </w:r>
      <w:r>
        <w:rPr/>
        <w:t>el</w:t>
      </w:r>
      <w:r>
        <w:rPr>
          <w:spacing w:val="-3"/>
        </w:rPr>
        <w:t> </w:t>
      </w:r>
      <w:r>
        <w:rPr/>
        <w:t>año</w:t>
      </w:r>
      <w:r>
        <w:rPr>
          <w:spacing w:val="-3"/>
        </w:rPr>
        <w:t> </w:t>
      </w:r>
      <w:r>
        <w:rPr/>
        <w:t>2023,</w:t>
      </w:r>
      <w:r>
        <w:rPr>
          <w:spacing w:val="-3"/>
        </w:rPr>
        <w:t> </w:t>
      </w:r>
      <w:r>
        <w:rPr/>
        <w:t>un</w:t>
      </w:r>
      <w:r>
        <w:rPr>
          <w:spacing w:val="-2"/>
        </w:rPr>
        <w:t> </w:t>
      </w:r>
      <w:r>
        <w:rPr/>
        <w:t>40.0</w:t>
      </w:r>
      <w:r>
        <w:rPr>
          <w:spacing w:val="-4"/>
        </w:rPr>
        <w:t> </w:t>
      </w:r>
      <w:r>
        <w:rPr/>
        <w:t>%</w:t>
      </w:r>
      <w:r>
        <w:rPr>
          <w:spacing w:val="-5"/>
        </w:rPr>
        <w:t> </w:t>
      </w:r>
      <w:r>
        <w:rPr/>
        <w:t>de</w:t>
      </w:r>
      <w:r>
        <w:rPr>
          <w:spacing w:val="-3"/>
        </w:rPr>
        <w:t> </w:t>
      </w:r>
      <w:r>
        <w:rPr/>
        <w:t>los</w:t>
      </w:r>
      <w:r>
        <w:rPr>
          <w:spacing w:val="-3"/>
        </w:rPr>
        <w:t> </w:t>
      </w:r>
      <w:r>
        <w:rPr/>
        <w:t>distritos</w:t>
      </w:r>
      <w:r>
        <w:rPr>
          <w:spacing w:val="-3"/>
        </w:rPr>
        <w:t> </w:t>
      </w:r>
      <w:r>
        <w:rPr/>
        <w:t>priorizados</w:t>
      </w:r>
      <w:r>
        <w:rPr>
          <w:spacing w:val="-5"/>
        </w:rPr>
        <w:t> </w:t>
      </w:r>
      <w:r>
        <w:rPr/>
        <w:t>por</w:t>
      </w:r>
      <w:r>
        <w:rPr>
          <w:spacing w:val="-4"/>
        </w:rPr>
        <w:t> </w:t>
      </w:r>
      <w:r>
        <w:rPr/>
        <w:t>el Programa</w:t>
      </w:r>
      <w:r>
        <w:rPr>
          <w:spacing w:val="-11"/>
        </w:rPr>
        <w:t> </w:t>
      </w:r>
      <w:r>
        <w:rPr/>
        <w:t>Aurora</w:t>
      </w:r>
      <w:r>
        <w:rPr>
          <w:spacing w:val="-10"/>
        </w:rPr>
        <w:t> </w:t>
      </w:r>
      <w:r>
        <w:rPr/>
        <w:t>han</w:t>
      </w:r>
      <w:r>
        <w:rPr>
          <w:spacing w:val="-9"/>
        </w:rPr>
        <w:t> </w:t>
      </w:r>
      <w:r>
        <w:rPr/>
        <w:t>recibido</w:t>
      </w:r>
      <w:r>
        <w:rPr>
          <w:spacing w:val="-10"/>
        </w:rPr>
        <w:t> </w:t>
      </w:r>
      <w:r>
        <w:rPr/>
        <w:t>el</w:t>
      </w:r>
      <w:r>
        <w:rPr>
          <w:spacing w:val="-9"/>
        </w:rPr>
        <w:t> </w:t>
      </w:r>
      <w:r>
        <w:rPr/>
        <w:t>servicio</w:t>
      </w:r>
      <w:r>
        <w:rPr>
          <w:spacing w:val="-10"/>
        </w:rPr>
        <w:t> </w:t>
      </w:r>
      <w:r>
        <w:rPr/>
        <w:t>de</w:t>
      </w:r>
      <w:r>
        <w:rPr>
          <w:spacing w:val="-10"/>
        </w:rPr>
        <w:t> </w:t>
      </w:r>
      <w:r>
        <w:rPr/>
        <w:t>Estrategia</w:t>
      </w:r>
      <w:r>
        <w:rPr>
          <w:spacing w:val="-10"/>
        </w:rPr>
        <w:t> </w:t>
      </w:r>
      <w:r>
        <w:rPr/>
        <w:t>Comunitaria,</w:t>
      </w:r>
      <w:r>
        <w:rPr>
          <w:spacing w:val="-9"/>
        </w:rPr>
        <w:t> </w:t>
      </w:r>
      <w:r>
        <w:rPr/>
        <w:t>alcanzando un nivel de avance alto (100.0%) respecto a la meta esperada: 40.0%.</w:t>
      </w:r>
    </w:p>
    <w:p>
      <w:pPr>
        <w:spacing w:before="154"/>
        <w:ind w:left="1299" w:right="0" w:firstLine="0"/>
        <w:jc w:val="both"/>
        <w:rPr>
          <w:sz w:val="22"/>
        </w:rPr>
      </w:pPr>
      <w:r>
        <w:rPr>
          <w:color w:val="44536A"/>
          <w:sz w:val="22"/>
        </w:rPr>
        <w:t>Tabla</w:t>
      </w:r>
      <w:r>
        <w:rPr>
          <w:color w:val="44536A"/>
          <w:spacing w:val="-9"/>
          <w:sz w:val="22"/>
        </w:rPr>
        <w:t> </w:t>
      </w:r>
      <w:r>
        <w:rPr>
          <w:color w:val="44536A"/>
          <w:sz w:val="22"/>
        </w:rPr>
        <w:t>17.</w:t>
      </w:r>
      <w:r>
        <w:rPr>
          <w:color w:val="44536A"/>
          <w:spacing w:val="-10"/>
          <w:sz w:val="22"/>
        </w:rPr>
        <w:t> </w:t>
      </w:r>
      <w:r>
        <w:rPr>
          <w:color w:val="44536A"/>
          <w:sz w:val="22"/>
        </w:rPr>
        <w:t>Análisis</w:t>
      </w:r>
      <w:r>
        <w:rPr>
          <w:color w:val="44536A"/>
          <w:spacing w:val="-12"/>
          <w:sz w:val="22"/>
        </w:rPr>
        <w:t> </w:t>
      </w:r>
      <w:r>
        <w:rPr>
          <w:color w:val="44536A"/>
          <w:sz w:val="22"/>
        </w:rPr>
        <w:t>del</w:t>
      </w:r>
      <w:r>
        <w:rPr>
          <w:color w:val="44536A"/>
          <w:spacing w:val="-10"/>
          <w:sz w:val="22"/>
        </w:rPr>
        <w:t> </w:t>
      </w:r>
      <w:r>
        <w:rPr>
          <w:color w:val="44536A"/>
          <w:sz w:val="22"/>
        </w:rPr>
        <w:t>indicador</w:t>
      </w:r>
      <w:r>
        <w:rPr>
          <w:color w:val="44536A"/>
          <w:spacing w:val="-11"/>
          <w:sz w:val="22"/>
        </w:rPr>
        <w:t> </w:t>
      </w:r>
      <w:r>
        <w:rPr>
          <w:color w:val="44536A"/>
          <w:sz w:val="22"/>
        </w:rPr>
        <w:t>de</w:t>
      </w:r>
      <w:r>
        <w:rPr>
          <w:color w:val="44536A"/>
          <w:spacing w:val="-8"/>
          <w:sz w:val="22"/>
        </w:rPr>
        <w:t> </w:t>
      </w:r>
      <w:r>
        <w:rPr>
          <w:color w:val="44536A"/>
          <w:sz w:val="22"/>
        </w:rPr>
        <w:t>eficacia</w:t>
      </w:r>
      <w:r>
        <w:rPr>
          <w:color w:val="44536A"/>
          <w:spacing w:val="-11"/>
          <w:sz w:val="22"/>
        </w:rPr>
        <w:t> </w:t>
      </w:r>
      <w:r>
        <w:rPr>
          <w:color w:val="44536A"/>
          <w:sz w:val="22"/>
        </w:rPr>
        <w:t>del</w:t>
      </w:r>
      <w:r>
        <w:rPr>
          <w:color w:val="44536A"/>
          <w:spacing w:val="-10"/>
          <w:sz w:val="22"/>
        </w:rPr>
        <w:t> </w:t>
      </w:r>
      <w:r>
        <w:rPr>
          <w:color w:val="44536A"/>
          <w:sz w:val="22"/>
        </w:rPr>
        <w:t>servicio</w:t>
      </w:r>
      <w:r>
        <w:rPr>
          <w:color w:val="44536A"/>
          <w:spacing w:val="-11"/>
          <w:sz w:val="22"/>
        </w:rPr>
        <w:t> </w:t>
      </w:r>
      <w:r>
        <w:rPr>
          <w:color w:val="44536A"/>
          <w:spacing w:val="-2"/>
          <w:sz w:val="22"/>
        </w:rPr>
        <w:t>01.02.01</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39"/>
        <w:gridCol w:w="770"/>
        <w:gridCol w:w="552"/>
        <w:gridCol w:w="763"/>
        <w:gridCol w:w="763"/>
        <w:gridCol w:w="674"/>
        <w:gridCol w:w="672"/>
        <w:gridCol w:w="674"/>
        <w:gridCol w:w="672"/>
        <w:gridCol w:w="674"/>
        <w:gridCol w:w="672"/>
        <w:gridCol w:w="719"/>
      </w:tblGrid>
      <w:tr>
        <w:trPr>
          <w:trHeight w:val="299" w:hRule="atLeast"/>
        </w:trPr>
        <w:tc>
          <w:tcPr>
            <w:tcW w:w="1039" w:type="dxa"/>
            <w:shd w:val="clear" w:color="auto" w:fill="44536A"/>
          </w:tcPr>
          <w:p>
            <w:pPr>
              <w:pStyle w:val="TableParagraph"/>
              <w:spacing w:before="61"/>
              <w:ind w:left="9" w:right="2"/>
              <w:jc w:val="center"/>
              <w:rPr>
                <w:sz w:val="16"/>
              </w:rPr>
            </w:pPr>
            <w:r>
              <w:rPr>
                <w:color w:val="FFFFFF"/>
                <w:spacing w:val="-5"/>
                <w:sz w:val="16"/>
              </w:rPr>
              <w:t>OP</w:t>
            </w:r>
          </w:p>
        </w:tc>
        <w:tc>
          <w:tcPr>
            <w:tcW w:w="7605" w:type="dxa"/>
            <w:gridSpan w:val="11"/>
          </w:tcPr>
          <w:p>
            <w:pPr>
              <w:pStyle w:val="TableParagraph"/>
              <w:spacing w:before="51"/>
              <w:ind w:left="69"/>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3"/>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736" w:hRule="atLeast"/>
        </w:trPr>
        <w:tc>
          <w:tcPr>
            <w:tcW w:w="1039" w:type="dxa"/>
            <w:shd w:val="clear" w:color="auto" w:fill="44536A"/>
          </w:tcPr>
          <w:p>
            <w:pPr>
              <w:pStyle w:val="TableParagraph"/>
              <w:spacing w:before="63"/>
              <w:rPr>
                <w:sz w:val="18"/>
              </w:rPr>
            </w:pPr>
          </w:p>
          <w:p>
            <w:pPr>
              <w:pStyle w:val="TableParagraph"/>
              <w:ind w:left="208"/>
              <w:rPr>
                <w:sz w:val="18"/>
              </w:rPr>
            </w:pPr>
            <w:r>
              <w:rPr>
                <w:color w:val="FFFFFF"/>
                <w:spacing w:val="-2"/>
                <w:sz w:val="18"/>
              </w:rPr>
              <w:t>Servicio</w:t>
            </w:r>
          </w:p>
        </w:tc>
        <w:tc>
          <w:tcPr>
            <w:tcW w:w="7605" w:type="dxa"/>
            <w:gridSpan w:val="11"/>
          </w:tcPr>
          <w:p>
            <w:pPr>
              <w:pStyle w:val="TableParagraph"/>
              <w:spacing w:line="283" w:lineRule="auto" w:before="25"/>
              <w:ind w:left="69"/>
              <w:rPr>
                <w:sz w:val="18"/>
              </w:rPr>
            </w:pPr>
            <w:r>
              <w:rPr>
                <w:sz w:val="18"/>
              </w:rPr>
              <w:t>Estrategia Comunitaria de</w:t>
            </w:r>
            <w:r>
              <w:rPr>
                <w:spacing w:val="-3"/>
                <w:sz w:val="18"/>
              </w:rPr>
              <w:t> </w:t>
            </w:r>
            <w:r>
              <w:rPr>
                <w:sz w:val="18"/>
              </w:rPr>
              <w:t>prevención</w:t>
            </w:r>
            <w:r>
              <w:rPr>
                <w:spacing w:val="-1"/>
                <w:sz w:val="18"/>
              </w:rPr>
              <w:t> </w:t>
            </w:r>
            <w:r>
              <w:rPr>
                <w:sz w:val="18"/>
              </w:rPr>
              <w:t>de</w:t>
            </w:r>
            <w:r>
              <w:rPr>
                <w:spacing w:val="-1"/>
                <w:sz w:val="18"/>
              </w:rPr>
              <w:t> </w:t>
            </w:r>
            <w:r>
              <w:rPr>
                <w:sz w:val="18"/>
              </w:rPr>
              <w:t>la violencia</w:t>
            </w:r>
            <w:r>
              <w:rPr>
                <w:spacing w:val="-2"/>
                <w:sz w:val="18"/>
              </w:rPr>
              <w:t> </w:t>
            </w:r>
            <w:r>
              <w:rPr>
                <w:sz w:val="18"/>
              </w:rPr>
              <w:t>basada</w:t>
            </w:r>
            <w:r>
              <w:rPr>
                <w:spacing w:val="-2"/>
                <w:sz w:val="18"/>
              </w:rPr>
              <w:t> </w:t>
            </w:r>
            <w:r>
              <w:rPr>
                <w:sz w:val="18"/>
              </w:rPr>
              <w:t>en</w:t>
            </w:r>
            <w:r>
              <w:rPr>
                <w:spacing w:val="-2"/>
                <w:sz w:val="18"/>
              </w:rPr>
              <w:t> </w:t>
            </w:r>
            <w:r>
              <w:rPr>
                <w:sz w:val="18"/>
              </w:rPr>
              <w:t>género</w:t>
            </w:r>
            <w:r>
              <w:rPr>
                <w:spacing w:val="-1"/>
                <w:sz w:val="18"/>
              </w:rPr>
              <w:t> </w:t>
            </w:r>
            <w:r>
              <w:rPr>
                <w:sz w:val="18"/>
              </w:rPr>
              <w:t>contra las</w:t>
            </w:r>
            <w:r>
              <w:rPr>
                <w:spacing w:val="-3"/>
                <w:sz w:val="18"/>
              </w:rPr>
              <w:t> </w:t>
            </w:r>
            <w:r>
              <w:rPr>
                <w:sz w:val="18"/>
              </w:rPr>
              <w:t>mujeres</w:t>
            </w:r>
            <w:r>
              <w:rPr>
                <w:spacing w:val="-1"/>
                <w:sz w:val="18"/>
              </w:rPr>
              <w:t> </w:t>
            </w:r>
            <w:r>
              <w:rPr>
                <w:sz w:val="18"/>
              </w:rPr>
              <w:t>e </w:t>
            </w:r>
            <w:r>
              <w:rPr>
                <w:w w:val="105"/>
                <w:sz w:val="18"/>
              </w:rPr>
              <w:t>integrantes</w:t>
            </w:r>
            <w:r>
              <w:rPr>
                <w:spacing w:val="-6"/>
                <w:w w:val="105"/>
                <w:sz w:val="18"/>
              </w:rPr>
              <w:t> </w:t>
            </w:r>
            <w:r>
              <w:rPr>
                <w:w w:val="105"/>
                <w:sz w:val="18"/>
              </w:rPr>
              <w:t>del</w:t>
            </w:r>
            <w:r>
              <w:rPr>
                <w:spacing w:val="-6"/>
                <w:w w:val="105"/>
                <w:sz w:val="18"/>
              </w:rPr>
              <w:t> </w:t>
            </w:r>
            <w:r>
              <w:rPr>
                <w:w w:val="105"/>
                <w:sz w:val="18"/>
              </w:rPr>
              <w:t>grupo</w:t>
            </w:r>
            <w:r>
              <w:rPr>
                <w:spacing w:val="-6"/>
                <w:w w:val="105"/>
                <w:sz w:val="18"/>
              </w:rPr>
              <w:t> </w:t>
            </w:r>
            <w:r>
              <w:rPr>
                <w:w w:val="105"/>
                <w:sz w:val="18"/>
              </w:rPr>
              <w:t>familiar,</w:t>
            </w:r>
            <w:r>
              <w:rPr>
                <w:spacing w:val="-9"/>
                <w:w w:val="105"/>
                <w:sz w:val="18"/>
              </w:rPr>
              <w:t> </w:t>
            </w:r>
            <w:r>
              <w:rPr>
                <w:w w:val="105"/>
                <w:sz w:val="18"/>
              </w:rPr>
              <w:t>considerando</w:t>
            </w:r>
            <w:r>
              <w:rPr>
                <w:spacing w:val="-8"/>
                <w:w w:val="105"/>
                <w:sz w:val="18"/>
              </w:rPr>
              <w:t> </w:t>
            </w:r>
            <w:r>
              <w:rPr>
                <w:w w:val="105"/>
                <w:sz w:val="18"/>
              </w:rPr>
              <w:t>prioritariamente</w:t>
            </w:r>
            <w:r>
              <w:rPr>
                <w:spacing w:val="-6"/>
                <w:w w:val="105"/>
                <w:sz w:val="18"/>
              </w:rPr>
              <w:t> </w:t>
            </w:r>
            <w:r>
              <w:rPr>
                <w:w w:val="105"/>
                <w:sz w:val="18"/>
              </w:rPr>
              <w:t>aquellas</w:t>
            </w:r>
            <w:r>
              <w:rPr>
                <w:spacing w:val="-5"/>
                <w:w w:val="105"/>
                <w:sz w:val="18"/>
              </w:rPr>
              <w:t> </w:t>
            </w:r>
            <w:r>
              <w:rPr>
                <w:w w:val="105"/>
                <w:sz w:val="18"/>
              </w:rPr>
              <w:t>en</w:t>
            </w:r>
            <w:r>
              <w:rPr>
                <w:spacing w:val="-9"/>
                <w:w w:val="105"/>
                <w:sz w:val="18"/>
              </w:rPr>
              <w:t> </w:t>
            </w:r>
            <w:r>
              <w:rPr>
                <w:w w:val="105"/>
                <w:sz w:val="18"/>
              </w:rPr>
              <w:t>situación</w:t>
            </w:r>
            <w:r>
              <w:rPr>
                <w:spacing w:val="-8"/>
                <w:w w:val="105"/>
                <w:sz w:val="18"/>
              </w:rPr>
              <w:t> </w:t>
            </w:r>
            <w:r>
              <w:rPr>
                <w:w w:val="105"/>
                <w:sz w:val="18"/>
              </w:rPr>
              <w:t>de</w:t>
            </w:r>
          </w:p>
          <w:p>
            <w:pPr>
              <w:pStyle w:val="TableParagraph"/>
              <w:spacing w:line="201" w:lineRule="exact" w:before="1"/>
              <w:ind w:left="69"/>
              <w:rPr>
                <w:sz w:val="18"/>
              </w:rPr>
            </w:pPr>
            <w:r>
              <w:rPr>
                <w:spacing w:val="-2"/>
                <w:sz w:val="18"/>
              </w:rPr>
              <w:t>vulnerabilidad.</w:t>
            </w:r>
          </w:p>
        </w:tc>
      </w:tr>
      <w:tr>
        <w:trPr>
          <w:trHeight w:val="299" w:hRule="atLeast"/>
        </w:trPr>
        <w:tc>
          <w:tcPr>
            <w:tcW w:w="1039" w:type="dxa"/>
            <w:shd w:val="clear" w:color="auto" w:fill="44536A"/>
          </w:tcPr>
          <w:p>
            <w:pPr>
              <w:pStyle w:val="TableParagraph"/>
              <w:spacing w:before="51"/>
              <w:ind w:left="136"/>
              <w:rPr>
                <w:sz w:val="18"/>
              </w:rPr>
            </w:pPr>
            <w:r>
              <w:rPr>
                <w:color w:val="FFFFFF"/>
                <w:spacing w:val="-2"/>
                <w:w w:val="105"/>
                <w:sz w:val="18"/>
              </w:rPr>
              <w:t>Indicador</w:t>
            </w:r>
          </w:p>
        </w:tc>
        <w:tc>
          <w:tcPr>
            <w:tcW w:w="7605" w:type="dxa"/>
            <w:gridSpan w:val="11"/>
          </w:tcPr>
          <w:p>
            <w:pPr>
              <w:pStyle w:val="TableParagraph"/>
              <w:spacing w:before="51"/>
              <w:ind w:left="69"/>
              <w:rPr>
                <w:sz w:val="18"/>
              </w:rPr>
            </w:pPr>
            <w:r>
              <w:rPr>
                <w:sz w:val="18"/>
              </w:rPr>
              <w:t>Porcentaje</w:t>
            </w:r>
            <w:r>
              <w:rPr>
                <w:spacing w:val="-2"/>
                <w:sz w:val="18"/>
              </w:rPr>
              <w:t> </w:t>
            </w:r>
            <w:r>
              <w:rPr>
                <w:sz w:val="18"/>
              </w:rPr>
              <w:t>de</w:t>
            </w:r>
            <w:r>
              <w:rPr>
                <w:spacing w:val="-3"/>
                <w:sz w:val="18"/>
              </w:rPr>
              <w:t> </w:t>
            </w:r>
            <w:r>
              <w:rPr>
                <w:sz w:val="18"/>
              </w:rPr>
              <w:t>distritos que</w:t>
            </w:r>
            <w:r>
              <w:rPr>
                <w:spacing w:val="-1"/>
                <w:sz w:val="18"/>
              </w:rPr>
              <w:t> </w:t>
            </w:r>
            <w:r>
              <w:rPr>
                <w:sz w:val="18"/>
              </w:rPr>
              <w:t>reciben</w:t>
            </w:r>
            <w:r>
              <w:rPr>
                <w:spacing w:val="-2"/>
                <w:sz w:val="18"/>
              </w:rPr>
              <w:t> </w:t>
            </w:r>
            <w:r>
              <w:rPr>
                <w:sz w:val="18"/>
              </w:rPr>
              <w:t>el</w:t>
            </w:r>
            <w:r>
              <w:rPr>
                <w:spacing w:val="-1"/>
                <w:sz w:val="18"/>
              </w:rPr>
              <w:t> </w:t>
            </w:r>
            <w:r>
              <w:rPr>
                <w:sz w:val="18"/>
              </w:rPr>
              <w:t>servicio</w:t>
            </w:r>
            <w:r>
              <w:rPr>
                <w:spacing w:val="-3"/>
                <w:sz w:val="18"/>
              </w:rPr>
              <w:t> </w:t>
            </w:r>
            <w:r>
              <w:rPr>
                <w:sz w:val="18"/>
              </w:rPr>
              <w:t>de</w:t>
            </w:r>
            <w:r>
              <w:rPr>
                <w:spacing w:val="-1"/>
                <w:sz w:val="18"/>
              </w:rPr>
              <w:t> </w:t>
            </w:r>
            <w:r>
              <w:rPr>
                <w:sz w:val="18"/>
              </w:rPr>
              <w:t>Estrategia</w:t>
            </w:r>
            <w:r>
              <w:rPr>
                <w:spacing w:val="-2"/>
                <w:sz w:val="18"/>
              </w:rPr>
              <w:t> Comunitaria.</w:t>
            </w:r>
          </w:p>
        </w:tc>
      </w:tr>
      <w:tr>
        <w:trPr>
          <w:trHeight w:val="491" w:hRule="atLeast"/>
        </w:trPr>
        <w:tc>
          <w:tcPr>
            <w:tcW w:w="1039" w:type="dxa"/>
            <w:shd w:val="clear" w:color="auto" w:fill="808080"/>
          </w:tcPr>
          <w:p>
            <w:pPr>
              <w:pStyle w:val="TableParagraph"/>
              <w:spacing w:before="145"/>
              <w:ind w:left="9"/>
              <w:jc w:val="center"/>
              <w:rPr>
                <w:sz w:val="18"/>
              </w:rPr>
            </w:pPr>
            <w:r>
              <w:rPr>
                <w:color w:val="FFFFFF"/>
                <w:spacing w:val="-5"/>
                <w:sz w:val="18"/>
              </w:rPr>
              <w:t>Año</w:t>
            </w:r>
          </w:p>
        </w:tc>
        <w:tc>
          <w:tcPr>
            <w:tcW w:w="770" w:type="dxa"/>
            <w:shd w:val="clear" w:color="auto" w:fill="808080"/>
          </w:tcPr>
          <w:p>
            <w:pPr>
              <w:pStyle w:val="TableParagraph"/>
              <w:spacing w:before="23"/>
              <w:ind w:left="15" w:right="5"/>
              <w:jc w:val="center"/>
              <w:rPr>
                <w:sz w:val="18"/>
              </w:rPr>
            </w:pPr>
            <w:r>
              <w:rPr>
                <w:color w:val="FFFFFF"/>
                <w:spacing w:val="-2"/>
                <w:sz w:val="18"/>
              </w:rPr>
              <w:t>Valor</w:t>
            </w:r>
          </w:p>
          <w:p>
            <w:pPr>
              <w:pStyle w:val="TableParagraph"/>
              <w:spacing w:line="204" w:lineRule="exact" w:before="37"/>
              <w:ind w:left="15" w:right="6"/>
              <w:jc w:val="center"/>
              <w:rPr>
                <w:sz w:val="18"/>
              </w:rPr>
            </w:pPr>
            <w:r>
              <w:rPr>
                <w:color w:val="FFFFFF"/>
                <w:spacing w:val="-5"/>
                <w:sz w:val="18"/>
              </w:rPr>
              <w:t>LB</w:t>
            </w:r>
          </w:p>
        </w:tc>
        <w:tc>
          <w:tcPr>
            <w:tcW w:w="552" w:type="dxa"/>
            <w:shd w:val="clear" w:color="auto" w:fill="808080"/>
          </w:tcPr>
          <w:p>
            <w:pPr>
              <w:pStyle w:val="TableParagraph"/>
              <w:spacing w:before="145"/>
              <w:ind w:left="10"/>
              <w:jc w:val="center"/>
              <w:rPr>
                <w:sz w:val="18"/>
              </w:rPr>
            </w:pPr>
            <w:r>
              <w:rPr>
                <w:color w:val="FFFFFF"/>
                <w:spacing w:val="-4"/>
                <w:sz w:val="18"/>
              </w:rPr>
              <w:t>2021</w:t>
            </w:r>
          </w:p>
        </w:tc>
        <w:tc>
          <w:tcPr>
            <w:tcW w:w="763" w:type="dxa"/>
            <w:shd w:val="clear" w:color="auto" w:fill="808080"/>
          </w:tcPr>
          <w:p>
            <w:pPr>
              <w:pStyle w:val="TableParagraph"/>
              <w:spacing w:before="145"/>
              <w:ind w:left="12"/>
              <w:jc w:val="center"/>
              <w:rPr>
                <w:sz w:val="18"/>
              </w:rPr>
            </w:pPr>
            <w:r>
              <w:rPr>
                <w:color w:val="FFFFFF"/>
                <w:spacing w:val="-4"/>
                <w:sz w:val="18"/>
              </w:rPr>
              <w:t>2022</w:t>
            </w:r>
          </w:p>
        </w:tc>
        <w:tc>
          <w:tcPr>
            <w:tcW w:w="763" w:type="dxa"/>
            <w:shd w:val="clear" w:color="auto" w:fill="808080"/>
          </w:tcPr>
          <w:p>
            <w:pPr>
              <w:pStyle w:val="TableParagraph"/>
              <w:spacing w:before="145"/>
              <w:ind w:left="12"/>
              <w:jc w:val="center"/>
              <w:rPr>
                <w:sz w:val="18"/>
              </w:rPr>
            </w:pPr>
            <w:r>
              <w:rPr>
                <w:color w:val="FFFFFF"/>
                <w:spacing w:val="-4"/>
                <w:sz w:val="18"/>
              </w:rPr>
              <w:t>2023</w:t>
            </w:r>
          </w:p>
        </w:tc>
        <w:tc>
          <w:tcPr>
            <w:tcW w:w="674" w:type="dxa"/>
            <w:shd w:val="clear" w:color="auto" w:fill="808080"/>
          </w:tcPr>
          <w:p>
            <w:pPr>
              <w:pStyle w:val="TableParagraph"/>
              <w:spacing w:before="145"/>
              <w:ind w:left="13" w:right="3"/>
              <w:jc w:val="center"/>
              <w:rPr>
                <w:sz w:val="18"/>
              </w:rPr>
            </w:pPr>
            <w:r>
              <w:rPr>
                <w:color w:val="FFFFFF"/>
                <w:spacing w:val="-4"/>
                <w:sz w:val="18"/>
              </w:rPr>
              <w:t>2024</w:t>
            </w:r>
          </w:p>
        </w:tc>
        <w:tc>
          <w:tcPr>
            <w:tcW w:w="672" w:type="dxa"/>
            <w:shd w:val="clear" w:color="auto" w:fill="808080"/>
          </w:tcPr>
          <w:p>
            <w:pPr>
              <w:pStyle w:val="TableParagraph"/>
              <w:spacing w:before="145"/>
              <w:ind w:left="15" w:right="2"/>
              <w:jc w:val="center"/>
              <w:rPr>
                <w:sz w:val="18"/>
              </w:rPr>
            </w:pPr>
            <w:r>
              <w:rPr>
                <w:color w:val="FFFFFF"/>
                <w:spacing w:val="-4"/>
                <w:sz w:val="18"/>
              </w:rPr>
              <w:t>2025</w:t>
            </w:r>
          </w:p>
        </w:tc>
        <w:tc>
          <w:tcPr>
            <w:tcW w:w="674" w:type="dxa"/>
            <w:shd w:val="clear" w:color="auto" w:fill="808080"/>
          </w:tcPr>
          <w:p>
            <w:pPr>
              <w:pStyle w:val="TableParagraph"/>
              <w:spacing w:before="145"/>
              <w:ind w:left="13" w:right="1"/>
              <w:jc w:val="center"/>
              <w:rPr>
                <w:sz w:val="18"/>
              </w:rPr>
            </w:pPr>
            <w:r>
              <w:rPr>
                <w:color w:val="FFFFFF"/>
                <w:spacing w:val="-4"/>
                <w:sz w:val="18"/>
              </w:rPr>
              <w:t>2026</w:t>
            </w:r>
          </w:p>
        </w:tc>
        <w:tc>
          <w:tcPr>
            <w:tcW w:w="672" w:type="dxa"/>
            <w:shd w:val="clear" w:color="auto" w:fill="808080"/>
          </w:tcPr>
          <w:p>
            <w:pPr>
              <w:pStyle w:val="TableParagraph"/>
              <w:spacing w:before="145"/>
              <w:ind w:left="15"/>
              <w:jc w:val="center"/>
              <w:rPr>
                <w:sz w:val="18"/>
              </w:rPr>
            </w:pPr>
            <w:r>
              <w:rPr>
                <w:color w:val="FFFFFF"/>
                <w:spacing w:val="-4"/>
                <w:sz w:val="18"/>
              </w:rPr>
              <w:t>2027</w:t>
            </w:r>
          </w:p>
        </w:tc>
        <w:tc>
          <w:tcPr>
            <w:tcW w:w="674" w:type="dxa"/>
            <w:shd w:val="clear" w:color="auto" w:fill="808080"/>
          </w:tcPr>
          <w:p>
            <w:pPr>
              <w:pStyle w:val="TableParagraph"/>
              <w:spacing w:before="145"/>
              <w:ind w:left="13"/>
              <w:jc w:val="center"/>
              <w:rPr>
                <w:sz w:val="18"/>
              </w:rPr>
            </w:pPr>
            <w:r>
              <w:rPr>
                <w:color w:val="FFFFFF"/>
                <w:spacing w:val="-4"/>
                <w:sz w:val="18"/>
              </w:rPr>
              <w:t>2028</w:t>
            </w:r>
          </w:p>
        </w:tc>
        <w:tc>
          <w:tcPr>
            <w:tcW w:w="672" w:type="dxa"/>
            <w:shd w:val="clear" w:color="auto" w:fill="808080"/>
          </w:tcPr>
          <w:p>
            <w:pPr>
              <w:pStyle w:val="TableParagraph"/>
              <w:spacing w:before="145"/>
              <w:ind w:left="15" w:right="4"/>
              <w:jc w:val="center"/>
              <w:rPr>
                <w:sz w:val="18"/>
              </w:rPr>
            </w:pPr>
            <w:r>
              <w:rPr>
                <w:color w:val="FFFFFF"/>
                <w:spacing w:val="-4"/>
                <w:sz w:val="18"/>
              </w:rPr>
              <w:t>2029</w:t>
            </w:r>
          </w:p>
        </w:tc>
        <w:tc>
          <w:tcPr>
            <w:tcW w:w="719" w:type="dxa"/>
            <w:shd w:val="clear" w:color="auto" w:fill="808080"/>
          </w:tcPr>
          <w:p>
            <w:pPr>
              <w:pStyle w:val="TableParagraph"/>
              <w:spacing w:before="145"/>
              <w:ind w:left="18"/>
              <w:jc w:val="center"/>
              <w:rPr>
                <w:sz w:val="18"/>
              </w:rPr>
            </w:pPr>
            <w:r>
              <w:rPr>
                <w:color w:val="FFFFFF"/>
                <w:spacing w:val="-4"/>
                <w:sz w:val="18"/>
              </w:rPr>
              <w:t>2030</w:t>
            </w:r>
          </w:p>
        </w:tc>
      </w:tr>
      <w:tr>
        <w:trPr>
          <w:trHeight w:val="434" w:hRule="atLeast"/>
        </w:trPr>
        <w:tc>
          <w:tcPr>
            <w:tcW w:w="1039" w:type="dxa"/>
            <w:shd w:val="clear" w:color="auto" w:fill="44536A"/>
          </w:tcPr>
          <w:p>
            <w:pPr>
              <w:pStyle w:val="TableParagraph"/>
              <w:spacing w:before="116"/>
              <w:ind w:left="69"/>
              <w:rPr>
                <w:sz w:val="18"/>
              </w:rPr>
            </w:pPr>
            <w:r>
              <w:rPr>
                <w:color w:val="FFFFFF"/>
                <w:spacing w:val="-2"/>
                <w:sz w:val="18"/>
              </w:rPr>
              <w:t>Metas</w:t>
            </w:r>
          </w:p>
        </w:tc>
        <w:tc>
          <w:tcPr>
            <w:tcW w:w="770" w:type="dxa"/>
          </w:tcPr>
          <w:p>
            <w:pPr>
              <w:pStyle w:val="TableParagraph"/>
              <w:spacing w:before="20"/>
              <w:ind w:left="15" w:right="5"/>
              <w:jc w:val="center"/>
              <w:rPr>
                <w:sz w:val="16"/>
              </w:rPr>
            </w:pPr>
            <w:r>
              <w:rPr>
                <w:spacing w:val="-5"/>
                <w:sz w:val="16"/>
              </w:rPr>
              <w:t>No</w:t>
            </w:r>
          </w:p>
          <w:p>
            <w:pPr>
              <w:pStyle w:val="TableParagraph"/>
              <w:spacing w:line="178" w:lineRule="exact" w:before="32"/>
              <w:ind w:left="15" w:right="5"/>
              <w:jc w:val="center"/>
              <w:rPr>
                <w:sz w:val="16"/>
              </w:rPr>
            </w:pPr>
            <w:r>
              <w:rPr>
                <w:spacing w:val="-2"/>
                <w:w w:val="105"/>
                <w:sz w:val="16"/>
              </w:rPr>
              <w:t>definido</w:t>
            </w:r>
          </w:p>
        </w:tc>
        <w:tc>
          <w:tcPr>
            <w:tcW w:w="552" w:type="dxa"/>
          </w:tcPr>
          <w:p>
            <w:pPr>
              <w:pStyle w:val="TableParagraph"/>
              <w:spacing w:before="128"/>
              <w:ind w:left="10" w:right="2"/>
              <w:jc w:val="center"/>
              <w:rPr>
                <w:sz w:val="16"/>
              </w:rPr>
            </w:pPr>
            <w:r>
              <w:rPr>
                <w:spacing w:val="-5"/>
                <w:sz w:val="16"/>
              </w:rPr>
              <w:t>ND</w:t>
            </w:r>
          </w:p>
        </w:tc>
        <w:tc>
          <w:tcPr>
            <w:tcW w:w="763" w:type="dxa"/>
          </w:tcPr>
          <w:p>
            <w:pPr>
              <w:pStyle w:val="TableParagraph"/>
              <w:spacing w:before="128"/>
              <w:ind w:left="12"/>
              <w:jc w:val="center"/>
              <w:rPr>
                <w:sz w:val="16"/>
              </w:rPr>
            </w:pPr>
            <w:r>
              <w:rPr>
                <w:spacing w:val="-2"/>
                <w:sz w:val="16"/>
              </w:rPr>
              <w:t>38.06%</w:t>
            </w:r>
          </w:p>
        </w:tc>
        <w:tc>
          <w:tcPr>
            <w:tcW w:w="763" w:type="dxa"/>
          </w:tcPr>
          <w:p>
            <w:pPr>
              <w:pStyle w:val="TableParagraph"/>
              <w:spacing w:before="128"/>
              <w:ind w:left="12"/>
              <w:jc w:val="center"/>
              <w:rPr>
                <w:sz w:val="16"/>
              </w:rPr>
            </w:pPr>
            <w:r>
              <w:rPr>
                <w:spacing w:val="-2"/>
                <w:sz w:val="16"/>
              </w:rPr>
              <w:t>40.00%</w:t>
            </w:r>
          </w:p>
        </w:tc>
        <w:tc>
          <w:tcPr>
            <w:tcW w:w="674" w:type="dxa"/>
          </w:tcPr>
          <w:p>
            <w:pPr>
              <w:pStyle w:val="TableParagraph"/>
              <w:spacing w:before="128"/>
              <w:ind w:left="13" w:right="3"/>
              <w:jc w:val="center"/>
              <w:rPr>
                <w:sz w:val="16"/>
              </w:rPr>
            </w:pPr>
            <w:r>
              <w:rPr>
                <w:spacing w:val="-2"/>
                <w:sz w:val="16"/>
              </w:rPr>
              <w:t>40.00%</w:t>
            </w:r>
          </w:p>
        </w:tc>
        <w:tc>
          <w:tcPr>
            <w:tcW w:w="672" w:type="dxa"/>
          </w:tcPr>
          <w:p>
            <w:pPr>
              <w:pStyle w:val="TableParagraph"/>
              <w:spacing w:before="128"/>
              <w:ind w:left="15" w:right="2"/>
              <w:jc w:val="center"/>
              <w:rPr>
                <w:sz w:val="16"/>
              </w:rPr>
            </w:pPr>
            <w:r>
              <w:rPr>
                <w:spacing w:val="-2"/>
                <w:sz w:val="16"/>
              </w:rPr>
              <w:t>43.23%</w:t>
            </w:r>
          </w:p>
        </w:tc>
        <w:tc>
          <w:tcPr>
            <w:tcW w:w="674" w:type="dxa"/>
          </w:tcPr>
          <w:p>
            <w:pPr>
              <w:pStyle w:val="TableParagraph"/>
              <w:spacing w:before="128"/>
              <w:ind w:left="13" w:right="1"/>
              <w:jc w:val="center"/>
              <w:rPr>
                <w:sz w:val="16"/>
              </w:rPr>
            </w:pPr>
            <w:r>
              <w:rPr>
                <w:spacing w:val="-2"/>
                <w:sz w:val="16"/>
              </w:rPr>
              <w:t>43.23%</w:t>
            </w:r>
          </w:p>
        </w:tc>
        <w:tc>
          <w:tcPr>
            <w:tcW w:w="672" w:type="dxa"/>
          </w:tcPr>
          <w:p>
            <w:pPr>
              <w:pStyle w:val="TableParagraph"/>
              <w:spacing w:before="128"/>
              <w:ind w:left="15"/>
              <w:jc w:val="center"/>
              <w:rPr>
                <w:sz w:val="16"/>
              </w:rPr>
            </w:pPr>
            <w:r>
              <w:rPr>
                <w:spacing w:val="-2"/>
                <w:sz w:val="16"/>
              </w:rPr>
              <w:t>46.45%</w:t>
            </w:r>
          </w:p>
        </w:tc>
        <w:tc>
          <w:tcPr>
            <w:tcW w:w="674" w:type="dxa"/>
          </w:tcPr>
          <w:p>
            <w:pPr>
              <w:pStyle w:val="TableParagraph"/>
              <w:spacing w:before="128"/>
              <w:ind w:left="13"/>
              <w:jc w:val="center"/>
              <w:rPr>
                <w:sz w:val="16"/>
              </w:rPr>
            </w:pPr>
            <w:r>
              <w:rPr>
                <w:spacing w:val="-2"/>
                <w:sz w:val="16"/>
              </w:rPr>
              <w:t>46.45%</w:t>
            </w:r>
          </w:p>
        </w:tc>
        <w:tc>
          <w:tcPr>
            <w:tcW w:w="672" w:type="dxa"/>
          </w:tcPr>
          <w:p>
            <w:pPr>
              <w:pStyle w:val="TableParagraph"/>
              <w:spacing w:before="128"/>
              <w:ind w:left="15" w:right="4"/>
              <w:jc w:val="center"/>
              <w:rPr>
                <w:sz w:val="16"/>
              </w:rPr>
            </w:pPr>
            <w:r>
              <w:rPr>
                <w:spacing w:val="-2"/>
                <w:sz w:val="16"/>
              </w:rPr>
              <w:t>49.68%</w:t>
            </w:r>
          </w:p>
        </w:tc>
        <w:tc>
          <w:tcPr>
            <w:tcW w:w="719" w:type="dxa"/>
          </w:tcPr>
          <w:p>
            <w:pPr>
              <w:pStyle w:val="TableParagraph"/>
              <w:spacing w:before="128"/>
              <w:ind w:left="18"/>
              <w:jc w:val="center"/>
              <w:rPr>
                <w:sz w:val="16"/>
              </w:rPr>
            </w:pPr>
            <w:r>
              <w:rPr>
                <w:spacing w:val="-2"/>
                <w:sz w:val="16"/>
              </w:rPr>
              <w:t>49.68%</w:t>
            </w:r>
          </w:p>
        </w:tc>
      </w:tr>
      <w:tr>
        <w:trPr>
          <w:trHeight w:val="571" w:hRule="atLeast"/>
        </w:trPr>
        <w:tc>
          <w:tcPr>
            <w:tcW w:w="1039" w:type="dxa"/>
            <w:shd w:val="clear" w:color="auto" w:fill="44536A"/>
          </w:tcPr>
          <w:p>
            <w:pPr>
              <w:pStyle w:val="TableParagraph"/>
              <w:spacing w:line="240" w:lineRule="atLeast" w:before="31"/>
              <w:ind w:left="69"/>
              <w:rPr>
                <w:sz w:val="18"/>
              </w:rPr>
            </w:pPr>
            <w:r>
              <w:rPr>
                <w:color w:val="FFFFFF"/>
                <w:spacing w:val="-4"/>
                <w:w w:val="105"/>
                <w:sz w:val="18"/>
              </w:rPr>
              <w:t>Valor </w:t>
            </w:r>
            <w:r>
              <w:rPr>
                <w:color w:val="FFFFFF"/>
                <w:spacing w:val="-2"/>
                <w:w w:val="105"/>
                <w:sz w:val="18"/>
              </w:rPr>
              <w:t>reportado</w:t>
            </w:r>
          </w:p>
        </w:tc>
        <w:tc>
          <w:tcPr>
            <w:tcW w:w="770" w:type="dxa"/>
            <w:shd w:val="clear" w:color="auto" w:fill="C8C8C8"/>
          </w:tcPr>
          <w:p>
            <w:pPr>
              <w:pStyle w:val="TableParagraph"/>
              <w:rPr>
                <w:rFonts w:ascii="Times New Roman"/>
                <w:sz w:val="18"/>
              </w:rPr>
            </w:pPr>
          </w:p>
        </w:tc>
        <w:tc>
          <w:tcPr>
            <w:tcW w:w="552" w:type="dxa"/>
          </w:tcPr>
          <w:p>
            <w:pPr>
              <w:pStyle w:val="TableParagraph"/>
              <w:rPr>
                <w:rFonts w:ascii="Times New Roman"/>
                <w:sz w:val="18"/>
              </w:rPr>
            </w:pPr>
          </w:p>
        </w:tc>
        <w:tc>
          <w:tcPr>
            <w:tcW w:w="763" w:type="dxa"/>
          </w:tcPr>
          <w:p>
            <w:pPr>
              <w:pStyle w:val="TableParagraph"/>
              <w:spacing w:before="13"/>
              <w:rPr>
                <w:sz w:val="16"/>
              </w:rPr>
            </w:pPr>
          </w:p>
          <w:p>
            <w:pPr>
              <w:pStyle w:val="TableParagraph"/>
              <w:spacing w:before="1"/>
              <w:ind w:left="12"/>
              <w:jc w:val="center"/>
              <w:rPr>
                <w:sz w:val="16"/>
              </w:rPr>
            </w:pPr>
            <w:r>
              <w:rPr>
                <w:spacing w:val="-2"/>
                <w:sz w:val="16"/>
              </w:rPr>
              <w:t>38.06%</w:t>
            </w:r>
          </w:p>
        </w:tc>
        <w:tc>
          <w:tcPr>
            <w:tcW w:w="763" w:type="dxa"/>
          </w:tcPr>
          <w:p>
            <w:pPr>
              <w:pStyle w:val="TableParagraph"/>
              <w:spacing w:before="13"/>
              <w:rPr>
                <w:sz w:val="16"/>
              </w:rPr>
            </w:pPr>
          </w:p>
          <w:p>
            <w:pPr>
              <w:pStyle w:val="TableParagraph"/>
              <w:spacing w:before="1"/>
              <w:ind w:left="12"/>
              <w:jc w:val="center"/>
              <w:rPr>
                <w:sz w:val="16"/>
              </w:rPr>
            </w:pPr>
            <w:r>
              <w:rPr>
                <w:spacing w:val="-2"/>
                <w:sz w:val="16"/>
              </w:rPr>
              <w:t>40.00%</w:t>
            </w: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719" w:type="dxa"/>
            <w:shd w:val="clear" w:color="auto" w:fill="C8C8C8"/>
          </w:tcPr>
          <w:p>
            <w:pPr>
              <w:pStyle w:val="TableParagraph"/>
              <w:rPr>
                <w:rFonts w:ascii="Times New Roman"/>
                <w:sz w:val="18"/>
              </w:rPr>
            </w:pPr>
          </w:p>
        </w:tc>
      </w:tr>
      <w:tr>
        <w:trPr>
          <w:trHeight w:val="570" w:hRule="atLeast"/>
        </w:trPr>
        <w:tc>
          <w:tcPr>
            <w:tcW w:w="1039" w:type="dxa"/>
            <w:shd w:val="clear" w:color="auto" w:fill="44536A"/>
          </w:tcPr>
          <w:p>
            <w:pPr>
              <w:pStyle w:val="TableParagraph"/>
              <w:spacing w:line="240" w:lineRule="atLeast" w:before="30"/>
              <w:ind w:left="69" w:right="302"/>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70" w:type="dxa"/>
            <w:shd w:val="clear" w:color="auto" w:fill="C8C8C8"/>
          </w:tcPr>
          <w:p>
            <w:pPr>
              <w:pStyle w:val="TableParagraph"/>
              <w:rPr>
                <w:rFonts w:ascii="Times New Roman"/>
                <w:sz w:val="18"/>
              </w:rPr>
            </w:pPr>
          </w:p>
        </w:tc>
        <w:tc>
          <w:tcPr>
            <w:tcW w:w="552" w:type="dxa"/>
          </w:tcPr>
          <w:p>
            <w:pPr>
              <w:pStyle w:val="TableParagraph"/>
              <w:rPr>
                <w:rFonts w:ascii="Times New Roman"/>
                <w:sz w:val="18"/>
              </w:rPr>
            </w:pPr>
          </w:p>
        </w:tc>
        <w:tc>
          <w:tcPr>
            <w:tcW w:w="763" w:type="dxa"/>
          </w:tcPr>
          <w:p>
            <w:pPr>
              <w:pStyle w:val="TableParagraph"/>
              <w:spacing w:before="11"/>
              <w:rPr>
                <w:sz w:val="16"/>
              </w:rPr>
            </w:pPr>
          </w:p>
          <w:p>
            <w:pPr>
              <w:pStyle w:val="TableParagraph"/>
              <w:ind w:left="12"/>
              <w:jc w:val="center"/>
              <w:rPr>
                <w:sz w:val="16"/>
              </w:rPr>
            </w:pPr>
            <w:r>
              <w:rPr>
                <w:spacing w:val="-2"/>
                <w:sz w:val="16"/>
              </w:rPr>
              <w:t>100.01%</w:t>
            </w:r>
          </w:p>
        </w:tc>
        <w:tc>
          <w:tcPr>
            <w:tcW w:w="763" w:type="dxa"/>
          </w:tcPr>
          <w:p>
            <w:pPr>
              <w:pStyle w:val="TableParagraph"/>
              <w:spacing w:before="11"/>
              <w:rPr>
                <w:sz w:val="16"/>
              </w:rPr>
            </w:pPr>
          </w:p>
          <w:p>
            <w:pPr>
              <w:pStyle w:val="TableParagraph"/>
              <w:ind w:left="12"/>
              <w:jc w:val="center"/>
              <w:rPr>
                <w:sz w:val="16"/>
              </w:rPr>
            </w:pPr>
            <w:r>
              <w:rPr>
                <w:spacing w:val="-2"/>
                <w:sz w:val="16"/>
              </w:rPr>
              <w:t>100.00%</w:t>
            </w: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674" w:type="dxa"/>
            <w:shd w:val="clear" w:color="auto" w:fill="C8C8C8"/>
          </w:tcPr>
          <w:p>
            <w:pPr>
              <w:pStyle w:val="TableParagraph"/>
              <w:rPr>
                <w:rFonts w:ascii="Times New Roman"/>
                <w:sz w:val="18"/>
              </w:rPr>
            </w:pPr>
          </w:p>
        </w:tc>
        <w:tc>
          <w:tcPr>
            <w:tcW w:w="672" w:type="dxa"/>
            <w:shd w:val="clear" w:color="auto" w:fill="C8C8C8"/>
          </w:tcPr>
          <w:p>
            <w:pPr>
              <w:pStyle w:val="TableParagraph"/>
              <w:rPr>
                <w:rFonts w:ascii="Times New Roman"/>
                <w:sz w:val="18"/>
              </w:rPr>
            </w:pPr>
          </w:p>
        </w:tc>
        <w:tc>
          <w:tcPr>
            <w:tcW w:w="719" w:type="dxa"/>
            <w:shd w:val="clear" w:color="auto" w:fill="C8C8C8"/>
          </w:tcPr>
          <w:p>
            <w:pPr>
              <w:pStyle w:val="TableParagraph"/>
              <w:rPr>
                <w:rFonts w:ascii="Times New Roman"/>
                <w:sz w:val="18"/>
              </w:rPr>
            </w:pPr>
          </w:p>
        </w:tc>
      </w:tr>
    </w:tbl>
    <w:p>
      <w:pPr>
        <w:pStyle w:val="BodyText"/>
        <w:spacing w:before="37"/>
        <w:rPr>
          <w:sz w:val="22"/>
        </w:rPr>
      </w:pPr>
    </w:p>
    <w:p>
      <w:pPr>
        <w:spacing w:line="307" w:lineRule="auto" w:before="0"/>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152"/>
        <w:rPr>
          <w:sz w:val="18"/>
        </w:rPr>
      </w:pPr>
    </w:p>
    <w:p>
      <w:pPr>
        <w:pStyle w:val="BodyText"/>
        <w:spacing w:line="307" w:lineRule="auto"/>
        <w:ind w:left="143" w:right="706"/>
        <w:jc w:val="both"/>
      </w:pPr>
      <w:r>
        <w:rPr>
          <w:u w:val="single"/>
        </w:rPr>
        <w:t>Análisis de calidad: </w:t>
      </w:r>
      <w:r>
        <w:rPr/>
        <w:t>En el año 2023, el 34.8% de las mujeres que recibieron orientación en el marco de la Estrategia Comunitaria, obtuvieron el 80% del paquete completo brindado por el servicio, alcanzando un nivel de avance bajo </w:t>
      </w:r>
      <w:r>
        <w:rPr>
          <w:spacing w:val="-2"/>
        </w:rPr>
        <w:t>(57.8%)</w:t>
      </w:r>
      <w:r>
        <w:rPr>
          <w:spacing w:val="-11"/>
        </w:rPr>
        <w:t> </w:t>
      </w:r>
      <w:r>
        <w:rPr>
          <w:spacing w:val="-2"/>
        </w:rPr>
        <w:t>respecto</w:t>
      </w:r>
      <w:r>
        <w:rPr>
          <w:spacing w:val="-10"/>
        </w:rPr>
        <w:t> </w:t>
      </w:r>
      <w:r>
        <w:rPr>
          <w:spacing w:val="-2"/>
        </w:rPr>
        <w:t>a</w:t>
      </w:r>
      <w:r>
        <w:rPr>
          <w:spacing w:val="-11"/>
        </w:rPr>
        <w:t> </w:t>
      </w:r>
      <w:r>
        <w:rPr>
          <w:spacing w:val="-2"/>
        </w:rPr>
        <w:t>la</w:t>
      </w:r>
      <w:r>
        <w:rPr>
          <w:spacing w:val="-14"/>
        </w:rPr>
        <w:t> </w:t>
      </w:r>
      <w:r>
        <w:rPr>
          <w:spacing w:val="-2"/>
        </w:rPr>
        <w:t>meta</w:t>
      </w:r>
      <w:r>
        <w:rPr>
          <w:spacing w:val="-11"/>
        </w:rPr>
        <w:t> </w:t>
      </w:r>
      <w:r>
        <w:rPr>
          <w:spacing w:val="-2"/>
        </w:rPr>
        <w:t>esperada:</w:t>
      </w:r>
      <w:r>
        <w:rPr>
          <w:spacing w:val="-7"/>
        </w:rPr>
        <w:t> </w:t>
      </w:r>
      <w:r>
        <w:rPr>
          <w:spacing w:val="-2"/>
        </w:rPr>
        <w:t>60.2%;</w:t>
      </w:r>
      <w:r>
        <w:rPr>
          <w:spacing w:val="-14"/>
        </w:rPr>
        <w:t> </w:t>
      </w:r>
      <w:r>
        <w:rPr>
          <w:spacing w:val="-2"/>
        </w:rPr>
        <w:t>cabe</w:t>
      </w:r>
      <w:r>
        <w:rPr>
          <w:spacing w:val="-10"/>
        </w:rPr>
        <w:t> </w:t>
      </w:r>
      <w:r>
        <w:rPr>
          <w:spacing w:val="-2"/>
        </w:rPr>
        <w:t>resaltar</w:t>
      </w:r>
      <w:r>
        <w:rPr>
          <w:spacing w:val="-11"/>
        </w:rPr>
        <w:t> </w:t>
      </w:r>
      <w:r>
        <w:rPr>
          <w:spacing w:val="-2"/>
        </w:rPr>
        <w:t>que</w:t>
      </w:r>
      <w:r>
        <w:rPr>
          <w:spacing w:val="-10"/>
        </w:rPr>
        <w:t> </w:t>
      </w:r>
      <w:r>
        <w:rPr>
          <w:spacing w:val="-2"/>
        </w:rPr>
        <w:t>el</w:t>
      </w:r>
      <w:r>
        <w:rPr>
          <w:spacing w:val="-10"/>
        </w:rPr>
        <w:t> </w:t>
      </w:r>
      <w:r>
        <w:rPr>
          <w:spacing w:val="-2"/>
        </w:rPr>
        <w:t>nivel</w:t>
      </w:r>
      <w:r>
        <w:rPr>
          <w:spacing w:val="-10"/>
        </w:rPr>
        <w:t> </w:t>
      </w:r>
      <w:r>
        <w:rPr>
          <w:spacing w:val="-2"/>
        </w:rPr>
        <w:t>de</w:t>
      </w:r>
      <w:r>
        <w:rPr>
          <w:spacing w:val="-10"/>
        </w:rPr>
        <w:t> </w:t>
      </w:r>
      <w:r>
        <w:rPr>
          <w:spacing w:val="-2"/>
        </w:rPr>
        <w:t>avance </w:t>
      </w:r>
      <w:r>
        <w:rPr/>
        <w:t>bajo se mantenido durante el 2022 (59.0%).</w:t>
      </w:r>
    </w:p>
    <w:p>
      <w:pPr>
        <w:pStyle w:val="BodyText"/>
        <w:spacing w:before="72"/>
      </w:pPr>
    </w:p>
    <w:p>
      <w:pPr>
        <w:spacing w:before="0"/>
        <w:ind w:left="1314" w:right="0" w:firstLine="0"/>
        <w:jc w:val="both"/>
        <w:rPr>
          <w:sz w:val="22"/>
        </w:rPr>
      </w:pPr>
      <w:r>
        <w:rPr>
          <w:color w:val="44536A"/>
          <w:sz w:val="22"/>
        </w:rPr>
        <w:t>Tabla</w:t>
      </w:r>
      <w:r>
        <w:rPr>
          <w:color w:val="44536A"/>
          <w:spacing w:val="-7"/>
          <w:sz w:val="22"/>
        </w:rPr>
        <w:t> </w:t>
      </w:r>
      <w:r>
        <w:rPr>
          <w:color w:val="44536A"/>
          <w:sz w:val="22"/>
        </w:rPr>
        <w:t>18.</w:t>
      </w:r>
      <w:r>
        <w:rPr>
          <w:color w:val="44536A"/>
          <w:spacing w:val="-8"/>
          <w:sz w:val="22"/>
        </w:rPr>
        <w:t> </w:t>
      </w:r>
      <w:r>
        <w:rPr>
          <w:color w:val="44536A"/>
          <w:sz w:val="22"/>
        </w:rPr>
        <w:t>Análisis</w:t>
      </w:r>
      <w:r>
        <w:rPr>
          <w:color w:val="44536A"/>
          <w:spacing w:val="-9"/>
          <w:sz w:val="22"/>
        </w:rPr>
        <w:t> </w:t>
      </w:r>
      <w:r>
        <w:rPr>
          <w:color w:val="44536A"/>
          <w:sz w:val="22"/>
        </w:rPr>
        <w:t>del</w:t>
      </w:r>
      <w:r>
        <w:rPr>
          <w:color w:val="44536A"/>
          <w:spacing w:val="-8"/>
          <w:sz w:val="22"/>
        </w:rPr>
        <w:t> </w:t>
      </w:r>
      <w:r>
        <w:rPr>
          <w:color w:val="44536A"/>
          <w:sz w:val="22"/>
        </w:rPr>
        <w:t>indicador</w:t>
      </w:r>
      <w:r>
        <w:rPr>
          <w:color w:val="44536A"/>
          <w:spacing w:val="-9"/>
          <w:sz w:val="22"/>
        </w:rPr>
        <w:t> </w:t>
      </w:r>
      <w:r>
        <w:rPr>
          <w:color w:val="44536A"/>
          <w:sz w:val="22"/>
        </w:rPr>
        <w:t>de</w:t>
      </w:r>
      <w:r>
        <w:rPr>
          <w:color w:val="44536A"/>
          <w:spacing w:val="-6"/>
          <w:sz w:val="22"/>
        </w:rPr>
        <w:t> </w:t>
      </w:r>
      <w:r>
        <w:rPr>
          <w:color w:val="44536A"/>
          <w:sz w:val="22"/>
        </w:rPr>
        <w:t>calidad</w:t>
      </w:r>
      <w:r>
        <w:rPr>
          <w:color w:val="44536A"/>
          <w:spacing w:val="-7"/>
          <w:sz w:val="22"/>
        </w:rPr>
        <w:t> </w:t>
      </w:r>
      <w:r>
        <w:rPr>
          <w:color w:val="44536A"/>
          <w:sz w:val="22"/>
        </w:rPr>
        <w:t>del</w:t>
      </w:r>
      <w:r>
        <w:rPr>
          <w:color w:val="44536A"/>
          <w:spacing w:val="-8"/>
          <w:sz w:val="22"/>
        </w:rPr>
        <w:t> </w:t>
      </w:r>
      <w:r>
        <w:rPr>
          <w:color w:val="44536A"/>
          <w:sz w:val="22"/>
        </w:rPr>
        <w:t>servicio</w:t>
      </w:r>
      <w:r>
        <w:rPr>
          <w:color w:val="44536A"/>
          <w:spacing w:val="-9"/>
          <w:sz w:val="22"/>
        </w:rPr>
        <w:t> </w:t>
      </w:r>
      <w:r>
        <w:rPr>
          <w:color w:val="44536A"/>
          <w:spacing w:val="-2"/>
          <w:sz w:val="22"/>
        </w:rPr>
        <w:t>01.02.01</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7"/>
        <w:gridCol w:w="739"/>
        <w:gridCol w:w="682"/>
        <w:gridCol w:w="679"/>
        <w:gridCol w:w="679"/>
        <w:gridCol w:w="679"/>
        <w:gridCol w:w="679"/>
        <w:gridCol w:w="679"/>
        <w:gridCol w:w="679"/>
        <w:gridCol w:w="677"/>
        <w:gridCol w:w="680"/>
        <w:gridCol w:w="679"/>
      </w:tblGrid>
      <w:tr>
        <w:trPr>
          <w:trHeight w:val="302" w:hRule="atLeast"/>
        </w:trPr>
        <w:tc>
          <w:tcPr>
            <w:tcW w:w="967" w:type="dxa"/>
            <w:shd w:val="clear" w:color="auto" w:fill="44536A"/>
          </w:tcPr>
          <w:p>
            <w:pPr>
              <w:pStyle w:val="TableParagraph"/>
              <w:spacing w:before="61"/>
              <w:ind w:left="7"/>
              <w:jc w:val="center"/>
              <w:rPr>
                <w:sz w:val="16"/>
              </w:rPr>
            </w:pPr>
            <w:r>
              <w:rPr>
                <w:color w:val="FFFFFF"/>
                <w:spacing w:val="-5"/>
                <w:sz w:val="16"/>
              </w:rPr>
              <w:t>OP</w:t>
            </w:r>
          </w:p>
        </w:tc>
        <w:tc>
          <w:tcPr>
            <w:tcW w:w="7531" w:type="dxa"/>
            <w:gridSpan w:val="11"/>
          </w:tcPr>
          <w:p>
            <w:pPr>
              <w:pStyle w:val="TableParagraph"/>
              <w:spacing w:before="51"/>
              <w:ind w:left="67"/>
              <w:rPr>
                <w:sz w:val="18"/>
              </w:rPr>
            </w:pPr>
            <w:r>
              <w:rPr>
                <w:spacing w:val="-2"/>
                <w:sz w:val="18"/>
              </w:rPr>
              <w:t>OP.01</w:t>
            </w:r>
            <w:r>
              <w:rPr>
                <w:spacing w:val="-6"/>
                <w:sz w:val="18"/>
              </w:rPr>
              <w:t> </w:t>
            </w:r>
            <w:r>
              <w:rPr>
                <w:spacing w:val="-2"/>
                <w:sz w:val="18"/>
              </w:rPr>
              <w:t>Reducir</w:t>
            </w:r>
            <w:r>
              <w:rPr>
                <w:spacing w:val="-5"/>
                <w:sz w:val="18"/>
              </w:rPr>
              <w:t> </w:t>
            </w:r>
            <w:r>
              <w:rPr>
                <w:spacing w:val="-2"/>
                <w:sz w:val="18"/>
              </w:rPr>
              <w:t>la</w:t>
            </w:r>
            <w:r>
              <w:rPr>
                <w:spacing w:val="-5"/>
                <w:sz w:val="18"/>
              </w:rPr>
              <w:t> </w:t>
            </w:r>
            <w:r>
              <w:rPr>
                <w:spacing w:val="-2"/>
                <w:sz w:val="18"/>
              </w:rPr>
              <w:t>violencia</w:t>
            </w:r>
            <w:r>
              <w:rPr>
                <w:spacing w:val="-4"/>
                <w:sz w:val="18"/>
              </w:rPr>
              <w:t> </w:t>
            </w:r>
            <w:r>
              <w:rPr>
                <w:spacing w:val="-2"/>
                <w:sz w:val="18"/>
              </w:rPr>
              <w:t>hacia</w:t>
            </w:r>
            <w:r>
              <w:rPr>
                <w:spacing w:val="-4"/>
                <w:sz w:val="18"/>
              </w:rPr>
              <w:t> </w:t>
            </w:r>
            <w:r>
              <w:rPr>
                <w:spacing w:val="-2"/>
                <w:sz w:val="18"/>
              </w:rPr>
              <w:t>las</w:t>
            </w:r>
            <w:r>
              <w:rPr>
                <w:spacing w:val="-6"/>
                <w:sz w:val="18"/>
              </w:rPr>
              <w:t> </w:t>
            </w:r>
            <w:r>
              <w:rPr>
                <w:spacing w:val="-2"/>
                <w:sz w:val="18"/>
              </w:rPr>
              <w:t>mujeres</w:t>
            </w:r>
          </w:p>
        </w:tc>
      </w:tr>
      <w:tr>
        <w:trPr>
          <w:trHeight w:val="733" w:hRule="atLeast"/>
        </w:trPr>
        <w:tc>
          <w:tcPr>
            <w:tcW w:w="967" w:type="dxa"/>
            <w:shd w:val="clear" w:color="auto" w:fill="44536A"/>
          </w:tcPr>
          <w:p>
            <w:pPr>
              <w:pStyle w:val="TableParagraph"/>
              <w:spacing w:before="60"/>
              <w:rPr>
                <w:sz w:val="18"/>
              </w:rPr>
            </w:pPr>
          </w:p>
          <w:p>
            <w:pPr>
              <w:pStyle w:val="TableParagraph"/>
              <w:ind w:left="170"/>
              <w:rPr>
                <w:sz w:val="18"/>
              </w:rPr>
            </w:pPr>
            <w:r>
              <w:rPr>
                <w:color w:val="FFFFFF"/>
                <w:spacing w:val="-2"/>
                <w:sz w:val="18"/>
              </w:rPr>
              <w:t>Servicio</w:t>
            </w:r>
          </w:p>
        </w:tc>
        <w:tc>
          <w:tcPr>
            <w:tcW w:w="7531" w:type="dxa"/>
            <w:gridSpan w:val="11"/>
          </w:tcPr>
          <w:p>
            <w:pPr>
              <w:pStyle w:val="TableParagraph"/>
              <w:spacing w:line="283" w:lineRule="auto" w:before="23"/>
              <w:ind w:left="67" w:right="159"/>
              <w:rPr>
                <w:sz w:val="18"/>
              </w:rPr>
            </w:pPr>
            <w:r>
              <w:rPr>
                <w:sz w:val="18"/>
              </w:rPr>
              <w:t>Estrategia Comunitaria de</w:t>
            </w:r>
            <w:r>
              <w:rPr>
                <w:spacing w:val="-3"/>
                <w:sz w:val="18"/>
              </w:rPr>
              <w:t> </w:t>
            </w:r>
            <w:r>
              <w:rPr>
                <w:sz w:val="18"/>
              </w:rPr>
              <w:t>prevención</w:t>
            </w:r>
            <w:r>
              <w:rPr>
                <w:spacing w:val="-1"/>
                <w:sz w:val="18"/>
              </w:rPr>
              <w:t> </w:t>
            </w:r>
            <w:r>
              <w:rPr>
                <w:sz w:val="18"/>
              </w:rPr>
              <w:t>de</w:t>
            </w:r>
            <w:r>
              <w:rPr>
                <w:spacing w:val="-1"/>
                <w:sz w:val="18"/>
              </w:rPr>
              <w:t> </w:t>
            </w:r>
            <w:r>
              <w:rPr>
                <w:sz w:val="18"/>
              </w:rPr>
              <w:t>la violencia</w:t>
            </w:r>
            <w:r>
              <w:rPr>
                <w:spacing w:val="-2"/>
                <w:sz w:val="18"/>
              </w:rPr>
              <w:t> </w:t>
            </w:r>
            <w:r>
              <w:rPr>
                <w:sz w:val="18"/>
              </w:rPr>
              <w:t>basada</w:t>
            </w:r>
            <w:r>
              <w:rPr>
                <w:spacing w:val="-2"/>
                <w:sz w:val="18"/>
              </w:rPr>
              <w:t> </w:t>
            </w:r>
            <w:r>
              <w:rPr>
                <w:sz w:val="18"/>
              </w:rPr>
              <w:t>en</w:t>
            </w:r>
            <w:r>
              <w:rPr>
                <w:spacing w:val="-2"/>
                <w:sz w:val="18"/>
              </w:rPr>
              <w:t> </w:t>
            </w:r>
            <w:r>
              <w:rPr>
                <w:sz w:val="18"/>
              </w:rPr>
              <w:t>género</w:t>
            </w:r>
            <w:r>
              <w:rPr>
                <w:spacing w:val="-1"/>
                <w:sz w:val="18"/>
              </w:rPr>
              <w:t> </w:t>
            </w:r>
            <w:r>
              <w:rPr>
                <w:sz w:val="18"/>
              </w:rPr>
              <w:t>contra las</w:t>
            </w:r>
            <w:r>
              <w:rPr>
                <w:spacing w:val="-3"/>
                <w:sz w:val="18"/>
              </w:rPr>
              <w:t> </w:t>
            </w:r>
            <w:r>
              <w:rPr>
                <w:sz w:val="18"/>
              </w:rPr>
              <w:t>mujeres </w:t>
            </w:r>
            <w:r>
              <w:rPr>
                <w:w w:val="105"/>
                <w:sz w:val="18"/>
              </w:rPr>
              <w:t>e</w:t>
            </w:r>
            <w:r>
              <w:rPr>
                <w:spacing w:val="-7"/>
                <w:w w:val="105"/>
                <w:sz w:val="18"/>
              </w:rPr>
              <w:t> </w:t>
            </w:r>
            <w:r>
              <w:rPr>
                <w:w w:val="105"/>
                <w:sz w:val="18"/>
              </w:rPr>
              <w:t>integrantes</w:t>
            </w:r>
            <w:r>
              <w:rPr>
                <w:spacing w:val="-7"/>
                <w:w w:val="105"/>
                <w:sz w:val="18"/>
              </w:rPr>
              <w:t> </w:t>
            </w:r>
            <w:r>
              <w:rPr>
                <w:w w:val="105"/>
                <w:sz w:val="18"/>
              </w:rPr>
              <w:t>del</w:t>
            </w:r>
            <w:r>
              <w:rPr>
                <w:spacing w:val="-7"/>
                <w:w w:val="105"/>
                <w:sz w:val="18"/>
              </w:rPr>
              <w:t> </w:t>
            </w:r>
            <w:r>
              <w:rPr>
                <w:w w:val="105"/>
                <w:sz w:val="18"/>
              </w:rPr>
              <w:t>grupo</w:t>
            </w:r>
            <w:r>
              <w:rPr>
                <w:spacing w:val="-7"/>
                <w:w w:val="105"/>
                <w:sz w:val="18"/>
              </w:rPr>
              <w:t> </w:t>
            </w:r>
            <w:r>
              <w:rPr>
                <w:w w:val="105"/>
                <w:sz w:val="18"/>
              </w:rPr>
              <w:t>familiar,</w:t>
            </w:r>
            <w:r>
              <w:rPr>
                <w:spacing w:val="-7"/>
                <w:w w:val="105"/>
                <w:sz w:val="18"/>
              </w:rPr>
              <w:t> </w:t>
            </w:r>
            <w:r>
              <w:rPr>
                <w:w w:val="105"/>
                <w:sz w:val="18"/>
              </w:rPr>
              <w:t>considerando</w:t>
            </w:r>
            <w:r>
              <w:rPr>
                <w:spacing w:val="-9"/>
                <w:w w:val="105"/>
                <w:sz w:val="18"/>
              </w:rPr>
              <w:t> </w:t>
            </w:r>
            <w:r>
              <w:rPr>
                <w:w w:val="105"/>
                <w:sz w:val="18"/>
              </w:rPr>
              <w:t>prioritariamente</w:t>
            </w:r>
            <w:r>
              <w:rPr>
                <w:spacing w:val="-7"/>
                <w:w w:val="105"/>
                <w:sz w:val="18"/>
              </w:rPr>
              <w:t> </w:t>
            </w:r>
            <w:r>
              <w:rPr>
                <w:w w:val="105"/>
                <w:sz w:val="18"/>
              </w:rPr>
              <w:t>aquellas</w:t>
            </w:r>
            <w:r>
              <w:rPr>
                <w:spacing w:val="-7"/>
                <w:w w:val="105"/>
                <w:sz w:val="18"/>
              </w:rPr>
              <w:t> </w:t>
            </w:r>
            <w:r>
              <w:rPr>
                <w:w w:val="105"/>
                <w:sz w:val="18"/>
              </w:rPr>
              <w:t>en</w:t>
            </w:r>
            <w:r>
              <w:rPr>
                <w:spacing w:val="-8"/>
                <w:w w:val="105"/>
                <w:sz w:val="18"/>
              </w:rPr>
              <w:t> </w:t>
            </w:r>
            <w:r>
              <w:rPr>
                <w:w w:val="105"/>
                <w:sz w:val="18"/>
              </w:rPr>
              <w:t>situación</w:t>
            </w:r>
            <w:r>
              <w:rPr>
                <w:spacing w:val="-7"/>
                <w:w w:val="105"/>
                <w:sz w:val="18"/>
              </w:rPr>
              <w:t> </w:t>
            </w:r>
            <w:r>
              <w:rPr>
                <w:w w:val="105"/>
                <w:sz w:val="18"/>
              </w:rPr>
              <w:t>de</w:t>
            </w:r>
          </w:p>
          <w:p>
            <w:pPr>
              <w:pStyle w:val="TableParagraph"/>
              <w:spacing w:line="201" w:lineRule="exact" w:before="1"/>
              <w:ind w:left="67"/>
              <w:rPr>
                <w:sz w:val="18"/>
              </w:rPr>
            </w:pPr>
            <w:r>
              <w:rPr>
                <w:spacing w:val="-2"/>
                <w:sz w:val="18"/>
              </w:rPr>
              <w:t>vulnerabilidad.</w:t>
            </w:r>
          </w:p>
        </w:tc>
      </w:tr>
      <w:tr>
        <w:trPr>
          <w:trHeight w:val="491" w:hRule="atLeast"/>
        </w:trPr>
        <w:tc>
          <w:tcPr>
            <w:tcW w:w="967" w:type="dxa"/>
            <w:shd w:val="clear" w:color="auto" w:fill="44536A"/>
          </w:tcPr>
          <w:p>
            <w:pPr>
              <w:pStyle w:val="TableParagraph"/>
              <w:spacing w:before="145"/>
              <w:ind w:left="100"/>
              <w:rPr>
                <w:sz w:val="18"/>
              </w:rPr>
            </w:pPr>
            <w:r>
              <w:rPr>
                <w:color w:val="FFFFFF"/>
                <w:spacing w:val="-2"/>
                <w:w w:val="105"/>
                <w:sz w:val="18"/>
              </w:rPr>
              <w:t>Indicador</w:t>
            </w:r>
          </w:p>
        </w:tc>
        <w:tc>
          <w:tcPr>
            <w:tcW w:w="7531" w:type="dxa"/>
            <w:gridSpan w:val="11"/>
          </w:tcPr>
          <w:p>
            <w:pPr>
              <w:pStyle w:val="TableParagraph"/>
              <w:spacing w:before="23"/>
              <w:ind w:left="67"/>
              <w:rPr>
                <w:sz w:val="18"/>
              </w:rPr>
            </w:pPr>
            <w:r>
              <w:rPr>
                <w:sz w:val="18"/>
              </w:rPr>
              <w:t>Porcentaje</w:t>
            </w:r>
            <w:r>
              <w:rPr>
                <w:spacing w:val="-4"/>
                <w:sz w:val="18"/>
              </w:rPr>
              <w:t> </w:t>
            </w:r>
            <w:r>
              <w:rPr>
                <w:sz w:val="18"/>
              </w:rPr>
              <w:t>de</w:t>
            </w:r>
            <w:r>
              <w:rPr>
                <w:spacing w:val="-3"/>
                <w:sz w:val="18"/>
              </w:rPr>
              <w:t> </w:t>
            </w:r>
            <w:r>
              <w:rPr>
                <w:sz w:val="18"/>
              </w:rPr>
              <w:t>mujeres</w:t>
            </w:r>
            <w:r>
              <w:rPr>
                <w:spacing w:val="-3"/>
                <w:sz w:val="18"/>
              </w:rPr>
              <w:t> </w:t>
            </w:r>
            <w:r>
              <w:rPr>
                <w:sz w:val="18"/>
              </w:rPr>
              <w:t>del</w:t>
            </w:r>
            <w:r>
              <w:rPr>
                <w:spacing w:val="-6"/>
                <w:sz w:val="18"/>
              </w:rPr>
              <w:t> </w:t>
            </w:r>
            <w:r>
              <w:rPr>
                <w:sz w:val="18"/>
              </w:rPr>
              <w:t>servicio</w:t>
            </w:r>
            <w:r>
              <w:rPr>
                <w:spacing w:val="-2"/>
                <w:sz w:val="18"/>
              </w:rPr>
              <w:t> </w:t>
            </w:r>
            <w:r>
              <w:rPr>
                <w:sz w:val="18"/>
              </w:rPr>
              <w:t>de</w:t>
            </w:r>
            <w:r>
              <w:rPr>
                <w:spacing w:val="-3"/>
                <w:sz w:val="18"/>
              </w:rPr>
              <w:t> </w:t>
            </w:r>
            <w:r>
              <w:rPr>
                <w:sz w:val="18"/>
              </w:rPr>
              <w:t>la</w:t>
            </w:r>
            <w:r>
              <w:rPr>
                <w:spacing w:val="-3"/>
                <w:sz w:val="18"/>
              </w:rPr>
              <w:t> </w:t>
            </w:r>
            <w:r>
              <w:rPr>
                <w:sz w:val="18"/>
              </w:rPr>
              <w:t>Estrategia</w:t>
            </w:r>
            <w:r>
              <w:rPr>
                <w:spacing w:val="-2"/>
                <w:sz w:val="18"/>
              </w:rPr>
              <w:t> </w:t>
            </w:r>
            <w:r>
              <w:rPr>
                <w:sz w:val="18"/>
              </w:rPr>
              <w:t>Comunitaria</w:t>
            </w:r>
            <w:r>
              <w:rPr>
                <w:spacing w:val="-2"/>
                <w:sz w:val="18"/>
              </w:rPr>
              <w:t> </w:t>
            </w:r>
            <w:r>
              <w:rPr>
                <w:sz w:val="18"/>
              </w:rPr>
              <w:t>que</w:t>
            </w:r>
            <w:r>
              <w:rPr>
                <w:spacing w:val="-4"/>
                <w:sz w:val="18"/>
              </w:rPr>
              <w:t> </w:t>
            </w:r>
            <w:r>
              <w:rPr>
                <w:sz w:val="18"/>
              </w:rPr>
              <w:t>reciben</w:t>
            </w:r>
            <w:r>
              <w:rPr>
                <w:spacing w:val="-4"/>
                <w:sz w:val="18"/>
              </w:rPr>
              <w:t> </w:t>
            </w:r>
            <w:r>
              <w:rPr>
                <w:sz w:val="18"/>
              </w:rPr>
              <w:t>el</w:t>
            </w:r>
            <w:r>
              <w:rPr>
                <w:spacing w:val="-3"/>
                <w:sz w:val="18"/>
              </w:rPr>
              <w:t> </w:t>
            </w:r>
            <w:r>
              <w:rPr>
                <w:sz w:val="18"/>
              </w:rPr>
              <w:t>80%</w:t>
            </w:r>
            <w:r>
              <w:rPr>
                <w:spacing w:val="-5"/>
                <w:sz w:val="18"/>
              </w:rPr>
              <w:t> del</w:t>
            </w:r>
          </w:p>
          <w:p>
            <w:pPr>
              <w:pStyle w:val="TableParagraph"/>
              <w:spacing w:line="204" w:lineRule="exact" w:before="37"/>
              <w:ind w:left="67"/>
              <w:rPr>
                <w:sz w:val="18"/>
              </w:rPr>
            </w:pPr>
            <w:r>
              <w:rPr>
                <w:sz w:val="18"/>
              </w:rPr>
              <w:t>paquete</w:t>
            </w:r>
            <w:r>
              <w:rPr>
                <w:spacing w:val="15"/>
                <w:sz w:val="18"/>
              </w:rPr>
              <w:t> </w:t>
            </w:r>
            <w:r>
              <w:rPr>
                <w:spacing w:val="-2"/>
                <w:sz w:val="18"/>
              </w:rPr>
              <w:t>completo.</w:t>
            </w:r>
          </w:p>
        </w:tc>
      </w:tr>
      <w:tr>
        <w:trPr>
          <w:trHeight w:val="489" w:hRule="atLeast"/>
        </w:trPr>
        <w:tc>
          <w:tcPr>
            <w:tcW w:w="967" w:type="dxa"/>
            <w:shd w:val="clear" w:color="auto" w:fill="808080"/>
          </w:tcPr>
          <w:p>
            <w:pPr>
              <w:pStyle w:val="TableParagraph"/>
              <w:spacing w:before="145"/>
              <w:ind w:left="321"/>
              <w:rPr>
                <w:sz w:val="18"/>
              </w:rPr>
            </w:pPr>
            <w:r>
              <w:rPr>
                <w:color w:val="FFFFFF"/>
                <w:spacing w:val="-5"/>
                <w:sz w:val="18"/>
              </w:rPr>
              <w:t>Año</w:t>
            </w:r>
          </w:p>
        </w:tc>
        <w:tc>
          <w:tcPr>
            <w:tcW w:w="739" w:type="dxa"/>
            <w:shd w:val="clear" w:color="auto" w:fill="808080"/>
          </w:tcPr>
          <w:p>
            <w:pPr>
              <w:pStyle w:val="TableParagraph"/>
              <w:spacing w:before="23"/>
              <w:ind w:left="8" w:right="6"/>
              <w:jc w:val="center"/>
              <w:rPr>
                <w:sz w:val="18"/>
              </w:rPr>
            </w:pPr>
            <w:r>
              <w:rPr>
                <w:color w:val="FFFFFF"/>
                <w:spacing w:val="-2"/>
                <w:sz w:val="18"/>
              </w:rPr>
              <w:t>Valor</w:t>
            </w:r>
          </w:p>
          <w:p>
            <w:pPr>
              <w:pStyle w:val="TableParagraph"/>
              <w:spacing w:line="201" w:lineRule="exact" w:before="37"/>
              <w:ind w:left="8" w:right="2"/>
              <w:jc w:val="center"/>
              <w:rPr>
                <w:sz w:val="18"/>
              </w:rPr>
            </w:pPr>
            <w:r>
              <w:rPr>
                <w:color w:val="FFFFFF"/>
                <w:spacing w:val="-5"/>
                <w:sz w:val="18"/>
              </w:rPr>
              <w:t>LB</w:t>
            </w:r>
          </w:p>
        </w:tc>
        <w:tc>
          <w:tcPr>
            <w:tcW w:w="682" w:type="dxa"/>
            <w:shd w:val="clear" w:color="auto" w:fill="808080"/>
          </w:tcPr>
          <w:p>
            <w:pPr>
              <w:pStyle w:val="TableParagraph"/>
              <w:spacing w:before="145"/>
              <w:ind w:left="9"/>
              <w:jc w:val="center"/>
              <w:rPr>
                <w:sz w:val="18"/>
              </w:rPr>
            </w:pPr>
            <w:r>
              <w:rPr>
                <w:color w:val="FFFFFF"/>
                <w:spacing w:val="-4"/>
                <w:sz w:val="18"/>
              </w:rPr>
              <w:t>2021</w:t>
            </w:r>
          </w:p>
        </w:tc>
        <w:tc>
          <w:tcPr>
            <w:tcW w:w="679" w:type="dxa"/>
            <w:shd w:val="clear" w:color="auto" w:fill="808080"/>
          </w:tcPr>
          <w:p>
            <w:pPr>
              <w:pStyle w:val="TableParagraph"/>
              <w:spacing w:before="145"/>
              <w:ind w:left="17" w:right="4"/>
              <w:jc w:val="center"/>
              <w:rPr>
                <w:sz w:val="18"/>
              </w:rPr>
            </w:pPr>
            <w:r>
              <w:rPr>
                <w:color w:val="FFFFFF"/>
                <w:spacing w:val="-4"/>
                <w:sz w:val="18"/>
              </w:rPr>
              <w:t>2022</w:t>
            </w:r>
          </w:p>
        </w:tc>
        <w:tc>
          <w:tcPr>
            <w:tcW w:w="679" w:type="dxa"/>
            <w:shd w:val="clear" w:color="auto" w:fill="808080"/>
          </w:tcPr>
          <w:p>
            <w:pPr>
              <w:pStyle w:val="TableParagraph"/>
              <w:spacing w:before="145"/>
              <w:ind w:left="17" w:right="4"/>
              <w:jc w:val="center"/>
              <w:rPr>
                <w:sz w:val="18"/>
              </w:rPr>
            </w:pPr>
            <w:r>
              <w:rPr>
                <w:color w:val="FFFFFF"/>
                <w:spacing w:val="-4"/>
                <w:sz w:val="18"/>
              </w:rPr>
              <w:t>2023</w:t>
            </w:r>
          </w:p>
        </w:tc>
        <w:tc>
          <w:tcPr>
            <w:tcW w:w="679" w:type="dxa"/>
            <w:shd w:val="clear" w:color="auto" w:fill="808080"/>
          </w:tcPr>
          <w:p>
            <w:pPr>
              <w:pStyle w:val="TableParagraph"/>
              <w:spacing w:before="145"/>
              <w:ind w:left="17" w:right="3"/>
              <w:jc w:val="center"/>
              <w:rPr>
                <w:sz w:val="18"/>
              </w:rPr>
            </w:pPr>
            <w:r>
              <w:rPr>
                <w:color w:val="FFFFFF"/>
                <w:spacing w:val="-4"/>
                <w:sz w:val="18"/>
              </w:rPr>
              <w:t>2024</w:t>
            </w:r>
          </w:p>
        </w:tc>
        <w:tc>
          <w:tcPr>
            <w:tcW w:w="679" w:type="dxa"/>
            <w:shd w:val="clear" w:color="auto" w:fill="808080"/>
          </w:tcPr>
          <w:p>
            <w:pPr>
              <w:pStyle w:val="TableParagraph"/>
              <w:spacing w:before="145"/>
              <w:ind w:left="17" w:right="3"/>
              <w:jc w:val="center"/>
              <w:rPr>
                <w:sz w:val="18"/>
              </w:rPr>
            </w:pPr>
            <w:r>
              <w:rPr>
                <w:color w:val="FFFFFF"/>
                <w:spacing w:val="-4"/>
                <w:sz w:val="18"/>
              </w:rPr>
              <w:t>2025</w:t>
            </w:r>
          </w:p>
        </w:tc>
        <w:tc>
          <w:tcPr>
            <w:tcW w:w="679" w:type="dxa"/>
            <w:shd w:val="clear" w:color="auto" w:fill="808080"/>
          </w:tcPr>
          <w:p>
            <w:pPr>
              <w:pStyle w:val="TableParagraph"/>
              <w:spacing w:before="145"/>
              <w:ind w:left="17" w:right="2"/>
              <w:jc w:val="center"/>
              <w:rPr>
                <w:sz w:val="18"/>
              </w:rPr>
            </w:pPr>
            <w:r>
              <w:rPr>
                <w:color w:val="FFFFFF"/>
                <w:spacing w:val="-4"/>
                <w:sz w:val="18"/>
              </w:rPr>
              <w:t>2026</w:t>
            </w:r>
          </w:p>
        </w:tc>
        <w:tc>
          <w:tcPr>
            <w:tcW w:w="679" w:type="dxa"/>
            <w:shd w:val="clear" w:color="auto" w:fill="808080"/>
          </w:tcPr>
          <w:p>
            <w:pPr>
              <w:pStyle w:val="TableParagraph"/>
              <w:spacing w:before="145"/>
              <w:ind w:left="17" w:right="6"/>
              <w:jc w:val="center"/>
              <w:rPr>
                <w:sz w:val="18"/>
              </w:rPr>
            </w:pPr>
            <w:r>
              <w:rPr>
                <w:color w:val="FFFFFF"/>
                <w:spacing w:val="-4"/>
                <w:sz w:val="18"/>
              </w:rPr>
              <w:t>2027</w:t>
            </w:r>
          </w:p>
        </w:tc>
        <w:tc>
          <w:tcPr>
            <w:tcW w:w="677" w:type="dxa"/>
            <w:shd w:val="clear" w:color="auto" w:fill="808080"/>
          </w:tcPr>
          <w:p>
            <w:pPr>
              <w:pStyle w:val="TableParagraph"/>
              <w:spacing w:before="145"/>
              <w:ind w:left="15" w:right="2"/>
              <w:jc w:val="center"/>
              <w:rPr>
                <w:sz w:val="18"/>
              </w:rPr>
            </w:pPr>
            <w:r>
              <w:rPr>
                <w:color w:val="FFFFFF"/>
                <w:spacing w:val="-4"/>
                <w:sz w:val="18"/>
              </w:rPr>
              <w:t>2028</w:t>
            </w:r>
          </w:p>
        </w:tc>
        <w:tc>
          <w:tcPr>
            <w:tcW w:w="680" w:type="dxa"/>
            <w:shd w:val="clear" w:color="auto" w:fill="808080"/>
          </w:tcPr>
          <w:p>
            <w:pPr>
              <w:pStyle w:val="TableParagraph"/>
              <w:spacing w:before="145"/>
              <w:ind w:left="17" w:right="2"/>
              <w:jc w:val="center"/>
              <w:rPr>
                <w:sz w:val="18"/>
              </w:rPr>
            </w:pPr>
            <w:r>
              <w:rPr>
                <w:color w:val="FFFFFF"/>
                <w:spacing w:val="-4"/>
                <w:sz w:val="18"/>
              </w:rPr>
              <w:t>2029</w:t>
            </w:r>
          </w:p>
        </w:tc>
        <w:tc>
          <w:tcPr>
            <w:tcW w:w="679" w:type="dxa"/>
            <w:shd w:val="clear" w:color="auto" w:fill="808080"/>
          </w:tcPr>
          <w:p>
            <w:pPr>
              <w:pStyle w:val="TableParagraph"/>
              <w:spacing w:before="145"/>
              <w:ind w:left="17" w:right="2"/>
              <w:jc w:val="center"/>
              <w:rPr>
                <w:sz w:val="18"/>
              </w:rPr>
            </w:pPr>
            <w:r>
              <w:rPr>
                <w:color w:val="FFFFFF"/>
                <w:spacing w:val="-4"/>
                <w:sz w:val="18"/>
              </w:rPr>
              <w:t>2030</w:t>
            </w:r>
          </w:p>
        </w:tc>
      </w:tr>
      <w:tr>
        <w:trPr>
          <w:trHeight w:val="436" w:hRule="atLeast"/>
        </w:trPr>
        <w:tc>
          <w:tcPr>
            <w:tcW w:w="967" w:type="dxa"/>
            <w:shd w:val="clear" w:color="auto" w:fill="44536A"/>
          </w:tcPr>
          <w:p>
            <w:pPr>
              <w:pStyle w:val="TableParagraph"/>
              <w:spacing w:before="119"/>
              <w:ind w:left="69"/>
              <w:rPr>
                <w:sz w:val="18"/>
              </w:rPr>
            </w:pPr>
            <w:r>
              <w:rPr>
                <w:color w:val="FFFFFF"/>
                <w:spacing w:val="-2"/>
                <w:sz w:val="18"/>
              </w:rPr>
              <w:t>Metas</w:t>
            </w:r>
          </w:p>
        </w:tc>
        <w:tc>
          <w:tcPr>
            <w:tcW w:w="739" w:type="dxa"/>
          </w:tcPr>
          <w:p>
            <w:pPr>
              <w:pStyle w:val="TableParagraph"/>
              <w:spacing w:before="20"/>
              <w:ind w:left="8" w:right="6"/>
              <w:jc w:val="center"/>
              <w:rPr>
                <w:sz w:val="16"/>
              </w:rPr>
            </w:pPr>
            <w:r>
              <w:rPr>
                <w:spacing w:val="-5"/>
                <w:sz w:val="16"/>
              </w:rPr>
              <w:t>No</w:t>
            </w:r>
          </w:p>
          <w:p>
            <w:pPr>
              <w:pStyle w:val="TableParagraph"/>
              <w:spacing w:line="178" w:lineRule="exact" w:before="34"/>
              <w:ind w:left="8" w:right="1"/>
              <w:jc w:val="center"/>
              <w:rPr>
                <w:sz w:val="16"/>
              </w:rPr>
            </w:pPr>
            <w:r>
              <w:rPr>
                <w:spacing w:val="-2"/>
                <w:w w:val="105"/>
                <w:sz w:val="16"/>
              </w:rPr>
              <w:t>definido</w:t>
            </w:r>
          </w:p>
        </w:tc>
        <w:tc>
          <w:tcPr>
            <w:tcW w:w="682" w:type="dxa"/>
          </w:tcPr>
          <w:p>
            <w:pPr>
              <w:pStyle w:val="TableParagraph"/>
              <w:spacing w:before="128"/>
              <w:ind w:left="9" w:right="2"/>
              <w:jc w:val="center"/>
              <w:rPr>
                <w:sz w:val="16"/>
              </w:rPr>
            </w:pPr>
            <w:r>
              <w:rPr>
                <w:spacing w:val="-5"/>
                <w:sz w:val="16"/>
              </w:rPr>
              <w:t>ND</w:t>
            </w:r>
          </w:p>
        </w:tc>
        <w:tc>
          <w:tcPr>
            <w:tcW w:w="679" w:type="dxa"/>
          </w:tcPr>
          <w:p>
            <w:pPr>
              <w:pStyle w:val="TableParagraph"/>
              <w:spacing w:before="128"/>
              <w:ind w:left="17" w:right="9"/>
              <w:jc w:val="center"/>
              <w:rPr>
                <w:sz w:val="16"/>
              </w:rPr>
            </w:pPr>
            <w:r>
              <w:rPr>
                <w:spacing w:val="-2"/>
                <w:sz w:val="16"/>
              </w:rPr>
              <w:t>64.10%</w:t>
            </w:r>
          </w:p>
        </w:tc>
        <w:tc>
          <w:tcPr>
            <w:tcW w:w="679" w:type="dxa"/>
          </w:tcPr>
          <w:p>
            <w:pPr>
              <w:pStyle w:val="TableParagraph"/>
              <w:spacing w:before="128"/>
              <w:ind w:left="17" w:right="9"/>
              <w:jc w:val="center"/>
              <w:rPr>
                <w:sz w:val="16"/>
              </w:rPr>
            </w:pPr>
            <w:r>
              <w:rPr>
                <w:spacing w:val="-2"/>
                <w:sz w:val="16"/>
              </w:rPr>
              <w:t>60.17%</w:t>
            </w:r>
          </w:p>
        </w:tc>
        <w:tc>
          <w:tcPr>
            <w:tcW w:w="679" w:type="dxa"/>
          </w:tcPr>
          <w:p>
            <w:pPr>
              <w:pStyle w:val="TableParagraph"/>
              <w:spacing w:before="128"/>
              <w:ind w:left="17" w:right="8"/>
              <w:jc w:val="center"/>
              <w:rPr>
                <w:sz w:val="16"/>
              </w:rPr>
            </w:pPr>
            <w:r>
              <w:rPr>
                <w:spacing w:val="-2"/>
                <w:sz w:val="16"/>
              </w:rPr>
              <w:t>64.10%</w:t>
            </w:r>
          </w:p>
        </w:tc>
        <w:tc>
          <w:tcPr>
            <w:tcW w:w="679" w:type="dxa"/>
          </w:tcPr>
          <w:p>
            <w:pPr>
              <w:pStyle w:val="TableParagraph"/>
              <w:spacing w:before="128"/>
              <w:ind w:left="17" w:right="8"/>
              <w:jc w:val="center"/>
              <w:rPr>
                <w:sz w:val="16"/>
              </w:rPr>
            </w:pPr>
            <w:r>
              <w:rPr>
                <w:spacing w:val="-2"/>
                <w:sz w:val="16"/>
              </w:rPr>
              <w:t>70.24%</w:t>
            </w:r>
          </w:p>
        </w:tc>
        <w:tc>
          <w:tcPr>
            <w:tcW w:w="679" w:type="dxa"/>
          </w:tcPr>
          <w:p>
            <w:pPr>
              <w:pStyle w:val="TableParagraph"/>
              <w:spacing w:before="128"/>
              <w:ind w:left="17" w:right="7"/>
              <w:jc w:val="center"/>
              <w:rPr>
                <w:sz w:val="16"/>
              </w:rPr>
            </w:pPr>
            <w:r>
              <w:rPr>
                <w:spacing w:val="-2"/>
                <w:sz w:val="16"/>
              </w:rPr>
              <w:t>65.56%</w:t>
            </w:r>
          </w:p>
        </w:tc>
        <w:tc>
          <w:tcPr>
            <w:tcW w:w="679" w:type="dxa"/>
          </w:tcPr>
          <w:p>
            <w:pPr>
              <w:pStyle w:val="TableParagraph"/>
              <w:spacing w:before="128"/>
              <w:ind w:left="17" w:right="11"/>
              <w:jc w:val="center"/>
              <w:rPr>
                <w:sz w:val="16"/>
              </w:rPr>
            </w:pPr>
            <w:r>
              <w:rPr>
                <w:spacing w:val="-2"/>
                <w:sz w:val="16"/>
              </w:rPr>
              <w:t>74.96%</w:t>
            </w:r>
          </w:p>
        </w:tc>
        <w:tc>
          <w:tcPr>
            <w:tcW w:w="677" w:type="dxa"/>
          </w:tcPr>
          <w:p>
            <w:pPr>
              <w:pStyle w:val="TableParagraph"/>
              <w:spacing w:before="128"/>
              <w:ind w:left="15" w:right="7"/>
              <w:jc w:val="center"/>
              <w:rPr>
                <w:sz w:val="16"/>
              </w:rPr>
            </w:pPr>
            <w:r>
              <w:rPr>
                <w:spacing w:val="-2"/>
                <w:sz w:val="16"/>
              </w:rPr>
              <w:t>69.07%</w:t>
            </w:r>
          </w:p>
        </w:tc>
        <w:tc>
          <w:tcPr>
            <w:tcW w:w="680" w:type="dxa"/>
          </w:tcPr>
          <w:p>
            <w:pPr>
              <w:pStyle w:val="TableParagraph"/>
              <w:spacing w:before="128"/>
              <w:ind w:left="17" w:right="7"/>
              <w:jc w:val="center"/>
              <w:rPr>
                <w:sz w:val="16"/>
              </w:rPr>
            </w:pPr>
            <w:r>
              <w:rPr>
                <w:spacing w:val="-2"/>
                <w:sz w:val="16"/>
              </w:rPr>
              <w:t>79.17%</w:t>
            </w:r>
          </w:p>
        </w:tc>
        <w:tc>
          <w:tcPr>
            <w:tcW w:w="679" w:type="dxa"/>
          </w:tcPr>
          <w:p>
            <w:pPr>
              <w:pStyle w:val="TableParagraph"/>
              <w:spacing w:before="128"/>
              <w:ind w:left="17" w:right="7"/>
              <w:jc w:val="center"/>
              <w:rPr>
                <w:sz w:val="16"/>
              </w:rPr>
            </w:pPr>
            <w:r>
              <w:rPr>
                <w:spacing w:val="-2"/>
                <w:sz w:val="16"/>
              </w:rPr>
              <w:t>70.39%</w:t>
            </w:r>
          </w:p>
        </w:tc>
      </w:tr>
      <w:tr>
        <w:trPr>
          <w:trHeight w:val="569" w:hRule="atLeast"/>
        </w:trPr>
        <w:tc>
          <w:tcPr>
            <w:tcW w:w="967" w:type="dxa"/>
            <w:shd w:val="clear" w:color="auto" w:fill="44536A"/>
          </w:tcPr>
          <w:p>
            <w:pPr>
              <w:pStyle w:val="TableParagraph"/>
              <w:spacing w:line="240" w:lineRule="atLeast" w:before="31"/>
              <w:ind w:left="69"/>
              <w:rPr>
                <w:sz w:val="18"/>
              </w:rPr>
            </w:pPr>
            <w:r>
              <w:rPr>
                <w:color w:val="FFFFFF"/>
                <w:spacing w:val="-4"/>
                <w:w w:val="105"/>
                <w:sz w:val="18"/>
              </w:rPr>
              <w:t>Valor </w:t>
            </w:r>
            <w:r>
              <w:rPr>
                <w:color w:val="FFFFFF"/>
                <w:spacing w:val="-2"/>
                <w:w w:val="105"/>
                <w:sz w:val="18"/>
              </w:rPr>
              <w:t>reportado</w:t>
            </w:r>
          </w:p>
        </w:tc>
        <w:tc>
          <w:tcPr>
            <w:tcW w:w="739" w:type="dxa"/>
            <w:shd w:val="clear" w:color="auto" w:fill="C8C8C8"/>
          </w:tcPr>
          <w:p>
            <w:pPr>
              <w:pStyle w:val="TableParagraph"/>
              <w:rPr>
                <w:rFonts w:ascii="Times New Roman"/>
                <w:sz w:val="18"/>
              </w:rPr>
            </w:pPr>
          </w:p>
        </w:tc>
        <w:tc>
          <w:tcPr>
            <w:tcW w:w="682" w:type="dxa"/>
          </w:tcPr>
          <w:p>
            <w:pPr>
              <w:pStyle w:val="TableParagraph"/>
              <w:spacing w:before="11"/>
              <w:rPr>
                <w:sz w:val="16"/>
              </w:rPr>
            </w:pPr>
          </w:p>
          <w:p>
            <w:pPr>
              <w:pStyle w:val="TableParagraph"/>
              <w:spacing w:before="1"/>
              <w:ind w:left="9" w:right="4"/>
              <w:jc w:val="center"/>
              <w:rPr>
                <w:sz w:val="16"/>
              </w:rPr>
            </w:pPr>
            <w:r>
              <w:rPr>
                <w:spacing w:val="-2"/>
                <w:sz w:val="16"/>
              </w:rPr>
              <w:t>32.21%</w:t>
            </w:r>
          </w:p>
        </w:tc>
        <w:tc>
          <w:tcPr>
            <w:tcW w:w="679" w:type="dxa"/>
          </w:tcPr>
          <w:p>
            <w:pPr>
              <w:pStyle w:val="TableParagraph"/>
              <w:spacing w:before="11"/>
              <w:rPr>
                <w:sz w:val="16"/>
              </w:rPr>
            </w:pPr>
          </w:p>
          <w:p>
            <w:pPr>
              <w:pStyle w:val="TableParagraph"/>
              <w:spacing w:before="1"/>
              <w:ind w:left="17" w:right="9"/>
              <w:jc w:val="center"/>
              <w:rPr>
                <w:sz w:val="16"/>
              </w:rPr>
            </w:pPr>
            <w:r>
              <w:rPr>
                <w:spacing w:val="-2"/>
                <w:sz w:val="16"/>
              </w:rPr>
              <w:t>37.81%</w:t>
            </w:r>
          </w:p>
        </w:tc>
        <w:tc>
          <w:tcPr>
            <w:tcW w:w="679" w:type="dxa"/>
          </w:tcPr>
          <w:p>
            <w:pPr>
              <w:pStyle w:val="TableParagraph"/>
              <w:spacing w:before="11"/>
              <w:rPr>
                <w:sz w:val="16"/>
              </w:rPr>
            </w:pPr>
          </w:p>
          <w:p>
            <w:pPr>
              <w:pStyle w:val="TableParagraph"/>
              <w:spacing w:before="1"/>
              <w:ind w:left="17" w:right="9"/>
              <w:jc w:val="center"/>
              <w:rPr>
                <w:sz w:val="16"/>
              </w:rPr>
            </w:pPr>
            <w:r>
              <w:rPr>
                <w:spacing w:val="-2"/>
                <w:sz w:val="16"/>
              </w:rPr>
              <w:t>34.80%</w:t>
            </w:r>
          </w:p>
        </w:tc>
        <w:tc>
          <w:tcPr>
            <w:tcW w:w="679"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c>
          <w:tcPr>
            <w:tcW w:w="677" w:type="dxa"/>
            <w:shd w:val="clear" w:color="auto" w:fill="C8C8C8"/>
          </w:tcPr>
          <w:p>
            <w:pPr>
              <w:pStyle w:val="TableParagraph"/>
              <w:rPr>
                <w:rFonts w:ascii="Times New Roman"/>
                <w:sz w:val="18"/>
              </w:rPr>
            </w:pPr>
          </w:p>
        </w:tc>
        <w:tc>
          <w:tcPr>
            <w:tcW w:w="680"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r>
      <w:tr>
        <w:trPr>
          <w:trHeight w:val="570" w:hRule="atLeast"/>
        </w:trPr>
        <w:tc>
          <w:tcPr>
            <w:tcW w:w="967" w:type="dxa"/>
            <w:shd w:val="clear" w:color="auto" w:fill="44536A"/>
          </w:tcPr>
          <w:p>
            <w:pPr>
              <w:pStyle w:val="TableParagraph"/>
              <w:spacing w:line="240" w:lineRule="atLeast" w:before="30"/>
              <w:ind w:left="69" w:right="230"/>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39" w:type="dxa"/>
            <w:shd w:val="clear" w:color="auto" w:fill="C8C8C8"/>
          </w:tcPr>
          <w:p>
            <w:pPr>
              <w:pStyle w:val="TableParagraph"/>
              <w:rPr>
                <w:rFonts w:ascii="Times New Roman"/>
                <w:sz w:val="18"/>
              </w:rPr>
            </w:pPr>
          </w:p>
        </w:tc>
        <w:tc>
          <w:tcPr>
            <w:tcW w:w="682" w:type="dxa"/>
          </w:tcPr>
          <w:p>
            <w:pPr>
              <w:pStyle w:val="TableParagraph"/>
              <w:rPr>
                <w:rFonts w:ascii="Times New Roman"/>
                <w:sz w:val="18"/>
              </w:rPr>
            </w:pPr>
          </w:p>
        </w:tc>
        <w:tc>
          <w:tcPr>
            <w:tcW w:w="679" w:type="dxa"/>
          </w:tcPr>
          <w:p>
            <w:pPr>
              <w:pStyle w:val="TableParagraph"/>
              <w:spacing w:before="13"/>
              <w:rPr>
                <w:sz w:val="16"/>
              </w:rPr>
            </w:pPr>
          </w:p>
          <w:p>
            <w:pPr>
              <w:pStyle w:val="TableParagraph"/>
              <w:ind w:left="17" w:right="9"/>
              <w:jc w:val="center"/>
              <w:rPr>
                <w:sz w:val="16"/>
              </w:rPr>
            </w:pPr>
            <w:r>
              <w:rPr>
                <w:spacing w:val="-2"/>
                <w:sz w:val="16"/>
              </w:rPr>
              <w:t>58.99%</w:t>
            </w:r>
          </w:p>
        </w:tc>
        <w:tc>
          <w:tcPr>
            <w:tcW w:w="679" w:type="dxa"/>
          </w:tcPr>
          <w:p>
            <w:pPr>
              <w:pStyle w:val="TableParagraph"/>
              <w:spacing w:before="13"/>
              <w:rPr>
                <w:sz w:val="16"/>
              </w:rPr>
            </w:pPr>
          </w:p>
          <w:p>
            <w:pPr>
              <w:pStyle w:val="TableParagraph"/>
              <w:ind w:left="17" w:right="9"/>
              <w:jc w:val="center"/>
              <w:rPr>
                <w:sz w:val="16"/>
              </w:rPr>
            </w:pPr>
            <w:r>
              <w:rPr>
                <w:spacing w:val="-2"/>
                <w:sz w:val="16"/>
              </w:rPr>
              <w:t>57.84%</w:t>
            </w:r>
          </w:p>
        </w:tc>
        <w:tc>
          <w:tcPr>
            <w:tcW w:w="679"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c>
          <w:tcPr>
            <w:tcW w:w="677" w:type="dxa"/>
            <w:shd w:val="clear" w:color="auto" w:fill="C8C8C8"/>
          </w:tcPr>
          <w:p>
            <w:pPr>
              <w:pStyle w:val="TableParagraph"/>
              <w:rPr>
                <w:rFonts w:ascii="Times New Roman"/>
                <w:sz w:val="18"/>
              </w:rPr>
            </w:pPr>
          </w:p>
        </w:tc>
        <w:tc>
          <w:tcPr>
            <w:tcW w:w="680" w:type="dxa"/>
            <w:shd w:val="clear" w:color="auto" w:fill="C8C8C8"/>
          </w:tcPr>
          <w:p>
            <w:pPr>
              <w:pStyle w:val="TableParagraph"/>
              <w:rPr>
                <w:rFonts w:ascii="Times New Roman"/>
                <w:sz w:val="18"/>
              </w:rPr>
            </w:pPr>
          </w:p>
        </w:tc>
        <w:tc>
          <w:tcPr>
            <w:tcW w:w="679" w:type="dxa"/>
            <w:shd w:val="clear" w:color="auto" w:fill="C8C8C8"/>
          </w:tcPr>
          <w:p>
            <w:pPr>
              <w:pStyle w:val="TableParagraph"/>
              <w:rPr>
                <w:rFonts w:ascii="Times New Roman"/>
                <w:sz w:val="18"/>
              </w:rPr>
            </w:pPr>
          </w:p>
        </w:tc>
      </w:tr>
    </w:tbl>
    <w:p>
      <w:pPr>
        <w:pStyle w:val="BodyText"/>
        <w:rPr>
          <w:sz w:val="22"/>
        </w:rPr>
      </w:pPr>
    </w:p>
    <w:p>
      <w:pPr>
        <w:pStyle w:val="BodyText"/>
        <w:spacing w:before="236"/>
        <w:rPr>
          <w:sz w:val="22"/>
        </w:rPr>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ListParagraph"/>
        <w:spacing w:after="0" w:line="240" w:lineRule="auto"/>
        <w:jc w:val="left"/>
        <w:rPr>
          <w:rFonts w:ascii="Arial" w:hAnsi="Arial"/>
          <w:i/>
          <w:sz w:val="24"/>
        </w:rPr>
        <w:sectPr>
          <w:pgSz w:w="11910" w:h="16840"/>
          <w:pgMar w:header="713" w:footer="1000" w:top="1420" w:bottom="1200" w:left="1559" w:right="992"/>
        </w:sectPr>
      </w:pPr>
    </w:p>
    <w:p>
      <w:pPr>
        <w:pStyle w:val="BodyText"/>
        <w:spacing w:line="307" w:lineRule="auto" w:before="123"/>
        <w:ind w:left="143" w:right="705"/>
        <w:jc w:val="both"/>
      </w:pPr>
      <w:r>
        <w:rPr>
          <w:w w:val="105"/>
        </w:rPr>
        <w:t>Al</w:t>
      </w:r>
      <w:r>
        <w:rPr>
          <w:w w:val="105"/>
        </w:rPr>
        <w:t> analizar</w:t>
      </w:r>
      <w:r>
        <w:rPr>
          <w:w w:val="105"/>
        </w:rPr>
        <w:t> el</w:t>
      </w:r>
      <w:r>
        <w:rPr>
          <w:w w:val="105"/>
        </w:rPr>
        <w:t> comportamiento</w:t>
      </w:r>
      <w:r>
        <w:rPr>
          <w:w w:val="105"/>
        </w:rPr>
        <w:t> histórico</w:t>
      </w:r>
      <w:r>
        <w:rPr>
          <w:w w:val="105"/>
        </w:rPr>
        <w:t> del</w:t>
      </w:r>
      <w:r>
        <w:rPr>
          <w:w w:val="105"/>
        </w:rPr>
        <w:t> indicador</w:t>
      </w:r>
      <w:r>
        <w:rPr>
          <w:w w:val="105"/>
        </w:rPr>
        <w:t> de</w:t>
      </w:r>
      <w:r>
        <w:rPr>
          <w:w w:val="105"/>
        </w:rPr>
        <w:t> calidad,</w:t>
      </w:r>
      <w:r>
        <w:rPr>
          <w:w w:val="105"/>
        </w:rPr>
        <w:t> se</w:t>
      </w:r>
      <w:r>
        <w:rPr>
          <w:w w:val="105"/>
        </w:rPr>
        <w:t> puede observar que el porcentaje</w:t>
      </w:r>
      <w:r>
        <w:rPr>
          <w:spacing w:val="-1"/>
          <w:w w:val="105"/>
        </w:rPr>
        <w:t> </w:t>
      </w:r>
      <w:r>
        <w:rPr>
          <w:w w:val="105"/>
        </w:rPr>
        <w:t>de mujeres que</w:t>
      </w:r>
      <w:r>
        <w:rPr>
          <w:spacing w:val="-1"/>
          <w:w w:val="105"/>
        </w:rPr>
        <w:t> </w:t>
      </w:r>
      <w:r>
        <w:rPr>
          <w:w w:val="105"/>
        </w:rPr>
        <w:t>han recibido el 80%</w:t>
      </w:r>
      <w:r>
        <w:rPr>
          <w:spacing w:val="-1"/>
          <w:w w:val="105"/>
        </w:rPr>
        <w:t> </w:t>
      </w:r>
      <w:r>
        <w:rPr>
          <w:w w:val="105"/>
        </w:rPr>
        <w:t>del paquete completo</w:t>
      </w:r>
      <w:r>
        <w:rPr>
          <w:spacing w:val="-17"/>
          <w:w w:val="105"/>
        </w:rPr>
        <w:t> </w:t>
      </w:r>
      <w:r>
        <w:rPr>
          <w:w w:val="105"/>
        </w:rPr>
        <w:t>se</w:t>
      </w:r>
      <w:r>
        <w:rPr>
          <w:spacing w:val="-16"/>
          <w:w w:val="105"/>
        </w:rPr>
        <w:t> </w:t>
      </w:r>
      <w:r>
        <w:rPr>
          <w:w w:val="105"/>
        </w:rPr>
        <w:t>ha</w:t>
      </w:r>
      <w:r>
        <w:rPr>
          <w:spacing w:val="-16"/>
          <w:w w:val="105"/>
        </w:rPr>
        <w:t> </w:t>
      </w:r>
      <w:r>
        <w:rPr>
          <w:w w:val="105"/>
        </w:rPr>
        <w:t>mantenido</w:t>
      </w:r>
      <w:r>
        <w:rPr>
          <w:spacing w:val="-16"/>
          <w:w w:val="105"/>
        </w:rPr>
        <w:t> </w:t>
      </w:r>
      <w:r>
        <w:rPr>
          <w:w w:val="105"/>
        </w:rPr>
        <w:t>por</w:t>
      </w:r>
      <w:r>
        <w:rPr>
          <w:spacing w:val="-16"/>
          <w:w w:val="105"/>
        </w:rPr>
        <w:t> </w:t>
      </w:r>
      <w:r>
        <w:rPr>
          <w:w w:val="105"/>
        </w:rPr>
        <w:t>debajo</w:t>
      </w:r>
      <w:r>
        <w:rPr>
          <w:spacing w:val="-17"/>
          <w:w w:val="105"/>
        </w:rPr>
        <w:t> </w:t>
      </w:r>
      <w:r>
        <w:rPr>
          <w:w w:val="105"/>
        </w:rPr>
        <w:t>del</w:t>
      </w:r>
      <w:r>
        <w:rPr>
          <w:spacing w:val="-16"/>
          <w:w w:val="105"/>
        </w:rPr>
        <w:t> </w:t>
      </w:r>
      <w:r>
        <w:rPr>
          <w:w w:val="105"/>
        </w:rPr>
        <w:t>38%</w:t>
      </w:r>
      <w:r>
        <w:rPr>
          <w:spacing w:val="-16"/>
          <w:w w:val="105"/>
        </w:rPr>
        <w:t> </w:t>
      </w:r>
      <w:r>
        <w:rPr>
          <w:w w:val="105"/>
        </w:rPr>
        <w:t>durante</w:t>
      </w:r>
      <w:r>
        <w:rPr>
          <w:spacing w:val="-16"/>
          <w:w w:val="105"/>
        </w:rPr>
        <w:t> </w:t>
      </w:r>
      <w:r>
        <w:rPr>
          <w:w w:val="105"/>
        </w:rPr>
        <w:t>el</w:t>
      </w:r>
      <w:r>
        <w:rPr>
          <w:spacing w:val="-16"/>
          <w:w w:val="105"/>
        </w:rPr>
        <w:t> </w:t>
      </w:r>
      <w:r>
        <w:rPr>
          <w:w w:val="105"/>
        </w:rPr>
        <w:t>periodo</w:t>
      </w:r>
      <w:r>
        <w:rPr>
          <w:spacing w:val="-17"/>
          <w:w w:val="105"/>
        </w:rPr>
        <w:t> </w:t>
      </w:r>
      <w:r>
        <w:rPr>
          <w:w w:val="105"/>
        </w:rPr>
        <w:t>2021-2023, porcentaje</w:t>
      </w:r>
      <w:r>
        <w:rPr>
          <w:spacing w:val="-8"/>
          <w:w w:val="105"/>
        </w:rPr>
        <w:t> </w:t>
      </w:r>
      <w:r>
        <w:rPr>
          <w:w w:val="105"/>
        </w:rPr>
        <w:t>inferior</w:t>
      </w:r>
      <w:r>
        <w:rPr>
          <w:spacing w:val="-8"/>
          <w:w w:val="105"/>
        </w:rPr>
        <w:t> </w:t>
      </w:r>
      <w:r>
        <w:rPr>
          <w:w w:val="105"/>
        </w:rPr>
        <w:t>al</w:t>
      </w:r>
      <w:r>
        <w:rPr>
          <w:spacing w:val="-7"/>
          <w:w w:val="105"/>
        </w:rPr>
        <w:t> </w:t>
      </w:r>
      <w:r>
        <w:rPr>
          <w:w w:val="105"/>
        </w:rPr>
        <w:t>programado</w:t>
      </w:r>
      <w:r>
        <w:rPr>
          <w:spacing w:val="-6"/>
          <w:w w:val="105"/>
        </w:rPr>
        <w:t> </w:t>
      </w:r>
      <w:r>
        <w:rPr>
          <w:w w:val="105"/>
        </w:rPr>
        <w:t>en</w:t>
      </w:r>
      <w:r>
        <w:rPr>
          <w:spacing w:val="-8"/>
          <w:w w:val="105"/>
        </w:rPr>
        <w:t> </w:t>
      </w:r>
      <w:r>
        <w:rPr>
          <w:w w:val="105"/>
        </w:rPr>
        <w:t>las</w:t>
      </w:r>
      <w:r>
        <w:rPr>
          <w:spacing w:val="-7"/>
          <w:w w:val="105"/>
        </w:rPr>
        <w:t> </w:t>
      </w:r>
      <w:r>
        <w:rPr>
          <w:w w:val="105"/>
        </w:rPr>
        <w:t>metas</w:t>
      </w:r>
      <w:r>
        <w:rPr>
          <w:spacing w:val="-7"/>
          <w:w w:val="105"/>
        </w:rPr>
        <w:t> </w:t>
      </w:r>
      <w:r>
        <w:rPr>
          <w:w w:val="105"/>
        </w:rPr>
        <w:t>del</w:t>
      </w:r>
      <w:r>
        <w:rPr>
          <w:spacing w:val="-9"/>
          <w:w w:val="105"/>
        </w:rPr>
        <w:t> </w:t>
      </w:r>
      <w:r>
        <w:rPr>
          <w:w w:val="105"/>
        </w:rPr>
        <w:t>indicador.</w:t>
      </w:r>
    </w:p>
    <w:p>
      <w:pPr>
        <w:pStyle w:val="BodyText"/>
        <w:spacing w:line="307" w:lineRule="auto" w:before="157"/>
        <w:ind w:left="143" w:right="712"/>
        <w:jc w:val="both"/>
      </w:pPr>
      <w:r>
        <w:rPr/>
        <w:t>Al</w:t>
      </w:r>
      <w:r>
        <w:rPr>
          <w:spacing w:val="-11"/>
        </w:rPr>
        <w:t> </w:t>
      </w:r>
      <w:r>
        <w:rPr/>
        <w:t>respecto,</w:t>
      </w:r>
      <w:r>
        <w:rPr>
          <w:spacing w:val="-12"/>
        </w:rPr>
        <w:t> </w:t>
      </w:r>
      <w:r>
        <w:rPr/>
        <w:t>de</w:t>
      </w:r>
      <w:r>
        <w:rPr>
          <w:spacing w:val="-11"/>
        </w:rPr>
        <w:t> </w:t>
      </w:r>
      <w:r>
        <w:rPr/>
        <w:t>la</w:t>
      </w:r>
      <w:r>
        <w:rPr>
          <w:spacing w:val="-11"/>
        </w:rPr>
        <w:t> </w:t>
      </w:r>
      <w:r>
        <w:rPr/>
        <w:t>revisión</w:t>
      </w:r>
      <w:r>
        <w:rPr>
          <w:spacing w:val="-11"/>
        </w:rPr>
        <w:t> </w:t>
      </w:r>
      <w:r>
        <w:rPr/>
        <w:t>realizada</w:t>
      </w:r>
      <w:r>
        <w:rPr>
          <w:spacing w:val="-11"/>
        </w:rPr>
        <w:t> </w:t>
      </w:r>
      <w:r>
        <w:rPr/>
        <w:t>al</w:t>
      </w:r>
      <w:r>
        <w:rPr>
          <w:spacing w:val="-13"/>
        </w:rPr>
        <w:t> </w:t>
      </w:r>
      <w:r>
        <w:rPr/>
        <w:t>protocolo</w:t>
      </w:r>
      <w:r>
        <w:rPr>
          <w:spacing w:val="-11"/>
        </w:rPr>
        <w:t> </w:t>
      </w:r>
      <w:r>
        <w:rPr/>
        <w:t>del</w:t>
      </w:r>
      <w:r>
        <w:rPr>
          <w:spacing w:val="-11"/>
        </w:rPr>
        <w:t> </w:t>
      </w:r>
      <w:r>
        <w:rPr/>
        <w:t>servicio,</w:t>
      </w:r>
      <w:r>
        <w:rPr>
          <w:spacing w:val="-10"/>
        </w:rPr>
        <w:t> </w:t>
      </w:r>
      <w:r>
        <w:rPr/>
        <w:t>se</w:t>
      </w:r>
      <w:r>
        <w:rPr>
          <w:spacing w:val="-11"/>
        </w:rPr>
        <w:t> </w:t>
      </w:r>
      <w:r>
        <w:rPr/>
        <w:t>identifica</w:t>
      </w:r>
      <w:r>
        <w:rPr>
          <w:spacing w:val="-11"/>
        </w:rPr>
        <w:t> </w:t>
      </w:r>
      <w:r>
        <w:rPr/>
        <w:t>que</w:t>
      </w:r>
      <w:r>
        <w:rPr>
          <w:spacing w:val="-13"/>
        </w:rPr>
        <w:t> </w:t>
      </w:r>
      <w:r>
        <w:rPr/>
        <w:t>los paquetes</w:t>
      </w:r>
      <w:r>
        <w:rPr>
          <w:spacing w:val="-8"/>
        </w:rPr>
        <w:t> </w:t>
      </w:r>
      <w:r>
        <w:rPr/>
        <w:t>otorgados</w:t>
      </w:r>
      <w:r>
        <w:rPr>
          <w:spacing w:val="-4"/>
        </w:rPr>
        <w:t> </w:t>
      </w:r>
      <w:r>
        <w:rPr/>
        <w:t>por</w:t>
      </w:r>
      <w:r>
        <w:rPr>
          <w:spacing w:val="-5"/>
        </w:rPr>
        <w:t> </w:t>
      </w:r>
      <w:r>
        <w:rPr/>
        <w:t>el</w:t>
      </w:r>
      <w:r>
        <w:rPr>
          <w:spacing w:val="-8"/>
        </w:rPr>
        <w:t> </w:t>
      </w:r>
      <w:r>
        <w:rPr/>
        <w:t>servicio</w:t>
      </w:r>
      <w:r>
        <w:rPr>
          <w:spacing w:val="-4"/>
        </w:rPr>
        <w:t> </w:t>
      </w:r>
      <w:r>
        <w:rPr/>
        <w:t>son</w:t>
      </w:r>
      <w:r>
        <w:rPr>
          <w:spacing w:val="-5"/>
        </w:rPr>
        <w:t> </w:t>
      </w:r>
      <w:r>
        <w:rPr/>
        <w:t>tres</w:t>
      </w:r>
      <w:r>
        <w:rPr>
          <w:spacing w:val="-4"/>
        </w:rPr>
        <w:t> </w:t>
      </w:r>
      <w:r>
        <w:rPr/>
        <w:t>y</w:t>
      </w:r>
      <w:r>
        <w:rPr>
          <w:spacing w:val="-8"/>
        </w:rPr>
        <w:t> </w:t>
      </w:r>
      <w:r>
        <w:rPr/>
        <w:t>cada</w:t>
      </w:r>
      <w:r>
        <w:rPr>
          <w:spacing w:val="-5"/>
        </w:rPr>
        <w:t> </w:t>
      </w:r>
      <w:r>
        <w:rPr/>
        <w:t>uno</w:t>
      </w:r>
      <w:r>
        <w:rPr>
          <w:spacing w:val="-4"/>
        </w:rPr>
        <w:t> </w:t>
      </w:r>
      <w:r>
        <w:rPr/>
        <w:t>tiene</w:t>
      </w:r>
      <w:r>
        <w:rPr>
          <w:spacing w:val="-5"/>
        </w:rPr>
        <w:t> </w:t>
      </w:r>
      <w:r>
        <w:rPr/>
        <w:t>diferentes</w:t>
      </w:r>
      <w:r>
        <w:rPr>
          <w:spacing w:val="-8"/>
        </w:rPr>
        <w:t> </w:t>
      </w:r>
      <w:r>
        <w:rPr/>
        <w:t>periodos de implementación:</w:t>
      </w:r>
    </w:p>
    <w:p>
      <w:pPr>
        <w:pStyle w:val="ListParagraph"/>
        <w:numPr>
          <w:ilvl w:val="0"/>
          <w:numId w:val="14"/>
        </w:numPr>
        <w:tabs>
          <w:tab w:pos="861" w:val="left" w:leader="none"/>
        </w:tabs>
        <w:spacing w:line="240" w:lineRule="auto" w:before="159" w:after="0"/>
        <w:ind w:left="861" w:right="0" w:hanging="359"/>
        <w:jc w:val="both"/>
        <w:rPr>
          <w:sz w:val="24"/>
        </w:rPr>
      </w:pPr>
      <w:r>
        <w:rPr>
          <w:sz w:val="24"/>
        </w:rPr>
        <w:t>Acompañamiento básico:</w:t>
      </w:r>
      <w:r>
        <w:rPr>
          <w:spacing w:val="6"/>
          <w:sz w:val="24"/>
        </w:rPr>
        <w:t> </w:t>
      </w:r>
      <w:r>
        <w:rPr>
          <w:sz w:val="24"/>
        </w:rPr>
        <w:t>48</w:t>
      </w:r>
      <w:r>
        <w:rPr>
          <w:spacing w:val="2"/>
          <w:sz w:val="24"/>
        </w:rPr>
        <w:t> </w:t>
      </w:r>
      <w:r>
        <w:rPr>
          <w:sz w:val="24"/>
        </w:rPr>
        <w:t>visitas</w:t>
      </w:r>
      <w:r>
        <w:rPr>
          <w:spacing w:val="3"/>
          <w:sz w:val="24"/>
        </w:rPr>
        <w:t> </w:t>
      </w:r>
      <w:r>
        <w:rPr>
          <w:sz w:val="24"/>
        </w:rPr>
        <w:t>en</w:t>
      </w:r>
      <w:r>
        <w:rPr>
          <w:spacing w:val="2"/>
          <w:sz w:val="24"/>
        </w:rPr>
        <w:t> </w:t>
      </w:r>
      <w:r>
        <w:rPr>
          <w:sz w:val="24"/>
        </w:rPr>
        <w:t>un</w:t>
      </w:r>
      <w:r>
        <w:rPr>
          <w:spacing w:val="-1"/>
          <w:sz w:val="24"/>
        </w:rPr>
        <w:t> </w:t>
      </w:r>
      <w:r>
        <w:rPr>
          <w:sz w:val="24"/>
        </w:rPr>
        <w:t>periodo</w:t>
      </w:r>
      <w:r>
        <w:rPr>
          <w:spacing w:val="3"/>
          <w:sz w:val="24"/>
        </w:rPr>
        <w:t> </w:t>
      </w:r>
      <w:r>
        <w:rPr>
          <w:sz w:val="24"/>
        </w:rPr>
        <w:t>de</w:t>
      </w:r>
      <w:r>
        <w:rPr>
          <w:spacing w:val="5"/>
          <w:sz w:val="24"/>
        </w:rPr>
        <w:t> </w:t>
      </w:r>
      <w:r>
        <w:rPr>
          <w:sz w:val="24"/>
        </w:rPr>
        <w:t>12</w:t>
      </w:r>
      <w:r>
        <w:rPr>
          <w:spacing w:val="2"/>
          <w:sz w:val="24"/>
        </w:rPr>
        <w:t> </w:t>
      </w:r>
      <w:r>
        <w:rPr>
          <w:spacing w:val="-2"/>
          <w:sz w:val="24"/>
        </w:rPr>
        <w:t>meses</w:t>
      </w:r>
    </w:p>
    <w:p>
      <w:pPr>
        <w:pStyle w:val="ListParagraph"/>
        <w:numPr>
          <w:ilvl w:val="0"/>
          <w:numId w:val="14"/>
        </w:numPr>
        <w:tabs>
          <w:tab w:pos="862" w:val="left" w:leader="none"/>
        </w:tabs>
        <w:spacing w:line="307" w:lineRule="auto" w:before="77" w:after="0"/>
        <w:ind w:left="862" w:right="709" w:hanging="360"/>
        <w:jc w:val="both"/>
        <w:rPr>
          <w:sz w:val="24"/>
        </w:rPr>
      </w:pPr>
      <w:r>
        <w:rPr>
          <w:sz w:val="24"/>
        </w:rPr>
        <w:t>Acompañamiento especializado: 26 sesiones en un periodo de ocho </w:t>
      </w:r>
      <w:r>
        <w:rPr>
          <w:spacing w:val="-2"/>
          <w:sz w:val="24"/>
        </w:rPr>
        <w:t>meses</w:t>
      </w:r>
    </w:p>
    <w:p>
      <w:pPr>
        <w:pStyle w:val="ListParagraph"/>
        <w:numPr>
          <w:ilvl w:val="0"/>
          <w:numId w:val="14"/>
        </w:numPr>
        <w:tabs>
          <w:tab w:pos="862" w:val="left" w:leader="none"/>
        </w:tabs>
        <w:spacing w:line="307" w:lineRule="auto" w:before="0" w:after="0"/>
        <w:ind w:left="862" w:right="705" w:hanging="360"/>
        <w:jc w:val="both"/>
        <w:rPr>
          <w:sz w:val="24"/>
        </w:rPr>
      </w:pPr>
      <w:r>
        <w:rPr>
          <w:sz w:val="24"/>
        </w:rPr>
        <w:t>Empoderamiento: cuenta con un paquete de 5 módulos:</w:t>
      </w:r>
      <w:r>
        <w:rPr>
          <w:spacing w:val="40"/>
          <w:sz w:val="24"/>
        </w:rPr>
        <w:t> </w:t>
      </w:r>
      <w:r>
        <w:rPr>
          <w:sz w:val="24"/>
        </w:rPr>
        <w:t>i) habilidades para</w:t>
      </w:r>
      <w:r>
        <w:rPr>
          <w:spacing w:val="-17"/>
          <w:sz w:val="24"/>
        </w:rPr>
        <w:t> </w:t>
      </w:r>
      <w:r>
        <w:rPr>
          <w:sz w:val="24"/>
        </w:rPr>
        <w:t>la</w:t>
      </w:r>
      <w:r>
        <w:rPr>
          <w:spacing w:val="-17"/>
          <w:sz w:val="24"/>
        </w:rPr>
        <w:t> </w:t>
      </w:r>
      <w:r>
        <w:rPr>
          <w:sz w:val="24"/>
        </w:rPr>
        <w:t>vida,</w:t>
      </w:r>
      <w:r>
        <w:rPr>
          <w:spacing w:val="-16"/>
          <w:sz w:val="24"/>
        </w:rPr>
        <w:t> </w:t>
      </w:r>
      <w:r>
        <w:rPr>
          <w:sz w:val="24"/>
        </w:rPr>
        <w:t>ii)</w:t>
      </w:r>
      <w:r>
        <w:rPr>
          <w:spacing w:val="-17"/>
          <w:sz w:val="24"/>
        </w:rPr>
        <w:t> </w:t>
      </w:r>
      <w:r>
        <w:rPr>
          <w:sz w:val="24"/>
        </w:rPr>
        <w:t>habilidades</w:t>
      </w:r>
      <w:r>
        <w:rPr>
          <w:spacing w:val="-17"/>
          <w:sz w:val="24"/>
        </w:rPr>
        <w:t> </w:t>
      </w:r>
      <w:r>
        <w:rPr>
          <w:sz w:val="24"/>
        </w:rPr>
        <w:t>vocacionales,</w:t>
      </w:r>
      <w:r>
        <w:rPr>
          <w:spacing w:val="-17"/>
          <w:sz w:val="24"/>
        </w:rPr>
        <w:t> </w:t>
      </w:r>
      <w:r>
        <w:rPr>
          <w:sz w:val="24"/>
        </w:rPr>
        <w:t>iii)</w:t>
      </w:r>
      <w:r>
        <w:rPr>
          <w:spacing w:val="-16"/>
          <w:sz w:val="24"/>
        </w:rPr>
        <w:t> </w:t>
      </w:r>
      <w:r>
        <w:rPr>
          <w:sz w:val="24"/>
        </w:rPr>
        <w:t>finanzas</w:t>
      </w:r>
      <w:r>
        <w:rPr>
          <w:spacing w:val="-17"/>
          <w:sz w:val="24"/>
        </w:rPr>
        <w:t> </w:t>
      </w:r>
      <w:r>
        <w:rPr>
          <w:sz w:val="24"/>
        </w:rPr>
        <w:t>básicas,</w:t>
      </w:r>
      <w:r>
        <w:rPr>
          <w:spacing w:val="-17"/>
          <w:sz w:val="24"/>
        </w:rPr>
        <w:t> </w:t>
      </w:r>
      <w:r>
        <w:rPr>
          <w:sz w:val="24"/>
        </w:rPr>
        <w:t>iv)</w:t>
      </w:r>
      <w:r>
        <w:rPr>
          <w:spacing w:val="-16"/>
          <w:sz w:val="24"/>
        </w:rPr>
        <w:t> </w:t>
      </w:r>
      <w:r>
        <w:rPr>
          <w:sz w:val="24"/>
        </w:rPr>
        <w:t>inserción laboral y v) acompañamiento que se imparten en 53 sesiones y 2 asistencias técnicas durante un periodo de implementación de 3 años.</w:t>
      </w:r>
    </w:p>
    <w:p>
      <w:pPr>
        <w:pStyle w:val="BodyText"/>
        <w:spacing w:line="307" w:lineRule="auto" w:before="156"/>
        <w:ind w:left="143" w:right="705"/>
        <w:jc w:val="both"/>
      </w:pPr>
      <w:r>
        <w:rPr/>
        <w:t>Asimismo, según la información reportada por el servicio, existe dificultades para culminar la implementación del paquete de empoderamiento debido a que tiene un periodo de implementación de 3 años. Además, en algunas ocasiones las personas atendidas por el servicio migran por motivos de estudios o búsqueda de empleo.</w:t>
      </w:r>
    </w:p>
    <w:p>
      <w:pPr>
        <w:pStyle w:val="BodyText"/>
        <w:spacing w:line="307" w:lineRule="auto" w:before="157"/>
        <w:ind w:left="143" w:right="711"/>
        <w:jc w:val="both"/>
      </w:pPr>
      <w:r>
        <w:rPr/>
        <w:t>En ese sentido, es necesario ajustar las especificaciones técnicas del indicador en</w:t>
      </w:r>
      <w:r>
        <w:rPr>
          <w:spacing w:val="-8"/>
        </w:rPr>
        <w:t> </w:t>
      </w:r>
      <w:r>
        <w:rPr/>
        <w:t>función</w:t>
      </w:r>
      <w:r>
        <w:rPr>
          <w:spacing w:val="-8"/>
        </w:rPr>
        <w:t> </w:t>
      </w:r>
      <w:r>
        <w:rPr/>
        <w:t>a</w:t>
      </w:r>
      <w:r>
        <w:rPr>
          <w:spacing w:val="-8"/>
        </w:rPr>
        <w:t> </w:t>
      </w:r>
      <w:r>
        <w:rPr/>
        <w:t>la</w:t>
      </w:r>
      <w:r>
        <w:rPr>
          <w:spacing w:val="-8"/>
        </w:rPr>
        <w:t> </w:t>
      </w:r>
      <w:r>
        <w:rPr/>
        <w:t>temporalidad</w:t>
      </w:r>
      <w:r>
        <w:rPr>
          <w:spacing w:val="-7"/>
        </w:rPr>
        <w:t> </w:t>
      </w:r>
      <w:r>
        <w:rPr/>
        <w:t>de</w:t>
      </w:r>
      <w:r>
        <w:rPr>
          <w:spacing w:val="-8"/>
        </w:rPr>
        <w:t> </w:t>
      </w:r>
      <w:r>
        <w:rPr/>
        <w:t>los</w:t>
      </w:r>
      <w:r>
        <w:rPr>
          <w:spacing w:val="-7"/>
        </w:rPr>
        <w:t> </w:t>
      </w:r>
      <w:r>
        <w:rPr/>
        <w:t>paquetes</w:t>
      </w:r>
      <w:r>
        <w:rPr>
          <w:spacing w:val="-9"/>
        </w:rPr>
        <w:t> </w:t>
      </w:r>
      <w:r>
        <w:rPr/>
        <w:t>del</w:t>
      </w:r>
      <w:r>
        <w:rPr>
          <w:spacing w:val="-7"/>
        </w:rPr>
        <w:t> </w:t>
      </w:r>
      <w:r>
        <w:rPr/>
        <w:t>servicio.</w:t>
      </w:r>
      <w:r>
        <w:rPr>
          <w:spacing w:val="-7"/>
        </w:rPr>
        <w:t> </w:t>
      </w:r>
      <w:r>
        <w:rPr/>
        <w:t>Además,</w:t>
      </w:r>
      <w:r>
        <w:rPr>
          <w:spacing w:val="-9"/>
        </w:rPr>
        <w:t> </w:t>
      </w:r>
      <w:r>
        <w:rPr/>
        <w:t>es</w:t>
      </w:r>
      <w:r>
        <w:rPr>
          <w:spacing w:val="-7"/>
        </w:rPr>
        <w:t> </w:t>
      </w:r>
      <w:r>
        <w:rPr/>
        <w:t>necesario que se implementen medidas para minimizar las interrupciones en el otorgamiento del paquete asi como la deserción de los usuarios.</w:t>
      </w:r>
    </w:p>
    <w:p>
      <w:pPr>
        <w:pStyle w:val="BodyText"/>
      </w:pPr>
    </w:p>
    <w:p>
      <w:pPr>
        <w:pStyle w:val="BodyText"/>
        <w:spacing w:before="120"/>
      </w:pPr>
    </w:p>
    <w:p>
      <w:pPr>
        <w:pStyle w:val="ListParagraph"/>
        <w:numPr>
          <w:ilvl w:val="2"/>
          <w:numId w:val="3"/>
        </w:numPr>
        <w:tabs>
          <w:tab w:pos="1222" w:val="left" w:leader="none"/>
        </w:tabs>
        <w:spacing w:line="307" w:lineRule="auto" w:before="1" w:after="0"/>
        <w:ind w:left="1222" w:right="711" w:hanging="720"/>
        <w:jc w:val="left"/>
        <w:rPr>
          <w:sz w:val="24"/>
        </w:rPr>
      </w:pPr>
      <w:r>
        <w:rPr>
          <w:color w:val="2E5395"/>
          <w:sz w:val="24"/>
        </w:rPr>
        <w:t>Servicio 04.02.02 Formalización de la propiedad de predios urbanos para mujeres.</w:t>
      </w:r>
    </w:p>
    <w:p>
      <w:pPr>
        <w:pStyle w:val="BodyText"/>
        <w:spacing w:before="171"/>
      </w:pPr>
    </w:p>
    <w:p>
      <w:pPr>
        <w:pStyle w:val="ListParagraph"/>
        <w:numPr>
          <w:ilvl w:val="3"/>
          <w:numId w:val="3"/>
        </w:numPr>
        <w:tabs>
          <w:tab w:pos="862" w:val="left" w:leader="none"/>
        </w:tabs>
        <w:spacing w:line="240" w:lineRule="auto" w:before="1"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before="39"/>
        <w:rPr>
          <w:rFonts w:ascii="Arial"/>
          <w:i/>
        </w:rPr>
      </w:pPr>
    </w:p>
    <w:p>
      <w:pPr>
        <w:pStyle w:val="BodyText"/>
        <w:spacing w:line="307" w:lineRule="auto"/>
        <w:ind w:left="143" w:right="705"/>
        <w:jc w:val="both"/>
      </w:pPr>
      <w:r>
        <w:rPr/>
        <w:t>El servicio consiste en otorgar títulos de propiedad predial jurídicamente seguros a las ciudadanas de escasos recursos que ocupan predios urbanos de propiedad del Estado, a nivel nacional, con el fin de mejorar su calidad de vida, la de sus familias y la de su comunidad, enfrentando el problema de la informalidad en los derechos de propiedad urbana.</w:t>
      </w:r>
    </w:p>
    <w:p>
      <w:pPr>
        <w:pStyle w:val="BodyText"/>
        <w:spacing w:line="307" w:lineRule="auto" w:before="157"/>
        <w:ind w:left="143" w:right="706"/>
        <w:jc w:val="both"/>
      </w:pPr>
      <w:r>
        <w:rPr/>
        <w:t>El responsable de la provisión del servicio es COFOPRI, entidad adscrita al Ministerio</w:t>
      </w:r>
      <w:r>
        <w:rPr>
          <w:spacing w:val="-1"/>
        </w:rPr>
        <w:t> </w:t>
      </w:r>
      <w:r>
        <w:rPr/>
        <w:t>de</w:t>
      </w:r>
      <w:r>
        <w:rPr>
          <w:spacing w:val="-2"/>
        </w:rPr>
        <w:t> </w:t>
      </w:r>
      <w:r>
        <w:rPr/>
        <w:t>Vivienda,</w:t>
      </w:r>
      <w:r>
        <w:rPr>
          <w:spacing w:val="-1"/>
        </w:rPr>
        <w:t> </w:t>
      </w:r>
      <w:r>
        <w:rPr/>
        <w:t>Construcción</w:t>
      </w:r>
      <w:r>
        <w:rPr>
          <w:spacing w:val="-2"/>
        </w:rPr>
        <w:t> </w:t>
      </w:r>
      <w:r>
        <w:rPr/>
        <w:t>y Saneamiento (MVCS). En el</w:t>
      </w:r>
      <w:r>
        <w:rPr>
          <w:spacing w:val="-1"/>
        </w:rPr>
        <w:t> </w:t>
      </w:r>
      <w:r>
        <w:rPr/>
        <w:t>marco de</w:t>
      </w:r>
      <w:r>
        <w:rPr>
          <w:spacing w:val="-2"/>
        </w:rPr>
        <w:t> </w:t>
      </w:r>
      <w:r>
        <w:rPr/>
        <w:t>la</w:t>
      </w:r>
    </w:p>
    <w:p>
      <w:pPr>
        <w:pStyle w:val="BodyText"/>
        <w:spacing w:after="0" w:line="307" w:lineRule="auto"/>
        <w:jc w:val="both"/>
        <w:sectPr>
          <w:pgSz w:w="11910" w:h="16840"/>
          <w:pgMar w:header="713" w:footer="1000" w:top="1420" w:bottom="1200" w:left="1559" w:right="992"/>
        </w:sectPr>
      </w:pPr>
    </w:p>
    <w:p>
      <w:pPr>
        <w:spacing w:line="307" w:lineRule="auto" w:before="123"/>
        <w:ind w:left="143" w:right="707" w:firstLine="0"/>
        <w:jc w:val="both"/>
        <w:rPr>
          <w:rFonts w:ascii="Arial" w:hAnsi="Arial"/>
          <w:i/>
          <w:sz w:val="24"/>
        </w:rPr>
      </w:pPr>
      <w:r>
        <w:rPr>
          <w:sz w:val="24"/>
        </w:rPr>
        <w:t>política, la</w:t>
      </w:r>
      <w:r>
        <w:rPr>
          <w:spacing w:val="-1"/>
          <w:sz w:val="24"/>
        </w:rPr>
        <w:t> </w:t>
      </w:r>
      <w:r>
        <w:rPr>
          <w:sz w:val="24"/>
        </w:rPr>
        <w:t>calidad</w:t>
      </w:r>
      <w:r>
        <w:rPr>
          <w:spacing w:val="-1"/>
          <w:sz w:val="24"/>
        </w:rPr>
        <w:t> </w:t>
      </w:r>
      <w:r>
        <w:rPr>
          <w:sz w:val="24"/>
        </w:rPr>
        <w:t>del</w:t>
      </w:r>
      <w:r>
        <w:rPr>
          <w:spacing w:val="-1"/>
          <w:sz w:val="24"/>
        </w:rPr>
        <w:t> </w:t>
      </w:r>
      <w:r>
        <w:rPr>
          <w:sz w:val="24"/>
        </w:rPr>
        <w:t>servicio</w:t>
      </w:r>
      <w:r>
        <w:rPr>
          <w:spacing w:val="-2"/>
          <w:sz w:val="24"/>
        </w:rPr>
        <w:t> </w:t>
      </w:r>
      <w:r>
        <w:rPr>
          <w:sz w:val="24"/>
        </w:rPr>
        <w:t>se</w:t>
      </w:r>
      <w:r>
        <w:rPr>
          <w:spacing w:val="-1"/>
          <w:sz w:val="24"/>
        </w:rPr>
        <w:t> </w:t>
      </w:r>
      <w:r>
        <w:rPr>
          <w:sz w:val="24"/>
        </w:rPr>
        <w:t>mide</w:t>
      </w:r>
      <w:r>
        <w:rPr>
          <w:spacing w:val="-1"/>
          <w:sz w:val="24"/>
        </w:rPr>
        <w:t> </w:t>
      </w:r>
      <w:r>
        <w:rPr>
          <w:sz w:val="24"/>
        </w:rPr>
        <w:t>a</w:t>
      </w:r>
      <w:r>
        <w:rPr>
          <w:spacing w:val="-1"/>
          <w:sz w:val="24"/>
        </w:rPr>
        <w:t> </w:t>
      </w:r>
      <w:r>
        <w:rPr>
          <w:sz w:val="24"/>
        </w:rPr>
        <w:t>través del indicador</w:t>
      </w:r>
      <w:r>
        <w:rPr>
          <w:spacing w:val="-1"/>
          <w:sz w:val="24"/>
        </w:rPr>
        <w:t> </w:t>
      </w:r>
      <w:r>
        <w:rPr>
          <w:sz w:val="24"/>
        </w:rPr>
        <w:t>“</w:t>
      </w:r>
      <w:r>
        <w:rPr>
          <w:rFonts w:ascii="Arial" w:hAnsi="Arial"/>
          <w:i/>
          <w:sz w:val="24"/>
        </w:rPr>
        <w:t>Tasa</w:t>
      </w:r>
      <w:r>
        <w:rPr>
          <w:rFonts w:ascii="Arial" w:hAnsi="Arial"/>
          <w:i/>
          <w:spacing w:val="-1"/>
          <w:sz w:val="24"/>
        </w:rPr>
        <w:t> </w:t>
      </w:r>
      <w:r>
        <w:rPr>
          <w:rFonts w:ascii="Arial" w:hAnsi="Arial"/>
          <w:i/>
          <w:sz w:val="24"/>
        </w:rPr>
        <w:t>de</w:t>
      </w:r>
      <w:r>
        <w:rPr>
          <w:rFonts w:ascii="Arial" w:hAnsi="Arial"/>
          <w:i/>
          <w:spacing w:val="-1"/>
          <w:sz w:val="24"/>
        </w:rPr>
        <w:t> </w:t>
      </w:r>
      <w:r>
        <w:rPr>
          <w:rFonts w:ascii="Arial" w:hAnsi="Arial"/>
          <w:i/>
          <w:sz w:val="24"/>
        </w:rPr>
        <w:t>variación </w:t>
      </w:r>
      <w:r>
        <w:rPr>
          <w:rFonts w:ascii="Arial" w:hAnsi="Arial"/>
          <w:i/>
          <w:spacing w:val="-4"/>
          <w:sz w:val="24"/>
        </w:rPr>
        <w:t>de</w:t>
      </w:r>
      <w:r>
        <w:rPr>
          <w:rFonts w:ascii="Arial" w:hAnsi="Arial"/>
          <w:i/>
          <w:spacing w:val="-12"/>
          <w:sz w:val="24"/>
        </w:rPr>
        <w:t> </w:t>
      </w:r>
      <w:r>
        <w:rPr>
          <w:rFonts w:ascii="Arial" w:hAnsi="Arial"/>
          <w:i/>
          <w:spacing w:val="-4"/>
          <w:sz w:val="24"/>
        </w:rPr>
        <w:t>mujeres</w:t>
      </w:r>
      <w:r>
        <w:rPr>
          <w:rFonts w:ascii="Arial" w:hAnsi="Arial"/>
          <w:i/>
          <w:spacing w:val="-12"/>
          <w:sz w:val="24"/>
        </w:rPr>
        <w:t> </w:t>
      </w:r>
      <w:r>
        <w:rPr>
          <w:rFonts w:ascii="Arial" w:hAnsi="Arial"/>
          <w:i/>
          <w:spacing w:val="-4"/>
          <w:sz w:val="24"/>
        </w:rPr>
        <w:t>que</w:t>
      </w:r>
      <w:r>
        <w:rPr>
          <w:rFonts w:ascii="Arial" w:hAnsi="Arial"/>
          <w:i/>
          <w:spacing w:val="-11"/>
          <w:sz w:val="24"/>
        </w:rPr>
        <w:t> </w:t>
      </w:r>
      <w:r>
        <w:rPr>
          <w:rFonts w:ascii="Arial" w:hAnsi="Arial"/>
          <w:i/>
          <w:spacing w:val="-4"/>
          <w:sz w:val="24"/>
        </w:rPr>
        <w:t>acceden</w:t>
      </w:r>
      <w:r>
        <w:rPr>
          <w:rFonts w:ascii="Arial" w:hAnsi="Arial"/>
          <w:i/>
          <w:spacing w:val="-9"/>
          <w:sz w:val="24"/>
        </w:rPr>
        <w:t> </w:t>
      </w:r>
      <w:r>
        <w:rPr>
          <w:rFonts w:ascii="Arial" w:hAnsi="Arial"/>
          <w:i/>
          <w:spacing w:val="-4"/>
          <w:sz w:val="24"/>
        </w:rPr>
        <w:t>a</w:t>
      </w:r>
      <w:r>
        <w:rPr>
          <w:rFonts w:ascii="Arial" w:hAnsi="Arial"/>
          <w:i/>
          <w:spacing w:val="-12"/>
          <w:sz w:val="24"/>
        </w:rPr>
        <w:t> </w:t>
      </w:r>
      <w:r>
        <w:rPr>
          <w:rFonts w:ascii="Arial" w:hAnsi="Arial"/>
          <w:i/>
          <w:spacing w:val="-4"/>
          <w:sz w:val="24"/>
        </w:rPr>
        <w:t>un</w:t>
      </w:r>
      <w:r>
        <w:rPr>
          <w:rFonts w:ascii="Arial" w:hAnsi="Arial"/>
          <w:i/>
          <w:spacing w:val="-10"/>
          <w:sz w:val="24"/>
        </w:rPr>
        <w:t> </w:t>
      </w:r>
      <w:r>
        <w:rPr>
          <w:rFonts w:ascii="Arial" w:hAnsi="Arial"/>
          <w:i/>
          <w:spacing w:val="-4"/>
          <w:sz w:val="24"/>
        </w:rPr>
        <w:t>título</w:t>
      </w:r>
      <w:r>
        <w:rPr>
          <w:rFonts w:ascii="Arial" w:hAnsi="Arial"/>
          <w:i/>
          <w:spacing w:val="-11"/>
          <w:sz w:val="24"/>
        </w:rPr>
        <w:t> </w:t>
      </w:r>
      <w:r>
        <w:rPr>
          <w:rFonts w:ascii="Arial" w:hAnsi="Arial"/>
          <w:i/>
          <w:spacing w:val="-4"/>
          <w:sz w:val="24"/>
        </w:rPr>
        <w:t>de</w:t>
      </w:r>
      <w:r>
        <w:rPr>
          <w:rFonts w:ascii="Arial" w:hAnsi="Arial"/>
          <w:i/>
          <w:spacing w:val="-12"/>
          <w:sz w:val="24"/>
        </w:rPr>
        <w:t> </w:t>
      </w:r>
      <w:r>
        <w:rPr>
          <w:rFonts w:ascii="Arial" w:hAnsi="Arial"/>
          <w:i/>
          <w:spacing w:val="-4"/>
          <w:sz w:val="24"/>
        </w:rPr>
        <w:t>propiedad</w:t>
      </w:r>
      <w:r>
        <w:rPr>
          <w:rFonts w:ascii="Arial" w:hAnsi="Arial"/>
          <w:i/>
          <w:spacing w:val="-11"/>
          <w:sz w:val="24"/>
        </w:rPr>
        <w:t> </w:t>
      </w:r>
      <w:r>
        <w:rPr>
          <w:rFonts w:ascii="Arial" w:hAnsi="Arial"/>
          <w:i/>
          <w:spacing w:val="-4"/>
          <w:sz w:val="24"/>
        </w:rPr>
        <w:t>inscrito</w:t>
      </w:r>
      <w:r>
        <w:rPr>
          <w:rFonts w:ascii="Arial" w:hAnsi="Arial"/>
          <w:i/>
          <w:spacing w:val="-11"/>
          <w:sz w:val="24"/>
        </w:rPr>
        <w:t> </w:t>
      </w:r>
      <w:r>
        <w:rPr>
          <w:rFonts w:ascii="Arial" w:hAnsi="Arial"/>
          <w:i/>
          <w:spacing w:val="-4"/>
          <w:sz w:val="24"/>
        </w:rPr>
        <w:t>en</w:t>
      </w:r>
      <w:r>
        <w:rPr>
          <w:rFonts w:ascii="Arial" w:hAnsi="Arial"/>
          <w:i/>
          <w:spacing w:val="-11"/>
          <w:sz w:val="24"/>
        </w:rPr>
        <w:t> </w:t>
      </w:r>
      <w:r>
        <w:rPr>
          <w:rFonts w:ascii="Arial" w:hAnsi="Arial"/>
          <w:i/>
          <w:spacing w:val="-4"/>
          <w:sz w:val="24"/>
        </w:rPr>
        <w:t>el</w:t>
      </w:r>
      <w:r>
        <w:rPr>
          <w:rFonts w:ascii="Arial" w:hAnsi="Arial"/>
          <w:i/>
          <w:spacing w:val="-11"/>
          <w:sz w:val="24"/>
        </w:rPr>
        <w:t> </w:t>
      </w:r>
      <w:r>
        <w:rPr>
          <w:rFonts w:ascii="Arial" w:hAnsi="Arial"/>
          <w:i/>
          <w:spacing w:val="-4"/>
          <w:sz w:val="24"/>
        </w:rPr>
        <w:t>Registro</w:t>
      </w:r>
      <w:r>
        <w:rPr>
          <w:rFonts w:ascii="Arial" w:hAnsi="Arial"/>
          <w:i/>
          <w:spacing w:val="-8"/>
          <w:sz w:val="24"/>
        </w:rPr>
        <w:t> </w:t>
      </w:r>
      <w:r>
        <w:rPr>
          <w:rFonts w:ascii="Arial" w:hAnsi="Arial"/>
          <w:i/>
          <w:spacing w:val="-4"/>
          <w:sz w:val="24"/>
        </w:rPr>
        <w:t>de</w:t>
      </w:r>
      <w:r>
        <w:rPr>
          <w:rFonts w:ascii="Arial" w:hAnsi="Arial"/>
          <w:i/>
          <w:spacing w:val="-12"/>
          <w:sz w:val="24"/>
        </w:rPr>
        <w:t> </w:t>
      </w:r>
      <w:r>
        <w:rPr>
          <w:rFonts w:ascii="Arial" w:hAnsi="Arial"/>
          <w:i/>
          <w:spacing w:val="-4"/>
          <w:sz w:val="24"/>
        </w:rPr>
        <w:t>Predios”</w:t>
      </w:r>
    </w:p>
    <w:p>
      <w:pPr>
        <w:pStyle w:val="ListParagraph"/>
        <w:numPr>
          <w:ilvl w:val="3"/>
          <w:numId w:val="3"/>
        </w:numPr>
        <w:tabs>
          <w:tab w:pos="862" w:val="left" w:leader="none"/>
        </w:tabs>
        <w:spacing w:line="240" w:lineRule="auto" w:before="16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0" w:lineRule="auto" w:before="234"/>
        <w:ind w:left="143" w:right="703"/>
        <w:jc w:val="both"/>
      </w:pPr>
      <w:r>
        <w:rPr>
          <w:u w:val="single"/>
        </w:rPr>
        <w:t>Análisis</w:t>
      </w:r>
      <w:r>
        <w:rPr>
          <w:spacing w:val="-10"/>
          <w:u w:val="single"/>
        </w:rPr>
        <w:t> </w:t>
      </w:r>
      <w:r>
        <w:rPr>
          <w:u w:val="single"/>
        </w:rPr>
        <w:t>de</w:t>
      </w:r>
      <w:r>
        <w:rPr>
          <w:spacing w:val="-9"/>
          <w:u w:val="single"/>
        </w:rPr>
        <w:t> </w:t>
      </w:r>
      <w:r>
        <w:rPr>
          <w:u w:val="single"/>
        </w:rPr>
        <w:t>calidad:</w:t>
      </w:r>
      <w:r>
        <w:rPr>
          <w:spacing w:val="-10"/>
        </w:rPr>
        <w:t> </w:t>
      </w:r>
      <w:r>
        <w:rPr/>
        <w:t>En</w:t>
      </w:r>
      <w:r>
        <w:rPr>
          <w:spacing w:val="-11"/>
        </w:rPr>
        <w:t> </w:t>
      </w:r>
      <w:r>
        <w:rPr/>
        <w:t>el</w:t>
      </w:r>
      <w:r>
        <w:rPr>
          <w:spacing w:val="-7"/>
        </w:rPr>
        <w:t> </w:t>
      </w:r>
      <w:r>
        <w:rPr/>
        <w:t>año</w:t>
      </w:r>
      <w:r>
        <w:rPr>
          <w:spacing w:val="-10"/>
        </w:rPr>
        <w:t> </w:t>
      </w:r>
      <w:r>
        <w:rPr/>
        <w:t>2023,</w:t>
      </w:r>
      <w:r>
        <w:rPr>
          <w:spacing w:val="-8"/>
        </w:rPr>
        <w:t> </w:t>
      </w:r>
      <w:r>
        <w:rPr/>
        <w:t>se</w:t>
      </w:r>
      <w:r>
        <w:rPr>
          <w:spacing w:val="-10"/>
        </w:rPr>
        <w:t> </w:t>
      </w:r>
      <w:r>
        <w:rPr/>
        <w:t>registró</w:t>
      </w:r>
      <w:r>
        <w:rPr>
          <w:spacing w:val="-7"/>
        </w:rPr>
        <w:t> </w:t>
      </w:r>
      <w:r>
        <w:rPr/>
        <w:t>una</w:t>
      </w:r>
      <w:r>
        <w:rPr>
          <w:spacing w:val="-11"/>
        </w:rPr>
        <w:t> </w:t>
      </w:r>
      <w:r>
        <w:rPr/>
        <w:t>tasa</w:t>
      </w:r>
      <w:r>
        <w:rPr>
          <w:spacing w:val="-11"/>
        </w:rPr>
        <w:t> </w:t>
      </w:r>
      <w:r>
        <w:rPr/>
        <w:t>de</w:t>
      </w:r>
      <w:r>
        <w:rPr>
          <w:spacing w:val="-6"/>
        </w:rPr>
        <w:t> </w:t>
      </w:r>
      <w:r>
        <w:rPr/>
        <w:t>variación</w:t>
      </w:r>
      <w:r>
        <w:rPr>
          <w:spacing w:val="-8"/>
        </w:rPr>
        <w:t> </w:t>
      </w:r>
      <w:r>
        <w:rPr/>
        <w:t>de</w:t>
      </w:r>
      <w:r>
        <w:rPr>
          <w:spacing w:val="-10"/>
        </w:rPr>
        <w:t> </w:t>
      </w:r>
      <w:r>
        <w:rPr/>
        <w:t>mujeres que acceden a un título de propiedad inscrito en el Registro de Predios de 6.29%,</w:t>
      </w:r>
      <w:r>
        <w:rPr>
          <w:spacing w:val="-17"/>
        </w:rPr>
        <w:t> </w:t>
      </w:r>
      <w:r>
        <w:rPr/>
        <w:t>alcanzando</w:t>
      </w:r>
      <w:r>
        <w:rPr>
          <w:spacing w:val="-17"/>
        </w:rPr>
        <w:t> </w:t>
      </w:r>
      <w:r>
        <w:rPr/>
        <w:t>un</w:t>
      </w:r>
      <w:r>
        <w:rPr>
          <w:spacing w:val="-16"/>
        </w:rPr>
        <w:t> </w:t>
      </w:r>
      <w:r>
        <w:rPr/>
        <w:t>nivel</w:t>
      </w:r>
      <w:r>
        <w:rPr>
          <w:spacing w:val="-17"/>
        </w:rPr>
        <w:t> </w:t>
      </w:r>
      <w:r>
        <w:rPr/>
        <w:t>de</w:t>
      </w:r>
      <w:r>
        <w:rPr>
          <w:spacing w:val="-17"/>
        </w:rPr>
        <w:t> </w:t>
      </w:r>
      <w:r>
        <w:rPr/>
        <w:t>avance</w:t>
      </w:r>
      <w:r>
        <w:rPr>
          <w:spacing w:val="-17"/>
        </w:rPr>
        <w:t> </w:t>
      </w:r>
      <w:r>
        <w:rPr/>
        <w:t>bajo</w:t>
      </w:r>
      <w:r>
        <w:rPr>
          <w:spacing w:val="-16"/>
        </w:rPr>
        <w:t> </w:t>
      </w:r>
      <w:r>
        <w:rPr/>
        <w:t>(0.0</w:t>
      </w:r>
      <w:r>
        <w:rPr>
          <w:spacing w:val="-17"/>
        </w:rPr>
        <w:t> </w:t>
      </w:r>
      <w:r>
        <w:rPr/>
        <w:t>%)</w:t>
      </w:r>
      <w:hyperlink w:history="true" w:anchor="_bookmark17">
        <w:r>
          <w:rPr>
            <w:position w:val="9"/>
            <w:sz w:val="16"/>
          </w:rPr>
          <w:t>6</w:t>
        </w:r>
      </w:hyperlink>
      <w:r>
        <w:rPr>
          <w:spacing w:val="-11"/>
          <w:position w:val="9"/>
          <w:sz w:val="16"/>
        </w:rPr>
        <w:t> </w:t>
      </w:r>
      <w:r>
        <w:rPr/>
        <w:t>respecto</w:t>
      </w:r>
      <w:r>
        <w:rPr>
          <w:spacing w:val="-17"/>
        </w:rPr>
        <w:t> </w:t>
      </w:r>
      <w:r>
        <w:rPr/>
        <w:t>a</w:t>
      </w:r>
      <w:r>
        <w:rPr>
          <w:spacing w:val="-16"/>
        </w:rPr>
        <w:t> </w:t>
      </w:r>
      <w:r>
        <w:rPr/>
        <w:t>la</w:t>
      </w:r>
      <w:r>
        <w:rPr>
          <w:spacing w:val="-17"/>
        </w:rPr>
        <w:t> </w:t>
      </w:r>
      <w:r>
        <w:rPr/>
        <w:t>meta</w:t>
      </w:r>
      <w:r>
        <w:rPr>
          <w:spacing w:val="-17"/>
        </w:rPr>
        <w:t> </w:t>
      </w:r>
      <w:r>
        <w:rPr/>
        <w:t>esperada: 10.0%</w:t>
      </w:r>
      <w:hyperlink w:history="true" w:anchor="_bookmark18">
        <w:r>
          <w:rPr>
            <w:position w:val="9"/>
            <w:sz w:val="16"/>
          </w:rPr>
          <w:t>7</w:t>
        </w:r>
        <w:r>
          <w:rPr/>
          <w:t>.</w:t>
        </w:r>
      </w:hyperlink>
      <w:r>
        <w:rPr>
          <w:spacing w:val="-13"/>
        </w:rPr>
        <w:t> </w:t>
      </w:r>
      <w:r>
        <w:rPr/>
        <w:t>En</w:t>
      </w:r>
      <w:r>
        <w:rPr>
          <w:spacing w:val="-14"/>
        </w:rPr>
        <w:t> </w:t>
      </w:r>
      <w:r>
        <w:rPr/>
        <w:t>ese</w:t>
      </w:r>
      <w:r>
        <w:rPr>
          <w:spacing w:val="-15"/>
        </w:rPr>
        <w:t> </w:t>
      </w:r>
      <w:r>
        <w:rPr/>
        <w:t>sentido</w:t>
      </w:r>
      <w:r>
        <w:rPr>
          <w:spacing w:val="-15"/>
        </w:rPr>
        <w:t> </w:t>
      </w:r>
      <w:r>
        <w:rPr/>
        <w:t>es</w:t>
      </w:r>
      <w:r>
        <w:rPr>
          <w:spacing w:val="-12"/>
        </w:rPr>
        <w:t> </w:t>
      </w:r>
      <w:r>
        <w:rPr/>
        <w:t>necesario</w:t>
      </w:r>
      <w:r>
        <w:rPr>
          <w:spacing w:val="-12"/>
        </w:rPr>
        <w:t> </w:t>
      </w:r>
      <w:r>
        <w:rPr/>
        <w:t>conocer</w:t>
      </w:r>
      <w:r>
        <w:rPr>
          <w:spacing w:val="-15"/>
        </w:rPr>
        <w:t> </w:t>
      </w:r>
      <w:r>
        <w:rPr/>
        <w:t>las</w:t>
      </w:r>
      <w:r>
        <w:rPr>
          <w:spacing w:val="-12"/>
        </w:rPr>
        <w:t> </w:t>
      </w:r>
      <w:r>
        <w:rPr/>
        <w:t>causas</w:t>
      </w:r>
      <w:r>
        <w:rPr>
          <w:spacing w:val="-15"/>
        </w:rPr>
        <w:t> </w:t>
      </w:r>
      <w:r>
        <w:rPr/>
        <w:t>del</w:t>
      </w:r>
      <w:r>
        <w:rPr>
          <w:spacing w:val="-15"/>
        </w:rPr>
        <w:t> </w:t>
      </w:r>
      <w:r>
        <w:rPr/>
        <w:t>bajo</w:t>
      </w:r>
      <w:r>
        <w:rPr>
          <w:spacing w:val="-12"/>
        </w:rPr>
        <w:t> </w:t>
      </w:r>
      <w:r>
        <w:rPr/>
        <w:t>avance</w:t>
      </w:r>
      <w:r>
        <w:rPr>
          <w:spacing w:val="-13"/>
        </w:rPr>
        <w:t> </w:t>
      </w:r>
      <w:r>
        <w:rPr/>
        <w:t>de</w:t>
      </w:r>
      <w:r>
        <w:rPr>
          <w:spacing w:val="-9"/>
        </w:rPr>
        <w:t> </w:t>
      </w:r>
      <w:r>
        <w:rPr/>
        <w:t>este indicador en el año 2023, lo cual se desarrolla mediante un análisis mixto.</w:t>
      </w:r>
    </w:p>
    <w:p>
      <w:pPr>
        <w:spacing w:before="165"/>
        <w:ind w:left="1314" w:right="0" w:firstLine="0"/>
        <w:jc w:val="both"/>
        <w:rPr>
          <w:sz w:val="22"/>
        </w:rPr>
      </w:pPr>
      <w:r>
        <w:rPr>
          <w:color w:val="44536A"/>
          <w:sz w:val="22"/>
        </w:rPr>
        <w:t>Tabla</w:t>
      </w:r>
      <w:r>
        <w:rPr>
          <w:color w:val="44536A"/>
          <w:spacing w:val="-7"/>
          <w:sz w:val="22"/>
        </w:rPr>
        <w:t> </w:t>
      </w:r>
      <w:r>
        <w:rPr>
          <w:color w:val="44536A"/>
          <w:sz w:val="22"/>
        </w:rPr>
        <w:t>19.</w:t>
      </w:r>
      <w:r>
        <w:rPr>
          <w:color w:val="44536A"/>
          <w:spacing w:val="-8"/>
          <w:sz w:val="22"/>
        </w:rPr>
        <w:t> </w:t>
      </w:r>
      <w:r>
        <w:rPr>
          <w:color w:val="44536A"/>
          <w:sz w:val="22"/>
        </w:rPr>
        <w:t>Análisis</w:t>
      </w:r>
      <w:r>
        <w:rPr>
          <w:color w:val="44536A"/>
          <w:spacing w:val="-9"/>
          <w:sz w:val="22"/>
        </w:rPr>
        <w:t> </w:t>
      </w:r>
      <w:r>
        <w:rPr>
          <w:color w:val="44536A"/>
          <w:sz w:val="22"/>
        </w:rPr>
        <w:t>del</w:t>
      </w:r>
      <w:r>
        <w:rPr>
          <w:color w:val="44536A"/>
          <w:spacing w:val="-8"/>
          <w:sz w:val="22"/>
        </w:rPr>
        <w:t> </w:t>
      </w:r>
      <w:r>
        <w:rPr>
          <w:color w:val="44536A"/>
          <w:sz w:val="22"/>
        </w:rPr>
        <w:t>indicador</w:t>
      </w:r>
      <w:r>
        <w:rPr>
          <w:color w:val="44536A"/>
          <w:spacing w:val="-9"/>
          <w:sz w:val="22"/>
        </w:rPr>
        <w:t> </w:t>
      </w:r>
      <w:r>
        <w:rPr>
          <w:color w:val="44536A"/>
          <w:sz w:val="22"/>
        </w:rPr>
        <w:t>de</w:t>
      </w:r>
      <w:r>
        <w:rPr>
          <w:color w:val="44536A"/>
          <w:spacing w:val="-6"/>
          <w:sz w:val="22"/>
        </w:rPr>
        <w:t> </w:t>
      </w:r>
      <w:r>
        <w:rPr>
          <w:color w:val="44536A"/>
          <w:sz w:val="22"/>
        </w:rPr>
        <w:t>calidad</w:t>
      </w:r>
      <w:r>
        <w:rPr>
          <w:color w:val="44536A"/>
          <w:spacing w:val="-7"/>
          <w:sz w:val="22"/>
        </w:rPr>
        <w:t> </w:t>
      </w:r>
      <w:r>
        <w:rPr>
          <w:color w:val="44536A"/>
          <w:sz w:val="22"/>
        </w:rPr>
        <w:t>del</w:t>
      </w:r>
      <w:r>
        <w:rPr>
          <w:color w:val="44536A"/>
          <w:spacing w:val="-8"/>
          <w:sz w:val="22"/>
        </w:rPr>
        <w:t> </w:t>
      </w:r>
      <w:r>
        <w:rPr>
          <w:color w:val="44536A"/>
          <w:sz w:val="22"/>
        </w:rPr>
        <w:t>servicio</w:t>
      </w:r>
      <w:r>
        <w:rPr>
          <w:color w:val="44536A"/>
          <w:spacing w:val="-9"/>
          <w:sz w:val="22"/>
        </w:rPr>
        <w:t> </w:t>
      </w:r>
      <w:r>
        <w:rPr>
          <w:color w:val="44536A"/>
          <w:spacing w:val="-2"/>
          <w:sz w:val="22"/>
        </w:rPr>
        <w:t>04.02.02</w:t>
      </w:r>
    </w:p>
    <w:p>
      <w:pPr>
        <w:pStyle w:val="BodyText"/>
        <w:spacing w:before="10" w:after="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47"/>
        <w:gridCol w:w="1005"/>
        <w:gridCol w:w="706"/>
        <w:gridCol w:w="705"/>
        <w:gridCol w:w="705"/>
        <w:gridCol w:w="705"/>
        <w:gridCol w:w="702"/>
        <w:gridCol w:w="704"/>
        <w:gridCol w:w="704"/>
        <w:gridCol w:w="705"/>
        <w:gridCol w:w="702"/>
      </w:tblGrid>
      <w:tr>
        <w:trPr>
          <w:trHeight w:val="302" w:hRule="atLeast"/>
        </w:trPr>
        <w:tc>
          <w:tcPr>
            <w:tcW w:w="1147" w:type="dxa"/>
            <w:shd w:val="clear" w:color="auto" w:fill="44536A"/>
          </w:tcPr>
          <w:p>
            <w:pPr>
              <w:pStyle w:val="TableParagraph"/>
              <w:spacing w:before="61"/>
              <w:ind w:left="9"/>
              <w:jc w:val="center"/>
              <w:rPr>
                <w:sz w:val="16"/>
              </w:rPr>
            </w:pPr>
            <w:r>
              <w:rPr>
                <w:color w:val="FFFFFF"/>
                <w:spacing w:val="-5"/>
                <w:sz w:val="16"/>
              </w:rPr>
              <w:t>OP</w:t>
            </w:r>
          </w:p>
        </w:tc>
        <w:tc>
          <w:tcPr>
            <w:tcW w:w="7343" w:type="dxa"/>
            <w:gridSpan w:val="10"/>
          </w:tcPr>
          <w:p>
            <w:pPr>
              <w:pStyle w:val="TableParagraph"/>
              <w:spacing w:before="52"/>
              <w:ind w:left="69"/>
              <w:rPr>
                <w:sz w:val="18"/>
              </w:rPr>
            </w:pPr>
            <w:r>
              <w:rPr>
                <w:sz w:val="18"/>
              </w:rPr>
              <w:t>OP.04</w:t>
            </w:r>
            <w:r>
              <w:rPr>
                <w:spacing w:val="-6"/>
                <w:sz w:val="18"/>
              </w:rPr>
              <w:t> </w:t>
            </w:r>
            <w:r>
              <w:rPr>
                <w:sz w:val="18"/>
              </w:rPr>
              <w:t>Garantizar</w:t>
            </w:r>
            <w:r>
              <w:rPr>
                <w:spacing w:val="-9"/>
                <w:sz w:val="18"/>
              </w:rPr>
              <w:t> </w:t>
            </w:r>
            <w:r>
              <w:rPr>
                <w:sz w:val="18"/>
              </w:rPr>
              <w:t>el</w:t>
            </w:r>
            <w:r>
              <w:rPr>
                <w:spacing w:val="-6"/>
                <w:sz w:val="18"/>
              </w:rPr>
              <w:t> </w:t>
            </w:r>
            <w:r>
              <w:rPr>
                <w:sz w:val="18"/>
              </w:rPr>
              <w:t>ejercicio</w:t>
            </w:r>
            <w:r>
              <w:rPr>
                <w:spacing w:val="-8"/>
                <w:sz w:val="18"/>
              </w:rPr>
              <w:t> </w:t>
            </w:r>
            <w:r>
              <w:rPr>
                <w:sz w:val="18"/>
              </w:rPr>
              <w:t>de</w:t>
            </w:r>
            <w:r>
              <w:rPr>
                <w:spacing w:val="-7"/>
                <w:sz w:val="18"/>
              </w:rPr>
              <w:t> </w:t>
            </w:r>
            <w:r>
              <w:rPr>
                <w:sz w:val="18"/>
              </w:rPr>
              <w:t>los</w:t>
            </w:r>
            <w:r>
              <w:rPr>
                <w:spacing w:val="-5"/>
                <w:sz w:val="18"/>
              </w:rPr>
              <w:t> </w:t>
            </w:r>
            <w:r>
              <w:rPr>
                <w:sz w:val="18"/>
              </w:rPr>
              <w:t>derechos</w:t>
            </w:r>
            <w:r>
              <w:rPr>
                <w:spacing w:val="-8"/>
                <w:sz w:val="18"/>
              </w:rPr>
              <w:t> </w:t>
            </w:r>
            <w:r>
              <w:rPr>
                <w:sz w:val="18"/>
              </w:rPr>
              <w:t>económicos</w:t>
            </w:r>
            <w:r>
              <w:rPr>
                <w:spacing w:val="-6"/>
                <w:sz w:val="18"/>
              </w:rPr>
              <w:t> </w:t>
            </w:r>
            <w:r>
              <w:rPr>
                <w:sz w:val="18"/>
              </w:rPr>
              <w:t>y</w:t>
            </w:r>
            <w:r>
              <w:rPr>
                <w:spacing w:val="-10"/>
                <w:sz w:val="18"/>
              </w:rPr>
              <w:t> </w:t>
            </w:r>
            <w:r>
              <w:rPr>
                <w:sz w:val="18"/>
              </w:rPr>
              <w:t>sociales</w:t>
            </w:r>
            <w:r>
              <w:rPr>
                <w:spacing w:val="-9"/>
                <w:sz w:val="18"/>
              </w:rPr>
              <w:t> </w:t>
            </w:r>
            <w:r>
              <w:rPr>
                <w:sz w:val="18"/>
              </w:rPr>
              <w:t>de</w:t>
            </w:r>
            <w:r>
              <w:rPr>
                <w:spacing w:val="-6"/>
                <w:sz w:val="18"/>
              </w:rPr>
              <w:t> </w:t>
            </w:r>
            <w:r>
              <w:rPr>
                <w:sz w:val="18"/>
              </w:rPr>
              <w:t>las</w:t>
            </w:r>
            <w:r>
              <w:rPr>
                <w:spacing w:val="-3"/>
                <w:sz w:val="18"/>
              </w:rPr>
              <w:t> </w:t>
            </w:r>
            <w:r>
              <w:rPr>
                <w:spacing w:val="-2"/>
                <w:sz w:val="18"/>
              </w:rPr>
              <w:t>mujeres</w:t>
            </w:r>
          </w:p>
        </w:tc>
      </w:tr>
      <w:tr>
        <w:trPr>
          <w:trHeight w:val="299" w:hRule="atLeast"/>
        </w:trPr>
        <w:tc>
          <w:tcPr>
            <w:tcW w:w="1147" w:type="dxa"/>
            <w:shd w:val="clear" w:color="auto" w:fill="44536A"/>
          </w:tcPr>
          <w:p>
            <w:pPr>
              <w:pStyle w:val="TableParagraph"/>
              <w:spacing w:before="49"/>
              <w:ind w:left="261"/>
              <w:rPr>
                <w:sz w:val="18"/>
              </w:rPr>
            </w:pPr>
            <w:r>
              <w:rPr>
                <w:color w:val="FFFFFF"/>
                <w:spacing w:val="-2"/>
                <w:sz w:val="18"/>
              </w:rPr>
              <w:t>Servicio</w:t>
            </w:r>
          </w:p>
        </w:tc>
        <w:tc>
          <w:tcPr>
            <w:tcW w:w="7343" w:type="dxa"/>
            <w:gridSpan w:val="10"/>
          </w:tcPr>
          <w:p>
            <w:pPr>
              <w:pStyle w:val="TableParagraph"/>
              <w:spacing w:before="49"/>
              <w:ind w:left="69"/>
              <w:rPr>
                <w:sz w:val="18"/>
              </w:rPr>
            </w:pPr>
            <w:r>
              <w:rPr>
                <w:sz w:val="18"/>
              </w:rPr>
              <w:t>Formalización</w:t>
            </w:r>
            <w:r>
              <w:rPr>
                <w:spacing w:val="3"/>
                <w:sz w:val="18"/>
              </w:rPr>
              <w:t> </w:t>
            </w:r>
            <w:r>
              <w:rPr>
                <w:sz w:val="18"/>
              </w:rPr>
              <w:t>de</w:t>
            </w:r>
            <w:r>
              <w:rPr>
                <w:spacing w:val="3"/>
                <w:sz w:val="18"/>
              </w:rPr>
              <w:t> </w:t>
            </w:r>
            <w:r>
              <w:rPr>
                <w:sz w:val="18"/>
              </w:rPr>
              <w:t>la</w:t>
            </w:r>
            <w:r>
              <w:rPr>
                <w:spacing w:val="5"/>
                <w:sz w:val="18"/>
              </w:rPr>
              <w:t> </w:t>
            </w:r>
            <w:r>
              <w:rPr>
                <w:sz w:val="18"/>
              </w:rPr>
              <w:t>propiedad</w:t>
            </w:r>
            <w:r>
              <w:rPr>
                <w:spacing w:val="4"/>
                <w:sz w:val="18"/>
              </w:rPr>
              <w:t> </w:t>
            </w:r>
            <w:r>
              <w:rPr>
                <w:sz w:val="18"/>
              </w:rPr>
              <w:t>de</w:t>
            </w:r>
            <w:r>
              <w:rPr>
                <w:spacing w:val="3"/>
                <w:sz w:val="18"/>
              </w:rPr>
              <w:t> </w:t>
            </w:r>
            <w:r>
              <w:rPr>
                <w:sz w:val="18"/>
              </w:rPr>
              <w:t>predios</w:t>
            </w:r>
            <w:r>
              <w:rPr>
                <w:spacing w:val="7"/>
                <w:sz w:val="18"/>
              </w:rPr>
              <w:t> </w:t>
            </w:r>
            <w:r>
              <w:rPr>
                <w:sz w:val="18"/>
              </w:rPr>
              <w:t>urbanos</w:t>
            </w:r>
            <w:r>
              <w:rPr>
                <w:spacing w:val="4"/>
                <w:sz w:val="18"/>
              </w:rPr>
              <w:t> </w:t>
            </w:r>
            <w:r>
              <w:rPr>
                <w:sz w:val="18"/>
              </w:rPr>
              <w:t>para</w:t>
            </w:r>
            <w:r>
              <w:rPr>
                <w:spacing w:val="6"/>
                <w:sz w:val="18"/>
              </w:rPr>
              <w:t> </w:t>
            </w:r>
            <w:r>
              <w:rPr>
                <w:spacing w:val="-2"/>
                <w:sz w:val="18"/>
              </w:rPr>
              <w:t>mujeres.</w:t>
            </w:r>
          </w:p>
        </w:tc>
      </w:tr>
      <w:tr>
        <w:trPr>
          <w:trHeight w:val="489" w:hRule="atLeast"/>
        </w:trPr>
        <w:tc>
          <w:tcPr>
            <w:tcW w:w="1147" w:type="dxa"/>
            <w:shd w:val="clear" w:color="auto" w:fill="44536A"/>
          </w:tcPr>
          <w:p>
            <w:pPr>
              <w:pStyle w:val="TableParagraph"/>
              <w:spacing w:before="145"/>
              <w:ind w:left="191"/>
              <w:rPr>
                <w:sz w:val="18"/>
              </w:rPr>
            </w:pPr>
            <w:r>
              <w:rPr>
                <w:color w:val="FFFFFF"/>
                <w:spacing w:val="-2"/>
                <w:w w:val="105"/>
                <w:sz w:val="18"/>
              </w:rPr>
              <w:t>Indicador</w:t>
            </w:r>
          </w:p>
        </w:tc>
        <w:tc>
          <w:tcPr>
            <w:tcW w:w="7343" w:type="dxa"/>
            <w:gridSpan w:val="10"/>
          </w:tcPr>
          <w:p>
            <w:pPr>
              <w:pStyle w:val="TableParagraph"/>
              <w:spacing w:before="23"/>
              <w:ind w:left="69"/>
              <w:rPr>
                <w:sz w:val="18"/>
              </w:rPr>
            </w:pPr>
            <w:r>
              <w:rPr>
                <w:sz w:val="18"/>
              </w:rPr>
              <w:t>Tasa</w:t>
            </w:r>
            <w:r>
              <w:rPr>
                <w:spacing w:val="2"/>
                <w:sz w:val="18"/>
              </w:rPr>
              <w:t> </w:t>
            </w:r>
            <w:r>
              <w:rPr>
                <w:sz w:val="18"/>
              </w:rPr>
              <w:t>de</w:t>
            </w:r>
            <w:r>
              <w:rPr>
                <w:spacing w:val="-1"/>
                <w:sz w:val="18"/>
              </w:rPr>
              <w:t> </w:t>
            </w:r>
            <w:r>
              <w:rPr>
                <w:sz w:val="18"/>
              </w:rPr>
              <w:t>variación</w:t>
            </w:r>
            <w:r>
              <w:rPr>
                <w:spacing w:val="-1"/>
                <w:sz w:val="18"/>
              </w:rPr>
              <w:t> </w:t>
            </w:r>
            <w:r>
              <w:rPr>
                <w:sz w:val="18"/>
              </w:rPr>
              <w:t>de</w:t>
            </w:r>
            <w:r>
              <w:rPr>
                <w:spacing w:val="2"/>
                <w:sz w:val="18"/>
              </w:rPr>
              <w:t> </w:t>
            </w:r>
            <w:r>
              <w:rPr>
                <w:sz w:val="18"/>
              </w:rPr>
              <w:t>mujeres</w:t>
            </w:r>
            <w:r>
              <w:rPr>
                <w:spacing w:val="-1"/>
                <w:sz w:val="18"/>
              </w:rPr>
              <w:t> </w:t>
            </w:r>
            <w:r>
              <w:rPr>
                <w:sz w:val="18"/>
              </w:rPr>
              <w:t>que</w:t>
            </w:r>
            <w:r>
              <w:rPr>
                <w:spacing w:val="1"/>
                <w:sz w:val="18"/>
              </w:rPr>
              <w:t> </w:t>
            </w:r>
            <w:r>
              <w:rPr>
                <w:sz w:val="18"/>
              </w:rPr>
              <w:t>acceden</w:t>
            </w:r>
            <w:r>
              <w:rPr>
                <w:spacing w:val="1"/>
                <w:sz w:val="18"/>
              </w:rPr>
              <w:t> </w:t>
            </w:r>
            <w:r>
              <w:rPr>
                <w:sz w:val="18"/>
              </w:rPr>
              <w:t>a un</w:t>
            </w:r>
            <w:r>
              <w:rPr>
                <w:spacing w:val="1"/>
                <w:sz w:val="18"/>
              </w:rPr>
              <w:t> </w:t>
            </w:r>
            <w:r>
              <w:rPr>
                <w:sz w:val="18"/>
              </w:rPr>
              <w:t>título</w:t>
            </w:r>
            <w:r>
              <w:rPr>
                <w:spacing w:val="3"/>
                <w:sz w:val="18"/>
              </w:rPr>
              <w:t> </w:t>
            </w:r>
            <w:r>
              <w:rPr>
                <w:sz w:val="18"/>
              </w:rPr>
              <w:t>de</w:t>
            </w:r>
            <w:r>
              <w:rPr>
                <w:spacing w:val="-1"/>
                <w:sz w:val="18"/>
              </w:rPr>
              <w:t> </w:t>
            </w:r>
            <w:r>
              <w:rPr>
                <w:sz w:val="18"/>
              </w:rPr>
              <w:t>propiedad inscrito</w:t>
            </w:r>
            <w:r>
              <w:rPr>
                <w:spacing w:val="2"/>
                <w:sz w:val="18"/>
              </w:rPr>
              <w:t> </w:t>
            </w:r>
            <w:r>
              <w:rPr>
                <w:sz w:val="18"/>
              </w:rPr>
              <w:t>en </w:t>
            </w:r>
            <w:r>
              <w:rPr>
                <w:spacing w:val="-5"/>
                <w:sz w:val="18"/>
              </w:rPr>
              <w:t>el</w:t>
            </w:r>
          </w:p>
          <w:p>
            <w:pPr>
              <w:pStyle w:val="TableParagraph"/>
              <w:spacing w:line="201" w:lineRule="exact" w:before="37"/>
              <w:ind w:left="69"/>
              <w:rPr>
                <w:sz w:val="18"/>
              </w:rPr>
            </w:pPr>
            <w:r>
              <w:rPr>
                <w:sz w:val="18"/>
              </w:rPr>
              <w:t>Registro</w:t>
            </w:r>
            <w:r>
              <w:rPr>
                <w:spacing w:val="-9"/>
                <w:sz w:val="18"/>
              </w:rPr>
              <w:t> </w:t>
            </w:r>
            <w:r>
              <w:rPr>
                <w:sz w:val="18"/>
              </w:rPr>
              <w:t>de</w:t>
            </w:r>
            <w:r>
              <w:rPr>
                <w:spacing w:val="-8"/>
                <w:sz w:val="18"/>
              </w:rPr>
              <w:t> </w:t>
            </w:r>
            <w:r>
              <w:rPr>
                <w:spacing w:val="-2"/>
                <w:sz w:val="18"/>
              </w:rPr>
              <w:t>Predios.</w:t>
            </w:r>
          </w:p>
        </w:tc>
      </w:tr>
      <w:tr>
        <w:trPr>
          <w:trHeight w:val="570" w:hRule="atLeast"/>
        </w:trPr>
        <w:tc>
          <w:tcPr>
            <w:tcW w:w="1147" w:type="dxa"/>
            <w:shd w:val="clear" w:color="auto" w:fill="808080"/>
          </w:tcPr>
          <w:p>
            <w:pPr>
              <w:pStyle w:val="TableParagraph"/>
              <w:spacing w:before="186"/>
              <w:ind w:left="9" w:right="2"/>
              <w:jc w:val="center"/>
              <w:rPr>
                <w:sz w:val="18"/>
              </w:rPr>
            </w:pPr>
            <w:r>
              <w:rPr>
                <w:color w:val="FFFFFF"/>
                <w:spacing w:val="-5"/>
                <w:sz w:val="18"/>
              </w:rPr>
              <w:t>Año</w:t>
            </w:r>
          </w:p>
        </w:tc>
        <w:tc>
          <w:tcPr>
            <w:tcW w:w="1005" w:type="dxa"/>
            <w:shd w:val="clear" w:color="auto" w:fill="808080"/>
          </w:tcPr>
          <w:p>
            <w:pPr>
              <w:pStyle w:val="TableParagraph"/>
              <w:spacing w:line="240" w:lineRule="atLeast" w:before="30"/>
              <w:ind w:left="247" w:right="156" w:hanging="82"/>
              <w:rPr>
                <w:sz w:val="18"/>
              </w:rPr>
            </w:pPr>
            <w:r>
              <w:rPr>
                <w:color w:val="FFFFFF"/>
                <w:spacing w:val="-4"/>
                <w:sz w:val="18"/>
              </w:rPr>
              <w:t>Valor</w:t>
            </w:r>
            <w:r>
              <w:rPr>
                <w:color w:val="FFFFFF"/>
                <w:spacing w:val="-9"/>
                <w:sz w:val="18"/>
              </w:rPr>
              <w:t> </w:t>
            </w:r>
            <w:r>
              <w:rPr>
                <w:color w:val="FFFFFF"/>
                <w:spacing w:val="-4"/>
                <w:sz w:val="18"/>
              </w:rPr>
              <w:t>LB </w:t>
            </w:r>
            <w:r>
              <w:rPr>
                <w:color w:val="FFFFFF"/>
                <w:spacing w:val="-2"/>
                <w:sz w:val="18"/>
              </w:rPr>
              <w:t>(2021)</w:t>
            </w:r>
          </w:p>
        </w:tc>
        <w:tc>
          <w:tcPr>
            <w:tcW w:w="706" w:type="dxa"/>
            <w:shd w:val="clear" w:color="auto" w:fill="808080"/>
          </w:tcPr>
          <w:p>
            <w:pPr>
              <w:pStyle w:val="TableParagraph"/>
              <w:spacing w:before="186"/>
              <w:ind w:left="11"/>
              <w:jc w:val="center"/>
              <w:rPr>
                <w:sz w:val="18"/>
              </w:rPr>
            </w:pPr>
            <w:r>
              <w:rPr>
                <w:color w:val="FFFFFF"/>
                <w:spacing w:val="-4"/>
                <w:sz w:val="18"/>
              </w:rPr>
              <w:t>2022</w:t>
            </w:r>
          </w:p>
        </w:tc>
        <w:tc>
          <w:tcPr>
            <w:tcW w:w="705" w:type="dxa"/>
            <w:shd w:val="clear" w:color="auto" w:fill="808080"/>
          </w:tcPr>
          <w:p>
            <w:pPr>
              <w:pStyle w:val="TableParagraph"/>
              <w:spacing w:before="186"/>
              <w:ind w:left="25" w:right="13"/>
              <w:jc w:val="center"/>
              <w:rPr>
                <w:sz w:val="18"/>
              </w:rPr>
            </w:pPr>
            <w:r>
              <w:rPr>
                <w:color w:val="FFFFFF"/>
                <w:spacing w:val="-4"/>
                <w:sz w:val="18"/>
              </w:rPr>
              <w:t>2023</w:t>
            </w:r>
          </w:p>
        </w:tc>
        <w:tc>
          <w:tcPr>
            <w:tcW w:w="705" w:type="dxa"/>
            <w:shd w:val="clear" w:color="auto" w:fill="808080"/>
          </w:tcPr>
          <w:p>
            <w:pPr>
              <w:pStyle w:val="TableParagraph"/>
              <w:spacing w:before="186"/>
              <w:ind w:left="25" w:right="12"/>
              <w:jc w:val="center"/>
              <w:rPr>
                <w:sz w:val="18"/>
              </w:rPr>
            </w:pPr>
            <w:r>
              <w:rPr>
                <w:color w:val="FFFFFF"/>
                <w:spacing w:val="-4"/>
                <w:sz w:val="18"/>
              </w:rPr>
              <w:t>2024</w:t>
            </w:r>
          </w:p>
        </w:tc>
        <w:tc>
          <w:tcPr>
            <w:tcW w:w="705" w:type="dxa"/>
            <w:shd w:val="clear" w:color="auto" w:fill="808080"/>
          </w:tcPr>
          <w:p>
            <w:pPr>
              <w:pStyle w:val="TableParagraph"/>
              <w:spacing w:before="186"/>
              <w:ind w:left="25" w:right="11"/>
              <w:jc w:val="center"/>
              <w:rPr>
                <w:sz w:val="18"/>
              </w:rPr>
            </w:pPr>
            <w:r>
              <w:rPr>
                <w:color w:val="FFFFFF"/>
                <w:spacing w:val="-4"/>
                <w:sz w:val="18"/>
              </w:rPr>
              <w:t>2025</w:t>
            </w:r>
          </w:p>
        </w:tc>
        <w:tc>
          <w:tcPr>
            <w:tcW w:w="702" w:type="dxa"/>
            <w:shd w:val="clear" w:color="auto" w:fill="808080"/>
          </w:tcPr>
          <w:p>
            <w:pPr>
              <w:pStyle w:val="TableParagraph"/>
              <w:spacing w:before="186"/>
              <w:ind w:left="25" w:right="11"/>
              <w:jc w:val="center"/>
              <w:rPr>
                <w:sz w:val="18"/>
              </w:rPr>
            </w:pPr>
            <w:r>
              <w:rPr>
                <w:color w:val="FFFFFF"/>
                <w:spacing w:val="-4"/>
                <w:sz w:val="18"/>
              </w:rPr>
              <w:t>2026</w:t>
            </w:r>
          </w:p>
        </w:tc>
        <w:tc>
          <w:tcPr>
            <w:tcW w:w="704" w:type="dxa"/>
            <w:shd w:val="clear" w:color="auto" w:fill="808080"/>
          </w:tcPr>
          <w:p>
            <w:pPr>
              <w:pStyle w:val="TableParagraph"/>
              <w:spacing w:before="186"/>
              <w:ind w:left="23" w:right="4"/>
              <w:jc w:val="center"/>
              <w:rPr>
                <w:sz w:val="18"/>
              </w:rPr>
            </w:pPr>
            <w:r>
              <w:rPr>
                <w:color w:val="FFFFFF"/>
                <w:spacing w:val="-4"/>
                <w:sz w:val="18"/>
              </w:rPr>
              <w:t>2027</w:t>
            </w:r>
          </w:p>
        </w:tc>
        <w:tc>
          <w:tcPr>
            <w:tcW w:w="704" w:type="dxa"/>
            <w:shd w:val="clear" w:color="auto" w:fill="808080"/>
          </w:tcPr>
          <w:p>
            <w:pPr>
              <w:pStyle w:val="TableParagraph"/>
              <w:spacing w:before="186"/>
              <w:ind w:left="23"/>
              <w:jc w:val="center"/>
              <w:rPr>
                <w:sz w:val="18"/>
              </w:rPr>
            </w:pPr>
            <w:r>
              <w:rPr>
                <w:color w:val="FFFFFF"/>
                <w:spacing w:val="-4"/>
                <w:sz w:val="18"/>
              </w:rPr>
              <w:t>2028</w:t>
            </w:r>
          </w:p>
        </w:tc>
        <w:tc>
          <w:tcPr>
            <w:tcW w:w="705" w:type="dxa"/>
            <w:shd w:val="clear" w:color="auto" w:fill="808080"/>
          </w:tcPr>
          <w:p>
            <w:pPr>
              <w:pStyle w:val="TableParagraph"/>
              <w:spacing w:before="186"/>
              <w:ind w:left="25"/>
              <w:jc w:val="center"/>
              <w:rPr>
                <w:sz w:val="18"/>
              </w:rPr>
            </w:pPr>
            <w:r>
              <w:rPr>
                <w:color w:val="FFFFFF"/>
                <w:spacing w:val="-4"/>
                <w:sz w:val="18"/>
              </w:rPr>
              <w:t>2029</w:t>
            </w:r>
          </w:p>
        </w:tc>
        <w:tc>
          <w:tcPr>
            <w:tcW w:w="702" w:type="dxa"/>
            <w:shd w:val="clear" w:color="auto" w:fill="808080"/>
          </w:tcPr>
          <w:p>
            <w:pPr>
              <w:pStyle w:val="TableParagraph"/>
              <w:spacing w:before="186"/>
              <w:ind w:left="25"/>
              <w:jc w:val="center"/>
              <w:rPr>
                <w:sz w:val="18"/>
              </w:rPr>
            </w:pPr>
            <w:r>
              <w:rPr>
                <w:color w:val="FFFFFF"/>
                <w:spacing w:val="-4"/>
                <w:sz w:val="18"/>
              </w:rPr>
              <w:t>2030</w:t>
            </w:r>
          </w:p>
        </w:tc>
      </w:tr>
      <w:tr>
        <w:trPr>
          <w:trHeight w:val="299" w:hRule="atLeast"/>
        </w:trPr>
        <w:tc>
          <w:tcPr>
            <w:tcW w:w="1147" w:type="dxa"/>
            <w:shd w:val="clear" w:color="auto" w:fill="44536A"/>
          </w:tcPr>
          <w:p>
            <w:pPr>
              <w:pStyle w:val="TableParagraph"/>
              <w:spacing w:before="49"/>
              <w:ind w:left="69"/>
              <w:rPr>
                <w:sz w:val="18"/>
              </w:rPr>
            </w:pPr>
            <w:r>
              <w:rPr>
                <w:color w:val="FFFFFF"/>
                <w:spacing w:val="-2"/>
                <w:sz w:val="18"/>
              </w:rPr>
              <w:t>Metas</w:t>
            </w:r>
          </w:p>
        </w:tc>
        <w:tc>
          <w:tcPr>
            <w:tcW w:w="1005" w:type="dxa"/>
          </w:tcPr>
          <w:p>
            <w:pPr>
              <w:pStyle w:val="TableParagraph"/>
              <w:spacing w:before="61"/>
              <w:ind w:left="280"/>
              <w:rPr>
                <w:sz w:val="16"/>
              </w:rPr>
            </w:pPr>
            <w:r>
              <w:rPr>
                <w:spacing w:val="-2"/>
                <w:sz w:val="16"/>
              </w:rPr>
              <w:t>8.00%</w:t>
            </w:r>
          </w:p>
        </w:tc>
        <w:tc>
          <w:tcPr>
            <w:tcW w:w="706" w:type="dxa"/>
          </w:tcPr>
          <w:p>
            <w:pPr>
              <w:pStyle w:val="TableParagraph"/>
              <w:spacing w:before="61"/>
              <w:ind w:left="11"/>
              <w:jc w:val="center"/>
              <w:rPr>
                <w:sz w:val="16"/>
              </w:rPr>
            </w:pPr>
            <w:r>
              <w:rPr>
                <w:spacing w:val="-2"/>
                <w:sz w:val="16"/>
              </w:rPr>
              <w:t>10.00%</w:t>
            </w:r>
          </w:p>
        </w:tc>
        <w:tc>
          <w:tcPr>
            <w:tcW w:w="705" w:type="dxa"/>
          </w:tcPr>
          <w:p>
            <w:pPr>
              <w:pStyle w:val="TableParagraph"/>
              <w:spacing w:before="61"/>
              <w:ind w:left="25" w:right="13"/>
              <w:jc w:val="center"/>
              <w:rPr>
                <w:sz w:val="16"/>
              </w:rPr>
            </w:pPr>
            <w:r>
              <w:rPr>
                <w:spacing w:val="-2"/>
                <w:sz w:val="16"/>
              </w:rPr>
              <w:t>10.00%</w:t>
            </w:r>
          </w:p>
        </w:tc>
        <w:tc>
          <w:tcPr>
            <w:tcW w:w="705" w:type="dxa"/>
          </w:tcPr>
          <w:p>
            <w:pPr>
              <w:pStyle w:val="TableParagraph"/>
              <w:spacing w:before="61"/>
              <w:ind w:left="25" w:right="17"/>
              <w:jc w:val="center"/>
              <w:rPr>
                <w:sz w:val="16"/>
              </w:rPr>
            </w:pPr>
            <w:r>
              <w:rPr>
                <w:spacing w:val="-2"/>
                <w:sz w:val="16"/>
              </w:rPr>
              <w:t>10.00%</w:t>
            </w:r>
          </w:p>
        </w:tc>
        <w:tc>
          <w:tcPr>
            <w:tcW w:w="705" w:type="dxa"/>
          </w:tcPr>
          <w:p>
            <w:pPr>
              <w:pStyle w:val="TableParagraph"/>
              <w:spacing w:before="61"/>
              <w:ind w:left="25" w:right="16"/>
              <w:jc w:val="center"/>
              <w:rPr>
                <w:sz w:val="16"/>
              </w:rPr>
            </w:pPr>
            <w:r>
              <w:rPr>
                <w:spacing w:val="-2"/>
                <w:sz w:val="16"/>
              </w:rPr>
              <w:t>10.00%</w:t>
            </w:r>
          </w:p>
        </w:tc>
        <w:tc>
          <w:tcPr>
            <w:tcW w:w="702" w:type="dxa"/>
          </w:tcPr>
          <w:p>
            <w:pPr>
              <w:pStyle w:val="TableParagraph"/>
              <w:spacing w:before="61"/>
              <w:ind w:left="25" w:right="16"/>
              <w:jc w:val="center"/>
              <w:rPr>
                <w:sz w:val="16"/>
              </w:rPr>
            </w:pPr>
            <w:r>
              <w:rPr>
                <w:spacing w:val="-2"/>
                <w:sz w:val="16"/>
              </w:rPr>
              <w:t>10.00%</w:t>
            </w:r>
          </w:p>
        </w:tc>
        <w:tc>
          <w:tcPr>
            <w:tcW w:w="704" w:type="dxa"/>
          </w:tcPr>
          <w:p>
            <w:pPr>
              <w:pStyle w:val="TableParagraph"/>
              <w:spacing w:before="61"/>
              <w:ind w:left="23" w:right="8"/>
              <w:jc w:val="center"/>
              <w:rPr>
                <w:sz w:val="16"/>
              </w:rPr>
            </w:pPr>
            <w:r>
              <w:rPr>
                <w:spacing w:val="-2"/>
                <w:sz w:val="16"/>
              </w:rPr>
              <w:t>10.00%</w:t>
            </w:r>
          </w:p>
        </w:tc>
        <w:tc>
          <w:tcPr>
            <w:tcW w:w="704" w:type="dxa"/>
          </w:tcPr>
          <w:p>
            <w:pPr>
              <w:pStyle w:val="TableParagraph"/>
              <w:spacing w:before="61"/>
              <w:ind w:left="23" w:right="5"/>
              <w:jc w:val="center"/>
              <w:rPr>
                <w:sz w:val="16"/>
              </w:rPr>
            </w:pPr>
            <w:r>
              <w:rPr>
                <w:spacing w:val="-2"/>
                <w:sz w:val="16"/>
              </w:rPr>
              <w:t>10.00%</w:t>
            </w:r>
          </w:p>
        </w:tc>
        <w:tc>
          <w:tcPr>
            <w:tcW w:w="705" w:type="dxa"/>
          </w:tcPr>
          <w:p>
            <w:pPr>
              <w:pStyle w:val="TableParagraph"/>
              <w:spacing w:before="61"/>
              <w:ind w:left="25" w:right="5"/>
              <w:jc w:val="center"/>
              <w:rPr>
                <w:sz w:val="16"/>
              </w:rPr>
            </w:pPr>
            <w:r>
              <w:rPr>
                <w:spacing w:val="-2"/>
                <w:sz w:val="16"/>
              </w:rPr>
              <w:t>10.00%</w:t>
            </w:r>
          </w:p>
        </w:tc>
        <w:tc>
          <w:tcPr>
            <w:tcW w:w="702" w:type="dxa"/>
          </w:tcPr>
          <w:p>
            <w:pPr>
              <w:pStyle w:val="TableParagraph"/>
              <w:spacing w:before="61"/>
              <w:ind w:left="25" w:right="4"/>
              <w:jc w:val="center"/>
              <w:rPr>
                <w:sz w:val="16"/>
              </w:rPr>
            </w:pPr>
            <w:r>
              <w:rPr>
                <w:spacing w:val="-2"/>
                <w:sz w:val="16"/>
              </w:rPr>
              <w:t>10.00%</w:t>
            </w:r>
          </w:p>
        </w:tc>
      </w:tr>
      <w:tr>
        <w:trPr>
          <w:trHeight w:val="570" w:hRule="atLeast"/>
        </w:trPr>
        <w:tc>
          <w:tcPr>
            <w:tcW w:w="1147"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1005" w:type="dxa"/>
            <w:shd w:val="clear" w:color="auto" w:fill="C8C8C8"/>
          </w:tcPr>
          <w:p>
            <w:pPr>
              <w:pStyle w:val="TableParagraph"/>
              <w:rPr>
                <w:rFonts w:ascii="Times New Roman"/>
                <w:sz w:val="20"/>
              </w:rPr>
            </w:pPr>
          </w:p>
        </w:tc>
        <w:tc>
          <w:tcPr>
            <w:tcW w:w="706" w:type="dxa"/>
          </w:tcPr>
          <w:p>
            <w:pPr>
              <w:pStyle w:val="TableParagraph"/>
              <w:spacing w:before="11"/>
              <w:rPr>
                <w:sz w:val="16"/>
              </w:rPr>
            </w:pPr>
          </w:p>
          <w:p>
            <w:pPr>
              <w:pStyle w:val="TableParagraph"/>
              <w:ind w:left="11" w:right="2"/>
              <w:jc w:val="center"/>
              <w:rPr>
                <w:sz w:val="16"/>
              </w:rPr>
            </w:pPr>
            <w:r>
              <w:rPr>
                <w:spacing w:val="-5"/>
                <w:sz w:val="16"/>
              </w:rPr>
              <w:t>ND</w:t>
            </w:r>
          </w:p>
        </w:tc>
        <w:tc>
          <w:tcPr>
            <w:tcW w:w="705" w:type="dxa"/>
          </w:tcPr>
          <w:p>
            <w:pPr>
              <w:pStyle w:val="TableParagraph"/>
              <w:spacing w:before="11"/>
              <w:rPr>
                <w:sz w:val="16"/>
              </w:rPr>
            </w:pPr>
          </w:p>
          <w:p>
            <w:pPr>
              <w:pStyle w:val="TableParagraph"/>
              <w:ind w:left="25" w:right="13"/>
              <w:jc w:val="center"/>
              <w:rPr>
                <w:sz w:val="16"/>
              </w:rPr>
            </w:pPr>
            <w:r>
              <w:rPr>
                <w:spacing w:val="-2"/>
                <w:sz w:val="16"/>
              </w:rPr>
              <w:t>6.29%</w:t>
            </w:r>
          </w:p>
        </w:tc>
        <w:tc>
          <w:tcPr>
            <w:tcW w:w="705" w:type="dxa"/>
            <w:shd w:val="clear" w:color="auto" w:fill="C8C8C8"/>
          </w:tcPr>
          <w:p>
            <w:pPr>
              <w:pStyle w:val="TableParagraph"/>
              <w:rPr>
                <w:rFonts w:ascii="Times New Roman"/>
                <w:sz w:val="20"/>
              </w:rPr>
            </w:pPr>
          </w:p>
        </w:tc>
        <w:tc>
          <w:tcPr>
            <w:tcW w:w="705" w:type="dxa"/>
            <w:shd w:val="clear" w:color="auto" w:fill="C8C8C8"/>
          </w:tcPr>
          <w:p>
            <w:pPr>
              <w:pStyle w:val="TableParagraph"/>
              <w:rPr>
                <w:rFonts w:ascii="Times New Roman"/>
                <w:sz w:val="20"/>
              </w:rPr>
            </w:pPr>
          </w:p>
        </w:tc>
        <w:tc>
          <w:tcPr>
            <w:tcW w:w="702" w:type="dxa"/>
            <w:shd w:val="clear" w:color="auto" w:fill="C8C8C8"/>
          </w:tcPr>
          <w:p>
            <w:pPr>
              <w:pStyle w:val="TableParagraph"/>
              <w:rPr>
                <w:rFonts w:ascii="Times New Roman"/>
                <w:sz w:val="20"/>
              </w:rPr>
            </w:pPr>
          </w:p>
        </w:tc>
        <w:tc>
          <w:tcPr>
            <w:tcW w:w="704" w:type="dxa"/>
            <w:shd w:val="clear" w:color="auto" w:fill="C8C8C8"/>
          </w:tcPr>
          <w:p>
            <w:pPr>
              <w:pStyle w:val="TableParagraph"/>
              <w:rPr>
                <w:rFonts w:ascii="Times New Roman"/>
                <w:sz w:val="20"/>
              </w:rPr>
            </w:pPr>
          </w:p>
        </w:tc>
        <w:tc>
          <w:tcPr>
            <w:tcW w:w="704" w:type="dxa"/>
            <w:shd w:val="clear" w:color="auto" w:fill="C8C8C8"/>
          </w:tcPr>
          <w:p>
            <w:pPr>
              <w:pStyle w:val="TableParagraph"/>
              <w:rPr>
                <w:rFonts w:ascii="Times New Roman"/>
                <w:sz w:val="20"/>
              </w:rPr>
            </w:pPr>
          </w:p>
        </w:tc>
        <w:tc>
          <w:tcPr>
            <w:tcW w:w="705" w:type="dxa"/>
            <w:shd w:val="clear" w:color="auto" w:fill="C8C8C8"/>
          </w:tcPr>
          <w:p>
            <w:pPr>
              <w:pStyle w:val="TableParagraph"/>
              <w:rPr>
                <w:rFonts w:ascii="Times New Roman"/>
                <w:sz w:val="20"/>
              </w:rPr>
            </w:pPr>
          </w:p>
        </w:tc>
        <w:tc>
          <w:tcPr>
            <w:tcW w:w="702" w:type="dxa"/>
            <w:shd w:val="clear" w:color="auto" w:fill="C8C8C8"/>
          </w:tcPr>
          <w:p>
            <w:pPr>
              <w:pStyle w:val="TableParagraph"/>
              <w:rPr>
                <w:rFonts w:ascii="Times New Roman"/>
                <w:sz w:val="20"/>
              </w:rPr>
            </w:pPr>
          </w:p>
        </w:tc>
      </w:tr>
      <w:tr>
        <w:trPr>
          <w:trHeight w:val="568" w:hRule="atLeast"/>
        </w:trPr>
        <w:tc>
          <w:tcPr>
            <w:tcW w:w="1147" w:type="dxa"/>
            <w:shd w:val="clear" w:color="auto" w:fill="44536A"/>
          </w:tcPr>
          <w:p>
            <w:pPr>
              <w:pStyle w:val="TableParagraph"/>
              <w:spacing w:line="240" w:lineRule="atLeast" w:before="28"/>
              <w:ind w:left="69" w:right="410"/>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1005" w:type="dxa"/>
            <w:shd w:val="clear" w:color="auto" w:fill="C8C8C8"/>
          </w:tcPr>
          <w:p>
            <w:pPr>
              <w:pStyle w:val="TableParagraph"/>
              <w:rPr>
                <w:rFonts w:ascii="Times New Roman"/>
                <w:sz w:val="20"/>
              </w:rPr>
            </w:pPr>
          </w:p>
        </w:tc>
        <w:tc>
          <w:tcPr>
            <w:tcW w:w="706" w:type="dxa"/>
          </w:tcPr>
          <w:p>
            <w:pPr>
              <w:pStyle w:val="TableParagraph"/>
              <w:rPr>
                <w:rFonts w:ascii="Times New Roman"/>
                <w:sz w:val="20"/>
              </w:rPr>
            </w:pPr>
          </w:p>
        </w:tc>
        <w:tc>
          <w:tcPr>
            <w:tcW w:w="705" w:type="dxa"/>
          </w:tcPr>
          <w:p>
            <w:pPr>
              <w:pStyle w:val="TableParagraph"/>
              <w:spacing w:before="11"/>
              <w:rPr>
                <w:sz w:val="16"/>
              </w:rPr>
            </w:pPr>
          </w:p>
          <w:p>
            <w:pPr>
              <w:pStyle w:val="TableParagraph"/>
              <w:ind w:left="25" w:right="13"/>
              <w:jc w:val="center"/>
              <w:rPr>
                <w:sz w:val="16"/>
              </w:rPr>
            </w:pPr>
            <w:r>
              <w:rPr>
                <w:spacing w:val="-4"/>
                <w:sz w:val="16"/>
              </w:rPr>
              <w:t>0.0%</w:t>
            </w:r>
          </w:p>
        </w:tc>
        <w:tc>
          <w:tcPr>
            <w:tcW w:w="705" w:type="dxa"/>
            <w:shd w:val="clear" w:color="auto" w:fill="C8C8C8"/>
          </w:tcPr>
          <w:p>
            <w:pPr>
              <w:pStyle w:val="TableParagraph"/>
              <w:rPr>
                <w:rFonts w:ascii="Times New Roman"/>
                <w:sz w:val="20"/>
              </w:rPr>
            </w:pPr>
          </w:p>
        </w:tc>
        <w:tc>
          <w:tcPr>
            <w:tcW w:w="705" w:type="dxa"/>
            <w:shd w:val="clear" w:color="auto" w:fill="C8C8C8"/>
          </w:tcPr>
          <w:p>
            <w:pPr>
              <w:pStyle w:val="TableParagraph"/>
              <w:rPr>
                <w:rFonts w:ascii="Times New Roman"/>
                <w:sz w:val="20"/>
              </w:rPr>
            </w:pPr>
          </w:p>
        </w:tc>
        <w:tc>
          <w:tcPr>
            <w:tcW w:w="702" w:type="dxa"/>
            <w:shd w:val="clear" w:color="auto" w:fill="C8C8C8"/>
          </w:tcPr>
          <w:p>
            <w:pPr>
              <w:pStyle w:val="TableParagraph"/>
              <w:rPr>
                <w:rFonts w:ascii="Times New Roman"/>
                <w:sz w:val="20"/>
              </w:rPr>
            </w:pPr>
          </w:p>
        </w:tc>
        <w:tc>
          <w:tcPr>
            <w:tcW w:w="704" w:type="dxa"/>
            <w:shd w:val="clear" w:color="auto" w:fill="C8C8C8"/>
          </w:tcPr>
          <w:p>
            <w:pPr>
              <w:pStyle w:val="TableParagraph"/>
              <w:rPr>
                <w:rFonts w:ascii="Times New Roman"/>
                <w:sz w:val="20"/>
              </w:rPr>
            </w:pPr>
          </w:p>
        </w:tc>
        <w:tc>
          <w:tcPr>
            <w:tcW w:w="704" w:type="dxa"/>
            <w:shd w:val="clear" w:color="auto" w:fill="C8C8C8"/>
          </w:tcPr>
          <w:p>
            <w:pPr>
              <w:pStyle w:val="TableParagraph"/>
              <w:rPr>
                <w:rFonts w:ascii="Times New Roman"/>
                <w:sz w:val="20"/>
              </w:rPr>
            </w:pPr>
          </w:p>
        </w:tc>
        <w:tc>
          <w:tcPr>
            <w:tcW w:w="705" w:type="dxa"/>
            <w:shd w:val="clear" w:color="auto" w:fill="C8C8C8"/>
          </w:tcPr>
          <w:p>
            <w:pPr>
              <w:pStyle w:val="TableParagraph"/>
              <w:rPr>
                <w:rFonts w:ascii="Times New Roman"/>
                <w:sz w:val="20"/>
              </w:rPr>
            </w:pPr>
          </w:p>
        </w:tc>
        <w:tc>
          <w:tcPr>
            <w:tcW w:w="702" w:type="dxa"/>
            <w:shd w:val="clear" w:color="auto" w:fill="C8C8C8"/>
          </w:tcPr>
          <w:p>
            <w:pPr>
              <w:pStyle w:val="TableParagraph"/>
              <w:rPr>
                <w:rFonts w:ascii="Times New Roman"/>
                <w:sz w:val="20"/>
              </w:rPr>
            </w:pPr>
          </w:p>
        </w:tc>
      </w:tr>
    </w:tbl>
    <w:p>
      <w:pPr>
        <w:pStyle w:val="BodyText"/>
        <w:spacing w:before="40"/>
        <w:rPr>
          <w:sz w:val="22"/>
        </w:rPr>
      </w:pPr>
    </w:p>
    <w:p>
      <w:pPr>
        <w:spacing w:line="307" w:lineRule="auto" w:before="0"/>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153"/>
        <w:rPr>
          <w:sz w:val="18"/>
        </w:rPr>
      </w:pPr>
    </w:p>
    <w:p>
      <w:pPr>
        <w:pStyle w:val="BodyText"/>
        <w:spacing w:line="307" w:lineRule="auto"/>
        <w:ind w:left="143" w:right="703"/>
        <w:jc w:val="both"/>
      </w:pPr>
      <w:r>
        <w:rPr/>
        <w:t>Cabe precisar que durante el 2022 se logró que 39,220 mujeres accedan a un título de propiedad inscrito en el Registro de Predios, cifra que incrementó a 41,686 en el 2023.</w:t>
      </w:r>
    </w:p>
    <w:p>
      <w:pPr>
        <w:pStyle w:val="BodyText"/>
        <w:spacing w:before="238"/>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7" w:lineRule="auto" w:before="232"/>
        <w:ind w:left="143" w:right="711"/>
        <w:jc w:val="both"/>
      </w:pPr>
      <w:r>
        <w:rPr>
          <w:w w:val="105"/>
        </w:rPr>
        <w:t>El 2023 fue el primer año de reporte del indicador por lo que no se puede comparar</w:t>
      </w:r>
      <w:r>
        <w:rPr>
          <w:spacing w:val="-2"/>
          <w:w w:val="105"/>
        </w:rPr>
        <w:t> </w:t>
      </w:r>
      <w:r>
        <w:rPr>
          <w:w w:val="105"/>
        </w:rPr>
        <w:t>su</w:t>
      </w:r>
      <w:r>
        <w:rPr>
          <w:spacing w:val="-2"/>
          <w:w w:val="105"/>
        </w:rPr>
        <w:t> </w:t>
      </w:r>
      <w:r>
        <w:rPr>
          <w:w w:val="105"/>
        </w:rPr>
        <w:t>evolución</w:t>
      </w:r>
      <w:r>
        <w:rPr>
          <w:spacing w:val="-2"/>
          <w:w w:val="105"/>
        </w:rPr>
        <w:t> </w:t>
      </w:r>
      <w:r>
        <w:rPr>
          <w:w w:val="105"/>
        </w:rPr>
        <w:t>respecto</w:t>
      </w:r>
      <w:r>
        <w:rPr>
          <w:spacing w:val="-2"/>
          <w:w w:val="105"/>
        </w:rPr>
        <w:t> </w:t>
      </w:r>
      <w:r>
        <w:rPr>
          <w:w w:val="105"/>
        </w:rPr>
        <w:t>a</w:t>
      </w:r>
      <w:r>
        <w:rPr>
          <w:spacing w:val="-2"/>
          <w:w w:val="105"/>
        </w:rPr>
        <w:t> </w:t>
      </w:r>
      <w:r>
        <w:rPr>
          <w:w w:val="105"/>
        </w:rPr>
        <w:t>otros</w:t>
      </w:r>
      <w:r>
        <w:rPr>
          <w:spacing w:val="-2"/>
          <w:w w:val="105"/>
        </w:rPr>
        <w:t> </w:t>
      </w:r>
      <w:r>
        <w:rPr>
          <w:w w:val="105"/>
        </w:rPr>
        <w:t>periodos.</w:t>
      </w:r>
      <w:r>
        <w:rPr>
          <w:spacing w:val="-2"/>
          <w:w w:val="105"/>
        </w:rPr>
        <w:t> </w:t>
      </w:r>
      <w:r>
        <w:rPr>
          <w:w w:val="105"/>
        </w:rPr>
        <w:t>No</w:t>
      </w:r>
      <w:r>
        <w:rPr>
          <w:spacing w:val="-2"/>
          <w:w w:val="105"/>
        </w:rPr>
        <w:t> </w:t>
      </w:r>
      <w:r>
        <w:rPr>
          <w:w w:val="105"/>
        </w:rPr>
        <w:t>obstante,</w:t>
      </w:r>
      <w:r>
        <w:rPr>
          <w:spacing w:val="-2"/>
          <w:w w:val="105"/>
        </w:rPr>
        <w:t> </w:t>
      </w:r>
      <w:r>
        <w:rPr>
          <w:w w:val="105"/>
        </w:rPr>
        <w:t>a</w:t>
      </w:r>
      <w:r>
        <w:rPr>
          <w:spacing w:val="-2"/>
          <w:w w:val="105"/>
        </w:rPr>
        <w:t> </w:t>
      </w:r>
      <w:r>
        <w:rPr>
          <w:w w:val="105"/>
        </w:rPr>
        <w:t>partir</w:t>
      </w:r>
      <w:r>
        <w:rPr>
          <w:spacing w:val="-2"/>
          <w:w w:val="105"/>
        </w:rPr>
        <w:t> </w:t>
      </w:r>
      <w:r>
        <w:rPr>
          <w:w w:val="105"/>
        </w:rPr>
        <w:t>de</w:t>
      </w:r>
      <w:r>
        <w:rPr>
          <w:spacing w:val="-5"/>
          <w:w w:val="105"/>
        </w:rPr>
        <w:t> </w:t>
      </w:r>
      <w:r>
        <w:rPr>
          <w:w w:val="105"/>
        </w:rPr>
        <w:t>la </w:t>
      </w:r>
      <w:r>
        <w:rPr/>
        <w:t>información de la revisión del protocolo del servicio se identifica que el servicio se brinda principalmente en tres etapas: i) identificación de zonas en donde se </w:t>
      </w:r>
      <w:r>
        <w:rPr>
          <w:w w:val="105"/>
        </w:rPr>
        <w:t>ubican</w:t>
      </w:r>
      <w:r>
        <w:rPr>
          <w:w w:val="105"/>
        </w:rPr>
        <w:t> posesiones</w:t>
      </w:r>
      <w:r>
        <w:rPr>
          <w:w w:val="105"/>
        </w:rPr>
        <w:t> informales</w:t>
      </w:r>
      <w:r>
        <w:rPr>
          <w:w w:val="105"/>
        </w:rPr>
        <w:t> que</w:t>
      </w:r>
      <w:r>
        <w:rPr>
          <w:w w:val="105"/>
        </w:rPr>
        <w:t> no</w:t>
      </w:r>
      <w:r>
        <w:rPr>
          <w:w w:val="105"/>
        </w:rPr>
        <w:t> se</w:t>
      </w:r>
      <w:r>
        <w:rPr>
          <w:w w:val="105"/>
        </w:rPr>
        <w:t> encuentren</w:t>
      </w:r>
      <w:r>
        <w:rPr>
          <w:w w:val="105"/>
        </w:rPr>
        <w:t> en</w:t>
      </w:r>
      <w:r>
        <w:rPr>
          <w:w w:val="105"/>
        </w:rPr>
        <w:t> zona</w:t>
      </w:r>
      <w:r>
        <w:rPr>
          <w:w w:val="105"/>
        </w:rPr>
        <w:t> de</w:t>
      </w:r>
      <w:r>
        <w:rPr>
          <w:w w:val="105"/>
        </w:rPr>
        <w:t> riesgo,</w:t>
      </w:r>
      <w:r>
        <w:rPr>
          <w:w w:val="105"/>
        </w:rPr>
        <w:t> ii) empadronamiento</w:t>
      </w:r>
      <w:r>
        <w:rPr>
          <w:spacing w:val="54"/>
          <w:w w:val="150"/>
        </w:rPr>
        <w:t> </w:t>
      </w:r>
      <w:r>
        <w:rPr>
          <w:w w:val="105"/>
        </w:rPr>
        <w:t>de</w:t>
      </w:r>
      <w:r>
        <w:rPr>
          <w:spacing w:val="54"/>
          <w:w w:val="150"/>
        </w:rPr>
        <w:t> </w:t>
      </w:r>
      <w:r>
        <w:rPr>
          <w:w w:val="105"/>
        </w:rPr>
        <w:t>las</w:t>
      </w:r>
      <w:r>
        <w:rPr>
          <w:spacing w:val="54"/>
          <w:w w:val="150"/>
        </w:rPr>
        <w:t> </w:t>
      </w:r>
      <w:r>
        <w:rPr>
          <w:w w:val="105"/>
        </w:rPr>
        <w:t>personas</w:t>
      </w:r>
      <w:r>
        <w:rPr>
          <w:spacing w:val="54"/>
          <w:w w:val="150"/>
        </w:rPr>
        <w:t> </w:t>
      </w:r>
      <w:r>
        <w:rPr>
          <w:w w:val="105"/>
        </w:rPr>
        <w:t>que</w:t>
      </w:r>
      <w:r>
        <w:rPr>
          <w:spacing w:val="52"/>
          <w:w w:val="150"/>
        </w:rPr>
        <w:t> </w:t>
      </w:r>
      <w:r>
        <w:rPr>
          <w:w w:val="105"/>
        </w:rPr>
        <w:t>se</w:t>
      </w:r>
      <w:r>
        <w:rPr>
          <w:spacing w:val="54"/>
          <w:w w:val="150"/>
        </w:rPr>
        <w:t> </w:t>
      </w:r>
      <w:r>
        <w:rPr>
          <w:w w:val="105"/>
        </w:rPr>
        <w:t>encuentran</w:t>
      </w:r>
      <w:r>
        <w:rPr>
          <w:spacing w:val="54"/>
          <w:w w:val="150"/>
        </w:rPr>
        <w:t> </w:t>
      </w:r>
      <w:r>
        <w:rPr>
          <w:w w:val="105"/>
        </w:rPr>
        <w:t>en</w:t>
      </w:r>
      <w:r>
        <w:rPr>
          <w:spacing w:val="52"/>
          <w:w w:val="150"/>
        </w:rPr>
        <w:t> </w:t>
      </w:r>
      <w:r>
        <w:rPr>
          <w:w w:val="105"/>
        </w:rPr>
        <w:t>la</w:t>
      </w:r>
      <w:r>
        <w:rPr>
          <w:spacing w:val="53"/>
          <w:w w:val="150"/>
        </w:rPr>
        <w:t> </w:t>
      </w:r>
      <w:r>
        <w:rPr>
          <w:w w:val="105"/>
        </w:rPr>
        <w:t>zona</w:t>
      </w:r>
      <w:r>
        <w:rPr>
          <w:spacing w:val="53"/>
          <w:w w:val="150"/>
        </w:rPr>
        <w:t> </w:t>
      </w:r>
      <w:r>
        <w:rPr>
          <w:spacing w:val="-7"/>
          <w:w w:val="105"/>
        </w:rPr>
        <w:t>de</w:t>
      </w:r>
    </w:p>
    <w:p>
      <w:pPr>
        <w:pStyle w:val="BodyText"/>
        <w:spacing w:before="202"/>
        <w:rPr>
          <w:sz w:val="20"/>
        </w:rPr>
      </w:pPr>
      <w:r>
        <w:rPr>
          <w:sz w:val="20"/>
        </w:rPr>
        <mc:AlternateContent>
          <mc:Choice Requires="wps">
            <w:drawing>
              <wp:anchor distT="0" distB="0" distL="0" distR="0" allowOverlap="1" layoutInCell="1" locked="0" behindDoc="1" simplePos="0" relativeHeight="487595008">
                <wp:simplePos x="0" y="0"/>
                <wp:positionH relativeFrom="page">
                  <wp:posOffset>1080820</wp:posOffset>
                </wp:positionH>
                <wp:positionV relativeFrom="paragraph">
                  <wp:posOffset>289754</wp:posOffset>
                </wp:positionV>
                <wp:extent cx="1829435" cy="9525"/>
                <wp:effectExtent l="0" t="0" r="0" b="0"/>
                <wp:wrapTopAndBottom/>
                <wp:docPr id="447" name="Graphic 447"/>
                <wp:cNvGraphicFramePr>
                  <a:graphicFrameLocks/>
                </wp:cNvGraphicFramePr>
                <a:graphic>
                  <a:graphicData uri="http://schemas.microsoft.com/office/word/2010/wordprocessingShape">
                    <wps:wsp>
                      <wps:cNvPr id="447" name="Graphic 447"/>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22.815338pt;width:144.020pt;height:.71997pt;mso-position-horizontal-relative:page;mso-position-vertical-relative:paragraph;z-index:-15721472;mso-wrap-distance-left:0;mso-wrap-distance-right:0" id="docshape442" filled="true" fillcolor="#000000" stroked="false">
                <v:fill type="solid"/>
                <w10:wrap type="topAndBottom"/>
              </v:rect>
            </w:pict>
          </mc:Fallback>
        </mc:AlternateContent>
      </w:r>
    </w:p>
    <w:p>
      <w:pPr>
        <w:spacing w:before="102"/>
        <w:ind w:left="143" w:right="710" w:firstLine="0"/>
        <w:jc w:val="left"/>
        <w:rPr>
          <w:rFonts w:ascii="Calibri"/>
          <w:sz w:val="20"/>
        </w:rPr>
      </w:pPr>
      <w:bookmarkStart w:name="_bookmark17" w:id="18"/>
      <w:bookmarkEnd w:id="18"/>
      <w:r>
        <w:rPr/>
      </w:r>
      <w:r>
        <w:rPr>
          <w:rFonts w:ascii="Calibri"/>
          <w:sz w:val="20"/>
          <w:vertAlign w:val="superscript"/>
        </w:rPr>
        <w:t>6</w:t>
      </w:r>
      <w:r>
        <w:rPr>
          <w:rFonts w:ascii="Calibri"/>
          <w:spacing w:val="-3"/>
          <w:sz w:val="20"/>
          <w:vertAlign w:val="baseline"/>
        </w:rPr>
        <w:t> </w:t>
      </w:r>
      <w:r>
        <w:rPr>
          <w:rFonts w:ascii="Calibri"/>
          <w:sz w:val="20"/>
          <w:vertAlign w:val="baseline"/>
        </w:rPr>
        <w:t>Este</w:t>
      </w:r>
      <w:r>
        <w:rPr>
          <w:rFonts w:ascii="Calibri"/>
          <w:spacing w:val="-3"/>
          <w:sz w:val="20"/>
          <w:vertAlign w:val="baseline"/>
        </w:rPr>
        <w:t> </w:t>
      </w:r>
      <w:r>
        <w:rPr>
          <w:rFonts w:ascii="Calibri"/>
          <w:sz w:val="20"/>
          <w:vertAlign w:val="baseline"/>
        </w:rPr>
        <w:t>indicador</w:t>
      </w:r>
      <w:r>
        <w:rPr>
          <w:rFonts w:ascii="Calibri"/>
          <w:spacing w:val="-2"/>
          <w:sz w:val="20"/>
          <w:vertAlign w:val="baseline"/>
        </w:rPr>
        <w:t> </w:t>
      </w:r>
      <w:r>
        <w:rPr>
          <w:rFonts w:ascii="Calibri"/>
          <w:sz w:val="20"/>
          <w:vertAlign w:val="baseline"/>
        </w:rPr>
        <w:t>solo</w:t>
      </w:r>
      <w:r>
        <w:rPr>
          <w:rFonts w:ascii="Calibri"/>
          <w:spacing w:val="-5"/>
          <w:sz w:val="20"/>
          <w:vertAlign w:val="baseline"/>
        </w:rPr>
        <w:t> </w:t>
      </w:r>
      <w:r>
        <w:rPr>
          <w:rFonts w:ascii="Calibri"/>
          <w:sz w:val="20"/>
          <w:vertAlign w:val="baseline"/>
        </w:rPr>
        <w:t>puede</w:t>
      </w:r>
      <w:r>
        <w:rPr>
          <w:rFonts w:ascii="Calibri"/>
          <w:spacing w:val="-3"/>
          <w:sz w:val="20"/>
          <w:vertAlign w:val="baseline"/>
        </w:rPr>
        <w:t> </w:t>
      </w:r>
      <w:r>
        <w:rPr>
          <w:rFonts w:ascii="Calibri"/>
          <w:sz w:val="20"/>
          <w:vertAlign w:val="baseline"/>
        </w:rPr>
        <w:t>registrar</w:t>
      </w:r>
      <w:r>
        <w:rPr>
          <w:rFonts w:ascii="Calibri"/>
          <w:spacing w:val="-2"/>
          <w:sz w:val="20"/>
          <w:vertAlign w:val="baseline"/>
        </w:rPr>
        <w:t> </w:t>
      </w:r>
      <w:r>
        <w:rPr>
          <w:rFonts w:ascii="Calibri"/>
          <w:sz w:val="20"/>
          <w:vertAlign w:val="baseline"/>
        </w:rPr>
        <w:t>un</w:t>
      </w:r>
      <w:r>
        <w:rPr>
          <w:rFonts w:ascii="Calibri"/>
          <w:spacing w:val="-2"/>
          <w:sz w:val="20"/>
          <w:vertAlign w:val="baseline"/>
        </w:rPr>
        <w:t> </w:t>
      </w:r>
      <w:r>
        <w:rPr>
          <w:rFonts w:ascii="Calibri"/>
          <w:sz w:val="20"/>
          <w:vertAlign w:val="baseline"/>
        </w:rPr>
        <w:t>valor</w:t>
      </w:r>
      <w:r>
        <w:rPr>
          <w:rFonts w:ascii="Calibri"/>
          <w:spacing w:val="-2"/>
          <w:sz w:val="20"/>
          <w:vertAlign w:val="baseline"/>
        </w:rPr>
        <w:t> </w:t>
      </w:r>
      <w:r>
        <w:rPr>
          <w:rFonts w:ascii="Calibri"/>
          <w:sz w:val="20"/>
          <w:vertAlign w:val="baseline"/>
        </w:rPr>
        <w:t>de</w:t>
      </w:r>
      <w:r>
        <w:rPr>
          <w:rFonts w:ascii="Calibri"/>
          <w:spacing w:val="-3"/>
          <w:sz w:val="20"/>
          <w:vertAlign w:val="baseline"/>
        </w:rPr>
        <w:t> </w:t>
      </w:r>
      <w:r>
        <w:rPr>
          <w:rFonts w:ascii="Calibri"/>
          <w:sz w:val="20"/>
          <w:vertAlign w:val="baseline"/>
        </w:rPr>
        <w:t>0%</w:t>
      </w:r>
      <w:r>
        <w:rPr>
          <w:rFonts w:ascii="Calibri"/>
          <w:spacing w:val="-3"/>
          <w:sz w:val="20"/>
          <w:vertAlign w:val="baseline"/>
        </w:rPr>
        <w:t> </w:t>
      </w:r>
      <w:r>
        <w:rPr>
          <w:rFonts w:ascii="Calibri"/>
          <w:sz w:val="20"/>
          <w:vertAlign w:val="baseline"/>
        </w:rPr>
        <w:t>o</w:t>
      </w:r>
      <w:r>
        <w:rPr>
          <w:rFonts w:ascii="Calibri"/>
          <w:spacing w:val="-2"/>
          <w:sz w:val="20"/>
          <w:vertAlign w:val="baseline"/>
        </w:rPr>
        <w:t> </w:t>
      </w:r>
      <w:r>
        <w:rPr>
          <w:rFonts w:ascii="Calibri"/>
          <w:sz w:val="20"/>
          <w:vertAlign w:val="baseline"/>
        </w:rPr>
        <w:t>100%</w:t>
      </w:r>
      <w:r>
        <w:rPr>
          <w:rFonts w:ascii="Calibri"/>
          <w:spacing w:val="-1"/>
          <w:sz w:val="20"/>
          <w:vertAlign w:val="baseline"/>
        </w:rPr>
        <w:t> </w:t>
      </w:r>
      <w:r>
        <w:rPr>
          <w:rFonts w:ascii="Calibri"/>
          <w:sz w:val="20"/>
          <w:vertAlign w:val="baseline"/>
        </w:rPr>
        <w:t>debido</w:t>
      </w:r>
      <w:r>
        <w:rPr>
          <w:rFonts w:ascii="Calibri"/>
          <w:spacing w:val="-2"/>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que</w:t>
      </w:r>
      <w:r>
        <w:rPr>
          <w:rFonts w:ascii="Calibri"/>
          <w:spacing w:val="-3"/>
          <w:sz w:val="20"/>
          <w:vertAlign w:val="baseline"/>
        </w:rPr>
        <w:t> </w:t>
      </w:r>
      <w:r>
        <w:rPr>
          <w:rFonts w:ascii="Calibri"/>
          <w:sz w:val="20"/>
          <w:vertAlign w:val="baseline"/>
        </w:rPr>
        <w:t>en</w:t>
      </w:r>
      <w:r>
        <w:rPr>
          <w:rFonts w:ascii="Calibri"/>
          <w:spacing w:val="-2"/>
          <w:sz w:val="20"/>
          <w:vertAlign w:val="baseline"/>
        </w:rPr>
        <w:t> </w:t>
      </w:r>
      <w:r>
        <w:rPr>
          <w:rFonts w:ascii="Calibri"/>
          <w:sz w:val="20"/>
          <w:vertAlign w:val="baseline"/>
        </w:rPr>
        <w:t>su</w:t>
      </w:r>
      <w:r>
        <w:rPr>
          <w:rFonts w:ascii="Calibri"/>
          <w:spacing w:val="-2"/>
          <w:sz w:val="20"/>
          <w:vertAlign w:val="baseline"/>
        </w:rPr>
        <w:t> </w:t>
      </w:r>
      <w:r>
        <w:rPr>
          <w:rFonts w:ascii="Calibri"/>
          <w:sz w:val="20"/>
          <w:vertAlign w:val="baseline"/>
        </w:rPr>
        <w:t>ficha</w:t>
      </w:r>
      <w:r>
        <w:rPr>
          <w:rFonts w:ascii="Calibri"/>
          <w:spacing w:val="-2"/>
          <w:sz w:val="20"/>
          <w:vertAlign w:val="baseline"/>
        </w:rPr>
        <w:t> </w:t>
      </w:r>
      <w:r>
        <w:rPr>
          <w:rFonts w:ascii="Calibri"/>
          <w:sz w:val="20"/>
          <w:vertAlign w:val="baseline"/>
        </w:rPr>
        <w:t>se</w:t>
      </w:r>
      <w:r>
        <w:rPr>
          <w:rFonts w:ascii="Calibri"/>
          <w:spacing w:val="-3"/>
          <w:sz w:val="20"/>
          <w:vertAlign w:val="baseline"/>
        </w:rPr>
        <w:t> </w:t>
      </w:r>
      <w:r>
        <w:rPr>
          <w:rFonts w:ascii="Calibri"/>
          <w:sz w:val="20"/>
          <w:vertAlign w:val="baseline"/>
        </w:rPr>
        <w:t>define</w:t>
      </w:r>
      <w:r>
        <w:rPr>
          <w:rFonts w:ascii="Calibri"/>
          <w:spacing w:val="-3"/>
          <w:sz w:val="20"/>
          <w:vertAlign w:val="baseline"/>
        </w:rPr>
        <w:t> </w:t>
      </w:r>
      <w:r>
        <w:rPr>
          <w:rFonts w:ascii="Calibri"/>
          <w:sz w:val="20"/>
          <w:vertAlign w:val="baseline"/>
        </w:rPr>
        <w:t>como</w:t>
      </w:r>
      <w:r>
        <w:rPr>
          <w:rFonts w:ascii="Calibri"/>
          <w:spacing w:val="-2"/>
          <w:sz w:val="20"/>
          <w:vertAlign w:val="baseline"/>
        </w:rPr>
        <w:t> </w:t>
      </w:r>
      <w:r>
        <w:rPr>
          <w:rFonts w:ascii="Calibri"/>
          <w:sz w:val="20"/>
          <w:vertAlign w:val="baseline"/>
        </w:rPr>
        <w:t>de sentido no definido y establece un umbral que debe superar para registrar 100% de cumplimiento.</w:t>
      </w:r>
    </w:p>
    <w:p>
      <w:pPr>
        <w:spacing w:before="0"/>
        <w:ind w:left="143" w:right="710" w:firstLine="0"/>
        <w:jc w:val="left"/>
        <w:rPr>
          <w:rFonts w:ascii="Calibri"/>
          <w:sz w:val="20"/>
        </w:rPr>
      </w:pPr>
      <w:bookmarkStart w:name="_bookmark18" w:id="19"/>
      <w:bookmarkEnd w:id="19"/>
      <w:r>
        <w:rPr/>
      </w:r>
      <w:r>
        <w:rPr>
          <w:rFonts w:ascii="Calibri"/>
          <w:sz w:val="20"/>
          <w:vertAlign w:val="superscript"/>
        </w:rPr>
        <w:t>7</w:t>
      </w:r>
      <w:r>
        <w:rPr>
          <w:rFonts w:ascii="Calibri"/>
          <w:spacing w:val="39"/>
          <w:sz w:val="20"/>
          <w:vertAlign w:val="baseline"/>
        </w:rPr>
        <w:t> </w:t>
      </w:r>
      <w:r>
        <w:rPr>
          <w:rFonts w:ascii="Calibri"/>
          <w:sz w:val="20"/>
          <w:vertAlign w:val="baseline"/>
        </w:rPr>
        <w:t>Dado</w:t>
      </w:r>
      <w:r>
        <w:rPr>
          <w:rFonts w:ascii="Calibri"/>
          <w:spacing w:val="-3"/>
          <w:sz w:val="20"/>
          <w:vertAlign w:val="baseline"/>
        </w:rPr>
        <w:t> </w:t>
      </w:r>
      <w:r>
        <w:rPr>
          <w:rFonts w:ascii="Calibri"/>
          <w:sz w:val="20"/>
          <w:vertAlign w:val="baseline"/>
        </w:rPr>
        <w:t>que</w:t>
      </w:r>
      <w:r>
        <w:rPr>
          <w:rFonts w:ascii="Calibri"/>
          <w:spacing w:val="-4"/>
          <w:sz w:val="20"/>
          <w:vertAlign w:val="baseline"/>
        </w:rPr>
        <w:t> </w:t>
      </w:r>
      <w:r>
        <w:rPr>
          <w:rFonts w:ascii="Calibri"/>
          <w:sz w:val="20"/>
          <w:vertAlign w:val="baseline"/>
        </w:rPr>
        <w:t>la</w:t>
      </w:r>
      <w:r>
        <w:rPr>
          <w:rFonts w:ascii="Calibri"/>
          <w:spacing w:val="-3"/>
          <w:sz w:val="20"/>
          <w:vertAlign w:val="baseline"/>
        </w:rPr>
        <w:t> </w:t>
      </w:r>
      <w:r>
        <w:rPr>
          <w:rFonts w:ascii="Calibri"/>
          <w:sz w:val="20"/>
          <w:vertAlign w:val="baseline"/>
        </w:rPr>
        <w:t>ficha</w:t>
      </w:r>
      <w:r>
        <w:rPr>
          <w:rFonts w:ascii="Calibri"/>
          <w:spacing w:val="-3"/>
          <w:sz w:val="20"/>
          <w:vertAlign w:val="baseline"/>
        </w:rPr>
        <w:t> </w:t>
      </w:r>
      <w:r>
        <w:rPr>
          <w:rFonts w:ascii="Calibri"/>
          <w:sz w:val="20"/>
          <w:vertAlign w:val="baseline"/>
        </w:rPr>
        <w:t>del</w:t>
      </w:r>
      <w:r>
        <w:rPr>
          <w:rFonts w:ascii="Calibri"/>
          <w:spacing w:val="-4"/>
          <w:sz w:val="20"/>
          <w:vertAlign w:val="baseline"/>
        </w:rPr>
        <w:t> </w:t>
      </w:r>
      <w:r>
        <w:rPr>
          <w:rFonts w:ascii="Calibri"/>
          <w:sz w:val="20"/>
          <w:vertAlign w:val="baseline"/>
        </w:rPr>
        <w:t>indicador</w:t>
      </w:r>
      <w:r>
        <w:rPr>
          <w:rFonts w:ascii="Calibri"/>
          <w:spacing w:val="-3"/>
          <w:sz w:val="20"/>
          <w:vertAlign w:val="baseline"/>
        </w:rPr>
        <w:t> </w:t>
      </w:r>
      <w:r>
        <w:rPr>
          <w:rFonts w:ascii="Calibri"/>
          <w:sz w:val="20"/>
          <w:vertAlign w:val="baseline"/>
        </w:rPr>
        <w:t>especifica</w:t>
      </w:r>
      <w:r>
        <w:rPr>
          <w:rFonts w:ascii="Calibri"/>
          <w:spacing w:val="-3"/>
          <w:sz w:val="20"/>
          <w:vertAlign w:val="baseline"/>
        </w:rPr>
        <w:t> </w:t>
      </w:r>
      <w:r>
        <w:rPr>
          <w:rFonts w:ascii="Calibri"/>
          <w:sz w:val="20"/>
          <w:vertAlign w:val="baseline"/>
        </w:rPr>
        <w:t>que</w:t>
      </w:r>
      <w:r>
        <w:rPr>
          <w:rFonts w:ascii="Calibri"/>
          <w:spacing w:val="-4"/>
          <w:sz w:val="20"/>
          <w:vertAlign w:val="baseline"/>
        </w:rPr>
        <w:t> </w:t>
      </w:r>
      <w:r>
        <w:rPr>
          <w:rFonts w:ascii="Calibri"/>
          <w:sz w:val="20"/>
          <w:vertAlign w:val="baseline"/>
        </w:rPr>
        <w:t>el</w:t>
      </w:r>
      <w:r>
        <w:rPr>
          <w:rFonts w:ascii="Calibri"/>
          <w:spacing w:val="-4"/>
          <w:sz w:val="20"/>
          <w:vertAlign w:val="baseline"/>
        </w:rPr>
        <w:t> </w:t>
      </w:r>
      <w:r>
        <w:rPr>
          <w:rFonts w:ascii="Calibri"/>
          <w:sz w:val="20"/>
          <w:vertAlign w:val="baseline"/>
        </w:rPr>
        <w:t>indicador</w:t>
      </w:r>
      <w:r>
        <w:rPr>
          <w:rFonts w:ascii="Calibri"/>
          <w:spacing w:val="-3"/>
          <w:sz w:val="20"/>
          <w:vertAlign w:val="baseline"/>
        </w:rPr>
        <w:t> </w:t>
      </w:r>
      <w:r>
        <w:rPr>
          <w:rFonts w:ascii="Calibri"/>
          <w:sz w:val="20"/>
          <w:vertAlign w:val="baseline"/>
        </w:rPr>
        <w:t>tiene</w:t>
      </w:r>
      <w:r>
        <w:rPr>
          <w:rFonts w:ascii="Calibri"/>
          <w:spacing w:val="-4"/>
          <w:sz w:val="20"/>
          <w:vertAlign w:val="baseline"/>
        </w:rPr>
        <w:t> </w:t>
      </w:r>
      <w:r>
        <w:rPr>
          <w:rFonts w:ascii="Calibri"/>
          <w:sz w:val="20"/>
          <w:vertAlign w:val="baseline"/>
        </w:rPr>
        <w:t>un</w:t>
      </w:r>
      <w:r>
        <w:rPr>
          <w:rFonts w:ascii="Calibri"/>
          <w:spacing w:val="-3"/>
          <w:sz w:val="20"/>
          <w:vertAlign w:val="baseline"/>
        </w:rPr>
        <w:t> </w:t>
      </w:r>
      <w:r>
        <w:rPr>
          <w:rFonts w:ascii="Calibri"/>
          <w:sz w:val="20"/>
          <w:vertAlign w:val="baseline"/>
        </w:rPr>
        <w:t>sentido</w:t>
      </w:r>
      <w:r>
        <w:rPr>
          <w:rFonts w:ascii="Calibri"/>
          <w:spacing w:val="-3"/>
          <w:sz w:val="20"/>
          <w:vertAlign w:val="baseline"/>
        </w:rPr>
        <w:t> </w:t>
      </w:r>
      <w:r>
        <w:rPr>
          <w:rFonts w:ascii="Calibri"/>
          <w:sz w:val="20"/>
          <w:vertAlign w:val="baseline"/>
        </w:rPr>
        <w:t>no</w:t>
      </w:r>
      <w:r>
        <w:rPr>
          <w:rFonts w:ascii="Calibri"/>
          <w:spacing w:val="-3"/>
          <w:sz w:val="20"/>
          <w:vertAlign w:val="baseline"/>
        </w:rPr>
        <w:t> </w:t>
      </w:r>
      <w:r>
        <w:rPr>
          <w:rFonts w:ascii="Calibri"/>
          <w:sz w:val="20"/>
          <w:vertAlign w:val="baseline"/>
        </w:rPr>
        <w:t>definido,</w:t>
      </w:r>
      <w:r>
        <w:rPr>
          <w:rFonts w:ascii="Calibri"/>
          <w:spacing w:val="-3"/>
          <w:sz w:val="20"/>
          <w:vertAlign w:val="baseline"/>
        </w:rPr>
        <w:t> </w:t>
      </w:r>
      <w:r>
        <w:rPr>
          <w:rFonts w:ascii="Calibri"/>
          <w:sz w:val="20"/>
          <w:vertAlign w:val="baseline"/>
        </w:rPr>
        <w:t>los</w:t>
      </w:r>
      <w:r>
        <w:rPr>
          <w:rFonts w:ascii="Calibri"/>
          <w:spacing w:val="-3"/>
          <w:sz w:val="20"/>
          <w:vertAlign w:val="baseline"/>
        </w:rPr>
        <w:t> </w:t>
      </w:r>
      <w:r>
        <w:rPr>
          <w:rFonts w:ascii="Calibri"/>
          <w:sz w:val="20"/>
          <w:vertAlign w:val="baseline"/>
        </w:rPr>
        <w:t>valores reportados por debajo del 10% se considera como nivel de cumplimiento 0%.</w:t>
      </w:r>
    </w:p>
    <w:p>
      <w:pPr>
        <w:spacing w:after="0"/>
        <w:jc w:val="left"/>
        <w:rPr>
          <w:rFonts w:ascii="Calibri"/>
          <w:sz w:val="20"/>
        </w:rPr>
        <w:sectPr>
          <w:pgSz w:w="11910" w:h="16840"/>
          <w:pgMar w:header="713" w:footer="1000" w:top="1420" w:bottom="1200" w:left="1559" w:right="992"/>
        </w:sectPr>
      </w:pPr>
    </w:p>
    <w:p>
      <w:pPr>
        <w:pStyle w:val="BodyText"/>
        <w:spacing w:line="307" w:lineRule="auto" w:before="123"/>
        <w:ind w:left="143" w:right="712"/>
        <w:jc w:val="both"/>
      </w:pPr>
      <w:r>
        <w:rPr/>
        <w:t>intervención y iii) actividades informativas y de orientación para que las personas que residen en la zona de intervención formalicen su predio.</w:t>
      </w:r>
    </w:p>
    <w:p>
      <w:pPr>
        <w:pStyle w:val="BodyText"/>
        <w:spacing w:line="307" w:lineRule="auto" w:before="158"/>
        <w:ind w:left="143" w:right="712"/>
        <w:jc w:val="both"/>
      </w:pPr>
      <w:r>
        <w:rPr/>
        <w:t>En</w:t>
      </w:r>
      <w:r>
        <w:rPr>
          <w:spacing w:val="-4"/>
        </w:rPr>
        <w:t> </w:t>
      </w:r>
      <w:r>
        <w:rPr/>
        <w:t>ese</w:t>
      </w:r>
      <w:r>
        <w:rPr>
          <w:spacing w:val="-3"/>
        </w:rPr>
        <w:t> </w:t>
      </w:r>
      <w:r>
        <w:rPr/>
        <w:t>sentido,</w:t>
      </w:r>
      <w:r>
        <w:rPr>
          <w:spacing w:val="-2"/>
        </w:rPr>
        <w:t> </w:t>
      </w:r>
      <w:r>
        <w:rPr/>
        <w:t>si</w:t>
      </w:r>
      <w:r>
        <w:rPr>
          <w:spacing w:val="-2"/>
        </w:rPr>
        <w:t> </w:t>
      </w:r>
      <w:r>
        <w:rPr/>
        <w:t>bien</w:t>
      </w:r>
      <w:r>
        <w:rPr>
          <w:spacing w:val="-5"/>
        </w:rPr>
        <w:t> </w:t>
      </w:r>
      <w:r>
        <w:rPr/>
        <w:t>el</w:t>
      </w:r>
      <w:r>
        <w:rPr>
          <w:spacing w:val="-2"/>
        </w:rPr>
        <w:t> </w:t>
      </w:r>
      <w:r>
        <w:rPr/>
        <w:t>servicio</w:t>
      </w:r>
      <w:r>
        <w:rPr>
          <w:spacing w:val="-2"/>
        </w:rPr>
        <w:t> </w:t>
      </w:r>
      <w:r>
        <w:rPr/>
        <w:t>atiende</w:t>
      </w:r>
      <w:r>
        <w:rPr>
          <w:spacing w:val="-3"/>
        </w:rPr>
        <w:t> </w:t>
      </w:r>
      <w:r>
        <w:rPr/>
        <w:t>a</w:t>
      </w:r>
      <w:r>
        <w:rPr>
          <w:spacing w:val="-3"/>
        </w:rPr>
        <w:t> </w:t>
      </w:r>
      <w:r>
        <w:rPr/>
        <w:t>las</w:t>
      </w:r>
      <w:r>
        <w:rPr>
          <w:spacing w:val="-2"/>
        </w:rPr>
        <w:t> </w:t>
      </w:r>
      <w:r>
        <w:rPr/>
        <w:t>mujeres</w:t>
      </w:r>
      <w:r>
        <w:rPr>
          <w:spacing w:val="-2"/>
        </w:rPr>
        <w:t> </w:t>
      </w:r>
      <w:r>
        <w:rPr/>
        <w:t>que</w:t>
      </w:r>
      <w:r>
        <w:rPr>
          <w:spacing w:val="-3"/>
        </w:rPr>
        <w:t> </w:t>
      </w:r>
      <w:r>
        <w:rPr/>
        <w:t>forman</w:t>
      </w:r>
      <w:r>
        <w:rPr>
          <w:spacing w:val="-4"/>
        </w:rPr>
        <w:t> </w:t>
      </w:r>
      <w:r>
        <w:rPr/>
        <w:t>parte</w:t>
      </w:r>
      <w:r>
        <w:rPr>
          <w:spacing w:val="-3"/>
        </w:rPr>
        <w:t> </w:t>
      </w:r>
      <w:r>
        <w:rPr/>
        <w:t>de</w:t>
      </w:r>
      <w:r>
        <w:rPr>
          <w:spacing w:val="-3"/>
        </w:rPr>
        <w:t> </w:t>
      </w:r>
      <w:r>
        <w:rPr/>
        <w:t>las personas que residen en una zona de intervención, no diseñan una estrategia focalizada en incrementar la cantidad de mujeres que formalizan su predio.</w:t>
      </w:r>
    </w:p>
    <w:p>
      <w:pPr>
        <w:pStyle w:val="BodyText"/>
        <w:spacing w:line="307" w:lineRule="auto" w:before="159"/>
        <w:ind w:left="143" w:right="705"/>
        <w:jc w:val="both"/>
      </w:pPr>
      <w:r>
        <w:rPr/>
        <w:t>Sin embargo, al revisar la información complementaria proporcionada por el servicio, no se evidencia una situación de formalización de predio diferenciada entre hombres y mujeres, ya que el porcentaje de empadronados que logran realizar la titulación de su predio es similar entre hombres y mujeres (69.0% y 69.5%, respectivamente). En ese sentido, es necesario actualizar la brecha de género existente, a un nivel más desagregado que permita focalizar la </w:t>
      </w:r>
      <w:r>
        <w:rPr>
          <w:spacing w:val="-2"/>
        </w:rPr>
        <w:t>intervención.</w:t>
      </w:r>
    </w:p>
    <w:p>
      <w:pPr>
        <w:pStyle w:val="BodyText"/>
        <w:spacing w:line="307" w:lineRule="auto" w:before="156"/>
        <w:ind w:left="143" w:right="705"/>
        <w:jc w:val="both"/>
      </w:pPr>
      <w:r>
        <w:rPr/>
        <w:t>Por otro lado, se identificó que parte de los problemas que afronta el servicio para concluir con el proceso son la demora en los tramites requeridos para la formalización</w:t>
      </w:r>
      <w:r>
        <w:rPr>
          <w:spacing w:val="-6"/>
        </w:rPr>
        <w:t> </w:t>
      </w:r>
      <w:r>
        <w:rPr/>
        <w:t>de</w:t>
      </w:r>
      <w:r>
        <w:rPr>
          <w:spacing w:val="-4"/>
        </w:rPr>
        <w:t> </w:t>
      </w:r>
      <w:r>
        <w:rPr/>
        <w:t>los</w:t>
      </w:r>
      <w:r>
        <w:rPr>
          <w:spacing w:val="-5"/>
        </w:rPr>
        <w:t> </w:t>
      </w:r>
      <w:r>
        <w:rPr/>
        <w:t>predios</w:t>
      </w:r>
      <w:r>
        <w:rPr>
          <w:spacing w:val="-3"/>
        </w:rPr>
        <w:t> </w:t>
      </w:r>
      <w:r>
        <w:rPr/>
        <w:t>y</w:t>
      </w:r>
      <w:r>
        <w:rPr>
          <w:spacing w:val="-4"/>
        </w:rPr>
        <w:t> </w:t>
      </w:r>
      <w:r>
        <w:rPr/>
        <w:t>que</w:t>
      </w:r>
      <w:r>
        <w:rPr>
          <w:spacing w:val="-4"/>
        </w:rPr>
        <w:t> </w:t>
      </w:r>
      <w:r>
        <w:rPr/>
        <w:t>son</w:t>
      </w:r>
      <w:r>
        <w:rPr>
          <w:spacing w:val="-4"/>
        </w:rPr>
        <w:t> </w:t>
      </w:r>
      <w:r>
        <w:rPr/>
        <w:t>realizados</w:t>
      </w:r>
      <w:r>
        <w:rPr>
          <w:spacing w:val="-5"/>
        </w:rPr>
        <w:t> </w:t>
      </w:r>
      <w:r>
        <w:rPr/>
        <w:t>por</w:t>
      </w:r>
      <w:r>
        <w:rPr>
          <w:spacing w:val="-6"/>
        </w:rPr>
        <w:t> </w:t>
      </w:r>
      <w:r>
        <w:rPr/>
        <w:t>otras entidades</w:t>
      </w:r>
      <w:r>
        <w:rPr>
          <w:spacing w:val="-3"/>
        </w:rPr>
        <w:t> </w:t>
      </w:r>
      <w:r>
        <w:rPr/>
        <w:t>(SUNARP y empresas de servicios básicos).</w:t>
      </w:r>
    </w:p>
    <w:p>
      <w:pPr>
        <w:pStyle w:val="BodyText"/>
        <w:spacing w:line="307" w:lineRule="auto" w:before="159"/>
        <w:ind w:left="143" w:right="707"/>
        <w:jc w:val="both"/>
      </w:pPr>
      <w:r>
        <w:rPr/>
        <w:t>En ese sentido, es importante que el servicio realice actividades dirigidas a mejorar la articulación con las entidades que emiten documentos relacionados al trámite de formalización de predios. Cabe precisar que, si bien no existe una situación diferenciada entre hombres y mujeres, es necesario evaluar si el servicio requiere el diseño de una estrategia diferenciada para mejorar la atención de las mujeres.</w:t>
      </w:r>
    </w:p>
    <w:p>
      <w:pPr>
        <w:pStyle w:val="BodyText"/>
        <w:spacing w:line="307" w:lineRule="auto" w:before="156"/>
        <w:ind w:left="143" w:right="705"/>
        <w:jc w:val="both"/>
      </w:pPr>
      <w:r>
        <w:rPr/>
        <w:t>Asimismo,</w:t>
      </w:r>
      <w:r>
        <w:rPr>
          <w:spacing w:val="-2"/>
        </w:rPr>
        <w:t> </w:t>
      </w:r>
      <w:r>
        <w:rPr/>
        <w:t>dada</w:t>
      </w:r>
      <w:r>
        <w:rPr>
          <w:spacing w:val="-5"/>
        </w:rPr>
        <w:t> </w:t>
      </w:r>
      <w:r>
        <w:rPr/>
        <w:t>la</w:t>
      </w:r>
      <w:r>
        <w:rPr>
          <w:spacing w:val="-5"/>
        </w:rPr>
        <w:t> </w:t>
      </w:r>
      <w:r>
        <w:rPr/>
        <w:t>naturaleza</w:t>
      </w:r>
      <w:r>
        <w:rPr>
          <w:spacing w:val="-5"/>
        </w:rPr>
        <w:t> </w:t>
      </w:r>
      <w:r>
        <w:rPr/>
        <w:t>del</w:t>
      </w:r>
      <w:r>
        <w:rPr>
          <w:spacing w:val="-7"/>
        </w:rPr>
        <w:t> </w:t>
      </w:r>
      <w:r>
        <w:rPr/>
        <w:t>indicador</w:t>
      </w:r>
      <w:r>
        <w:rPr>
          <w:spacing w:val="-5"/>
        </w:rPr>
        <w:t> </w:t>
      </w:r>
      <w:r>
        <w:rPr/>
        <w:t>se</w:t>
      </w:r>
      <w:r>
        <w:rPr>
          <w:spacing w:val="-5"/>
        </w:rPr>
        <w:t> </w:t>
      </w:r>
      <w:r>
        <w:rPr/>
        <w:t>identificó</w:t>
      </w:r>
      <w:r>
        <w:rPr>
          <w:spacing w:val="-7"/>
        </w:rPr>
        <w:t> </w:t>
      </w:r>
      <w:r>
        <w:rPr/>
        <w:t>que</w:t>
      </w:r>
      <w:r>
        <w:rPr>
          <w:spacing w:val="-5"/>
        </w:rPr>
        <w:t> </w:t>
      </w:r>
      <w:r>
        <w:rPr/>
        <w:t>es</w:t>
      </w:r>
      <w:r>
        <w:rPr>
          <w:spacing w:val="-3"/>
        </w:rPr>
        <w:t> </w:t>
      </w:r>
      <w:r>
        <w:rPr/>
        <w:t>un</w:t>
      </w:r>
      <w:r>
        <w:rPr>
          <w:spacing w:val="-5"/>
        </w:rPr>
        <w:t> </w:t>
      </w:r>
      <w:r>
        <w:rPr/>
        <w:t>indicador</w:t>
      </w:r>
      <w:r>
        <w:rPr>
          <w:spacing w:val="-8"/>
        </w:rPr>
        <w:t> </w:t>
      </w:r>
      <w:r>
        <w:rPr/>
        <w:t>con </w:t>
      </w:r>
      <w:r>
        <w:rPr>
          <w:w w:val="105"/>
        </w:rPr>
        <w:t>sentido</w:t>
      </w:r>
      <w:r>
        <w:rPr>
          <w:w w:val="105"/>
        </w:rPr>
        <w:t> no</w:t>
      </w:r>
      <w:r>
        <w:rPr>
          <w:w w:val="105"/>
        </w:rPr>
        <w:t> definido</w:t>
      </w:r>
      <w:r>
        <w:rPr>
          <w:w w:val="105"/>
        </w:rPr>
        <w:t> con</w:t>
      </w:r>
      <w:r>
        <w:rPr>
          <w:w w:val="105"/>
        </w:rPr>
        <w:t> mínimo</w:t>
      </w:r>
      <w:r>
        <w:rPr>
          <w:w w:val="105"/>
        </w:rPr>
        <w:t> permisible;</w:t>
      </w:r>
      <w:r>
        <w:rPr>
          <w:w w:val="105"/>
        </w:rPr>
        <w:t> sin</w:t>
      </w:r>
      <w:r>
        <w:rPr>
          <w:w w:val="105"/>
        </w:rPr>
        <w:t> embargo,</w:t>
      </w:r>
      <w:r>
        <w:rPr>
          <w:w w:val="105"/>
        </w:rPr>
        <w:t> es</w:t>
      </w:r>
      <w:r>
        <w:rPr>
          <w:w w:val="105"/>
        </w:rPr>
        <w:t> necesario precisarlo</w:t>
      </w:r>
      <w:r>
        <w:rPr>
          <w:w w:val="105"/>
        </w:rPr>
        <w:t> en</w:t>
      </w:r>
      <w:r>
        <w:rPr>
          <w:w w:val="105"/>
        </w:rPr>
        <w:t> la</w:t>
      </w:r>
      <w:r>
        <w:rPr>
          <w:w w:val="105"/>
        </w:rPr>
        <w:t> ficha</w:t>
      </w:r>
      <w:r>
        <w:rPr>
          <w:w w:val="105"/>
        </w:rPr>
        <w:t> del</w:t>
      </w:r>
      <w:r>
        <w:rPr>
          <w:w w:val="105"/>
        </w:rPr>
        <w:t> indicador</w:t>
      </w:r>
      <w:r>
        <w:rPr>
          <w:w w:val="105"/>
        </w:rPr>
        <w:t> debido</w:t>
      </w:r>
      <w:r>
        <w:rPr>
          <w:w w:val="105"/>
        </w:rPr>
        <w:t> a</w:t>
      </w:r>
      <w:r>
        <w:rPr>
          <w:w w:val="105"/>
        </w:rPr>
        <w:t> que</w:t>
      </w:r>
      <w:r>
        <w:rPr>
          <w:w w:val="105"/>
        </w:rPr>
        <w:t> esto</w:t>
      </w:r>
      <w:r>
        <w:rPr>
          <w:w w:val="105"/>
        </w:rPr>
        <w:t> puede</w:t>
      </w:r>
      <w:r>
        <w:rPr>
          <w:w w:val="105"/>
        </w:rPr>
        <w:t> afectar</w:t>
      </w:r>
      <w:r>
        <w:rPr>
          <w:w w:val="105"/>
        </w:rPr>
        <w:t> la interpretación de los resultados.</w:t>
      </w:r>
    </w:p>
    <w:p>
      <w:pPr>
        <w:pStyle w:val="BodyText"/>
      </w:pPr>
    </w:p>
    <w:p>
      <w:pPr>
        <w:pStyle w:val="BodyText"/>
        <w:spacing w:before="118"/>
      </w:pPr>
    </w:p>
    <w:p>
      <w:pPr>
        <w:pStyle w:val="ListParagraph"/>
        <w:numPr>
          <w:ilvl w:val="2"/>
          <w:numId w:val="3"/>
        </w:numPr>
        <w:tabs>
          <w:tab w:pos="1220" w:val="left" w:leader="none"/>
          <w:tab w:pos="1222" w:val="left" w:leader="none"/>
        </w:tabs>
        <w:spacing w:line="307" w:lineRule="auto" w:before="0" w:after="0"/>
        <w:ind w:left="1222" w:right="709" w:hanging="720"/>
        <w:jc w:val="both"/>
        <w:rPr>
          <w:sz w:val="24"/>
        </w:rPr>
      </w:pPr>
      <w:r>
        <w:rPr>
          <w:color w:val="2E5395"/>
          <w:sz w:val="24"/>
        </w:rPr>
        <w:t>Servicio</w:t>
      </w:r>
      <w:r>
        <w:rPr>
          <w:color w:val="2E5395"/>
          <w:spacing w:val="-17"/>
          <w:sz w:val="24"/>
        </w:rPr>
        <w:t> </w:t>
      </w:r>
      <w:r>
        <w:rPr>
          <w:color w:val="2E5395"/>
          <w:sz w:val="24"/>
        </w:rPr>
        <w:t>05.01.01</w:t>
      </w:r>
      <w:r>
        <w:rPr>
          <w:color w:val="2E5395"/>
          <w:spacing w:val="-17"/>
          <w:sz w:val="24"/>
        </w:rPr>
        <w:t> </w:t>
      </w:r>
      <w:r>
        <w:rPr>
          <w:color w:val="2E5395"/>
          <w:sz w:val="24"/>
        </w:rPr>
        <w:t>Asistencia</w:t>
      </w:r>
      <w:r>
        <w:rPr>
          <w:color w:val="2E5395"/>
          <w:spacing w:val="-16"/>
          <w:sz w:val="24"/>
        </w:rPr>
        <w:t> </w:t>
      </w:r>
      <w:r>
        <w:rPr>
          <w:color w:val="2E5395"/>
          <w:sz w:val="24"/>
        </w:rPr>
        <w:t>técnica</w:t>
      </w:r>
      <w:r>
        <w:rPr>
          <w:color w:val="2E5395"/>
          <w:spacing w:val="-17"/>
          <w:sz w:val="24"/>
        </w:rPr>
        <w:t> </w:t>
      </w:r>
      <w:r>
        <w:rPr>
          <w:color w:val="2E5395"/>
          <w:sz w:val="24"/>
        </w:rPr>
        <w:t>para</w:t>
      </w:r>
      <w:r>
        <w:rPr>
          <w:color w:val="2E5395"/>
          <w:spacing w:val="-17"/>
          <w:sz w:val="24"/>
        </w:rPr>
        <w:t> </w:t>
      </w:r>
      <w:r>
        <w:rPr>
          <w:color w:val="2E5395"/>
          <w:sz w:val="24"/>
        </w:rPr>
        <w:t>transversalizar</w:t>
      </w:r>
      <w:r>
        <w:rPr>
          <w:color w:val="2E5395"/>
          <w:spacing w:val="-17"/>
          <w:sz w:val="24"/>
        </w:rPr>
        <w:t> </w:t>
      </w:r>
      <w:r>
        <w:rPr>
          <w:color w:val="2E5395"/>
          <w:sz w:val="24"/>
        </w:rPr>
        <w:t>el</w:t>
      </w:r>
      <w:r>
        <w:rPr>
          <w:color w:val="2E5395"/>
          <w:spacing w:val="-16"/>
          <w:sz w:val="24"/>
        </w:rPr>
        <w:t> </w:t>
      </w:r>
      <w:r>
        <w:rPr>
          <w:color w:val="2E5395"/>
          <w:sz w:val="24"/>
        </w:rPr>
        <w:t>enfoque</w:t>
      </w:r>
      <w:r>
        <w:rPr>
          <w:color w:val="2E5395"/>
          <w:spacing w:val="-17"/>
          <w:sz w:val="24"/>
        </w:rPr>
        <w:t> </w:t>
      </w:r>
      <w:r>
        <w:rPr>
          <w:color w:val="2E5395"/>
          <w:sz w:val="24"/>
        </w:rPr>
        <w:t>de género en la producción de bienes y servicios, entregados a la ciudadanía por las entidades públicas, oportunas y fiables.</w:t>
      </w:r>
    </w:p>
    <w:p>
      <w:pPr>
        <w:pStyle w:val="BodyText"/>
        <w:spacing w:before="172"/>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before="40"/>
        <w:rPr>
          <w:rFonts w:ascii="Arial"/>
          <w:i/>
        </w:rPr>
      </w:pPr>
    </w:p>
    <w:p>
      <w:pPr>
        <w:pStyle w:val="BodyText"/>
        <w:spacing w:line="307" w:lineRule="auto"/>
        <w:ind w:left="143" w:right="713"/>
        <w:jc w:val="both"/>
      </w:pPr>
      <w:r>
        <w:rPr/>
        <w:t>El servicio consiste en el acompañamiento, asesoría técnica y procesos de capacitación que se brinda al funcionariado, servidores y servidoras de las entidades</w:t>
      </w:r>
      <w:r>
        <w:rPr>
          <w:spacing w:val="73"/>
          <w:w w:val="150"/>
        </w:rPr>
        <w:t> </w:t>
      </w:r>
      <w:r>
        <w:rPr/>
        <w:t>públicas,</w:t>
      </w:r>
      <w:r>
        <w:rPr>
          <w:spacing w:val="71"/>
          <w:w w:val="150"/>
        </w:rPr>
        <w:t> </w:t>
      </w:r>
      <w:r>
        <w:rPr/>
        <w:t>con</w:t>
      </w:r>
      <w:r>
        <w:rPr>
          <w:spacing w:val="72"/>
          <w:w w:val="150"/>
        </w:rPr>
        <w:t> </w:t>
      </w:r>
      <w:r>
        <w:rPr/>
        <w:t>la</w:t>
      </w:r>
      <w:r>
        <w:rPr>
          <w:spacing w:val="69"/>
          <w:w w:val="150"/>
        </w:rPr>
        <w:t> </w:t>
      </w:r>
      <w:r>
        <w:rPr/>
        <w:t>finalidad</w:t>
      </w:r>
      <w:r>
        <w:rPr>
          <w:spacing w:val="71"/>
          <w:w w:val="150"/>
        </w:rPr>
        <w:t> </w:t>
      </w:r>
      <w:r>
        <w:rPr/>
        <w:t>de</w:t>
      </w:r>
      <w:r>
        <w:rPr>
          <w:spacing w:val="69"/>
          <w:w w:val="150"/>
        </w:rPr>
        <w:t> </w:t>
      </w:r>
      <w:r>
        <w:rPr/>
        <w:t>fortalecer</w:t>
      </w:r>
      <w:r>
        <w:rPr>
          <w:spacing w:val="69"/>
          <w:w w:val="150"/>
        </w:rPr>
        <w:t> </w:t>
      </w:r>
      <w:r>
        <w:rPr/>
        <w:t>sus</w:t>
      </w:r>
      <w:r>
        <w:rPr>
          <w:spacing w:val="69"/>
          <w:w w:val="150"/>
        </w:rPr>
        <w:t> </w:t>
      </w:r>
      <w:r>
        <w:rPr/>
        <w:t>capacidades</w:t>
      </w:r>
      <w:r>
        <w:rPr>
          <w:spacing w:val="71"/>
          <w:w w:val="150"/>
        </w:rPr>
        <w:t> </w:t>
      </w:r>
      <w:r>
        <w:rPr/>
        <w:t>para</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3"/>
        <w:jc w:val="both"/>
        <w:rPr>
          <w:rFonts w:ascii="Arial" w:hAnsi="Arial"/>
          <w:i/>
        </w:rPr>
      </w:pPr>
      <w:r>
        <w:rPr/>
        <w:t>incorporar el enfoque de género en la producción de bienes y servicios, contribuyendo a disminuir las desigualdades entre mujeres y hombres en su diversidad, y la discriminación basada en el género</w:t>
      </w:r>
      <w:r>
        <w:rPr>
          <w:rFonts w:ascii="Arial" w:hAnsi="Arial"/>
          <w:i/>
        </w:rPr>
        <w:t>.</w:t>
      </w:r>
    </w:p>
    <w:p>
      <w:pPr>
        <w:spacing w:line="307" w:lineRule="auto" w:before="157"/>
        <w:ind w:left="143" w:right="707" w:firstLine="0"/>
        <w:jc w:val="both"/>
        <w:rPr>
          <w:rFonts w:ascii="Arial" w:hAnsi="Arial"/>
          <w:i/>
          <w:sz w:val="24"/>
        </w:rPr>
      </w:pPr>
      <w:r>
        <w:rPr>
          <w:sz w:val="24"/>
        </w:rPr>
        <w:t>El responsable de la provisión del servicio es la DTEG, dirección perteneciente al</w:t>
      </w:r>
      <w:r>
        <w:rPr>
          <w:spacing w:val="-7"/>
          <w:sz w:val="24"/>
        </w:rPr>
        <w:t> </w:t>
      </w:r>
      <w:r>
        <w:rPr>
          <w:sz w:val="24"/>
        </w:rPr>
        <w:t>MIMP.</w:t>
      </w:r>
      <w:r>
        <w:rPr>
          <w:spacing w:val="-8"/>
          <w:sz w:val="24"/>
        </w:rPr>
        <w:t> </w:t>
      </w:r>
      <w:r>
        <w:rPr>
          <w:sz w:val="24"/>
        </w:rPr>
        <w:t>En</w:t>
      </w:r>
      <w:r>
        <w:rPr>
          <w:spacing w:val="-9"/>
          <w:sz w:val="24"/>
        </w:rPr>
        <w:t> </w:t>
      </w:r>
      <w:r>
        <w:rPr>
          <w:sz w:val="24"/>
        </w:rPr>
        <w:t>el</w:t>
      </w:r>
      <w:r>
        <w:rPr>
          <w:spacing w:val="-7"/>
          <w:sz w:val="24"/>
        </w:rPr>
        <w:t> </w:t>
      </w:r>
      <w:r>
        <w:rPr>
          <w:sz w:val="24"/>
        </w:rPr>
        <w:t>marco</w:t>
      </w:r>
      <w:r>
        <w:rPr>
          <w:spacing w:val="-7"/>
          <w:sz w:val="24"/>
        </w:rPr>
        <w:t> </w:t>
      </w:r>
      <w:r>
        <w:rPr>
          <w:sz w:val="24"/>
        </w:rPr>
        <w:t>de</w:t>
      </w:r>
      <w:r>
        <w:rPr>
          <w:spacing w:val="-8"/>
          <w:sz w:val="24"/>
        </w:rPr>
        <w:t> </w:t>
      </w:r>
      <w:r>
        <w:rPr>
          <w:sz w:val="24"/>
        </w:rPr>
        <w:t>la</w:t>
      </w:r>
      <w:r>
        <w:rPr>
          <w:spacing w:val="-11"/>
          <w:sz w:val="24"/>
        </w:rPr>
        <w:t> </w:t>
      </w:r>
      <w:r>
        <w:rPr>
          <w:sz w:val="24"/>
        </w:rPr>
        <w:t>política,</w:t>
      </w:r>
      <w:r>
        <w:rPr>
          <w:spacing w:val="-7"/>
          <w:sz w:val="24"/>
        </w:rPr>
        <w:t> </w:t>
      </w:r>
      <w:r>
        <w:rPr>
          <w:sz w:val="24"/>
        </w:rPr>
        <w:t>la</w:t>
      </w:r>
      <w:r>
        <w:rPr>
          <w:spacing w:val="-11"/>
          <w:sz w:val="24"/>
        </w:rPr>
        <w:t> </w:t>
      </w:r>
      <w:r>
        <w:rPr>
          <w:sz w:val="24"/>
        </w:rPr>
        <w:t>cobertura</w:t>
      </w:r>
      <w:r>
        <w:rPr>
          <w:spacing w:val="-8"/>
          <w:sz w:val="24"/>
        </w:rPr>
        <w:t> </w:t>
      </w:r>
      <w:r>
        <w:rPr>
          <w:sz w:val="24"/>
        </w:rPr>
        <w:t>del</w:t>
      </w:r>
      <w:r>
        <w:rPr>
          <w:spacing w:val="-9"/>
          <w:sz w:val="24"/>
        </w:rPr>
        <w:t> </w:t>
      </w:r>
      <w:r>
        <w:rPr>
          <w:sz w:val="24"/>
        </w:rPr>
        <w:t>servicio</w:t>
      </w:r>
      <w:r>
        <w:rPr>
          <w:spacing w:val="-10"/>
          <w:sz w:val="24"/>
        </w:rPr>
        <w:t> </w:t>
      </w:r>
      <w:r>
        <w:rPr>
          <w:sz w:val="24"/>
        </w:rPr>
        <w:t>se</w:t>
      </w:r>
      <w:r>
        <w:rPr>
          <w:spacing w:val="-8"/>
          <w:sz w:val="24"/>
        </w:rPr>
        <w:t> </w:t>
      </w:r>
      <w:r>
        <w:rPr>
          <w:sz w:val="24"/>
        </w:rPr>
        <w:t>mide</w:t>
      </w:r>
      <w:r>
        <w:rPr>
          <w:spacing w:val="-10"/>
          <w:sz w:val="24"/>
        </w:rPr>
        <w:t> </w:t>
      </w:r>
      <w:r>
        <w:rPr>
          <w:sz w:val="24"/>
        </w:rPr>
        <w:t>a</w:t>
      </w:r>
      <w:r>
        <w:rPr>
          <w:spacing w:val="-8"/>
          <w:sz w:val="24"/>
        </w:rPr>
        <w:t> </w:t>
      </w:r>
      <w:r>
        <w:rPr>
          <w:sz w:val="24"/>
        </w:rPr>
        <w:t>través</w:t>
      </w:r>
      <w:r>
        <w:rPr>
          <w:spacing w:val="-7"/>
          <w:sz w:val="24"/>
        </w:rPr>
        <w:t> </w:t>
      </w:r>
      <w:r>
        <w:rPr>
          <w:sz w:val="24"/>
        </w:rPr>
        <w:t>del indicador “</w:t>
      </w:r>
      <w:r>
        <w:rPr>
          <w:rFonts w:ascii="Arial" w:hAnsi="Arial"/>
          <w:i/>
          <w:sz w:val="24"/>
        </w:rPr>
        <w:t>Porcentaje de entidades públicas priorizadas que reciben asistencia técnica para transversalizar el enfoque de género en la producción de bienes y </w:t>
      </w:r>
      <w:r>
        <w:rPr>
          <w:rFonts w:ascii="Arial" w:hAnsi="Arial"/>
          <w:i/>
          <w:spacing w:val="-6"/>
          <w:sz w:val="24"/>
        </w:rPr>
        <w:t>servicios” </w:t>
      </w:r>
      <w:r>
        <w:rPr>
          <w:spacing w:val="-6"/>
          <w:sz w:val="24"/>
        </w:rPr>
        <w:t>y la calidad a</w:t>
      </w:r>
      <w:r>
        <w:rPr>
          <w:spacing w:val="-8"/>
          <w:sz w:val="24"/>
        </w:rPr>
        <w:t> </w:t>
      </w:r>
      <w:r>
        <w:rPr>
          <w:spacing w:val="-6"/>
          <w:sz w:val="24"/>
        </w:rPr>
        <w:t>través</w:t>
      </w:r>
      <w:r>
        <w:rPr>
          <w:spacing w:val="-7"/>
          <w:sz w:val="24"/>
        </w:rPr>
        <w:t> </w:t>
      </w:r>
      <w:r>
        <w:rPr>
          <w:spacing w:val="-6"/>
          <w:sz w:val="24"/>
        </w:rPr>
        <w:t>del </w:t>
      </w:r>
      <w:r>
        <w:rPr>
          <w:rFonts w:ascii="Arial" w:hAnsi="Arial"/>
          <w:i/>
          <w:spacing w:val="-6"/>
          <w:sz w:val="24"/>
        </w:rPr>
        <w:t>“Porcentaje</w:t>
      </w:r>
      <w:r>
        <w:rPr>
          <w:rFonts w:ascii="Arial" w:hAnsi="Arial"/>
          <w:i/>
          <w:spacing w:val="-7"/>
          <w:sz w:val="24"/>
        </w:rPr>
        <w:t> </w:t>
      </w:r>
      <w:r>
        <w:rPr>
          <w:rFonts w:ascii="Arial" w:hAnsi="Arial"/>
          <w:i/>
          <w:spacing w:val="-6"/>
          <w:sz w:val="24"/>
        </w:rPr>
        <w:t>de</w:t>
      </w:r>
      <w:r>
        <w:rPr>
          <w:rFonts w:ascii="Arial" w:hAnsi="Arial"/>
          <w:i/>
          <w:spacing w:val="-7"/>
          <w:sz w:val="24"/>
        </w:rPr>
        <w:t> </w:t>
      </w:r>
      <w:r>
        <w:rPr>
          <w:rFonts w:ascii="Arial" w:hAnsi="Arial"/>
          <w:i/>
          <w:spacing w:val="-6"/>
          <w:sz w:val="24"/>
        </w:rPr>
        <w:t>entidades</w:t>
      </w:r>
      <w:r>
        <w:rPr>
          <w:rFonts w:ascii="Arial" w:hAnsi="Arial"/>
          <w:i/>
          <w:spacing w:val="-7"/>
          <w:sz w:val="24"/>
        </w:rPr>
        <w:t> </w:t>
      </w:r>
      <w:r>
        <w:rPr>
          <w:rFonts w:ascii="Arial" w:hAnsi="Arial"/>
          <w:i/>
          <w:spacing w:val="-6"/>
          <w:sz w:val="24"/>
        </w:rPr>
        <w:t>públicas</w:t>
      </w:r>
      <w:r>
        <w:rPr>
          <w:rFonts w:ascii="Arial" w:hAnsi="Arial"/>
          <w:i/>
          <w:spacing w:val="-7"/>
          <w:sz w:val="24"/>
        </w:rPr>
        <w:t> </w:t>
      </w:r>
      <w:r>
        <w:rPr>
          <w:rFonts w:ascii="Arial" w:hAnsi="Arial"/>
          <w:i/>
          <w:spacing w:val="-6"/>
          <w:sz w:val="24"/>
        </w:rPr>
        <w:t>priorizadas</w:t>
      </w:r>
      <w:r>
        <w:rPr>
          <w:rFonts w:ascii="Arial" w:hAnsi="Arial"/>
          <w:i/>
          <w:spacing w:val="-7"/>
          <w:sz w:val="24"/>
        </w:rPr>
        <w:t> </w:t>
      </w:r>
      <w:r>
        <w:rPr>
          <w:rFonts w:ascii="Arial" w:hAnsi="Arial"/>
          <w:i/>
          <w:spacing w:val="-6"/>
          <w:sz w:val="24"/>
        </w:rPr>
        <w:t>que incorporan</w:t>
      </w:r>
      <w:r>
        <w:rPr>
          <w:rFonts w:ascii="Arial" w:hAnsi="Arial"/>
          <w:i/>
          <w:spacing w:val="-11"/>
          <w:sz w:val="24"/>
        </w:rPr>
        <w:t> </w:t>
      </w:r>
      <w:r>
        <w:rPr>
          <w:rFonts w:ascii="Arial" w:hAnsi="Arial"/>
          <w:i/>
          <w:spacing w:val="-6"/>
          <w:sz w:val="24"/>
        </w:rPr>
        <w:t>el</w:t>
      </w:r>
      <w:r>
        <w:rPr>
          <w:rFonts w:ascii="Arial" w:hAnsi="Arial"/>
          <w:i/>
          <w:spacing w:val="-11"/>
          <w:sz w:val="24"/>
        </w:rPr>
        <w:t> </w:t>
      </w:r>
      <w:r>
        <w:rPr>
          <w:rFonts w:ascii="Arial" w:hAnsi="Arial"/>
          <w:i/>
          <w:spacing w:val="-6"/>
          <w:sz w:val="24"/>
        </w:rPr>
        <w:t>enfoque</w:t>
      </w:r>
      <w:r>
        <w:rPr>
          <w:rFonts w:ascii="Arial" w:hAnsi="Arial"/>
          <w:i/>
          <w:spacing w:val="-10"/>
          <w:sz w:val="24"/>
        </w:rPr>
        <w:t> </w:t>
      </w:r>
      <w:r>
        <w:rPr>
          <w:rFonts w:ascii="Arial" w:hAnsi="Arial"/>
          <w:i/>
          <w:spacing w:val="-6"/>
          <w:sz w:val="24"/>
        </w:rPr>
        <w:t>de</w:t>
      </w:r>
      <w:r>
        <w:rPr>
          <w:rFonts w:ascii="Arial" w:hAnsi="Arial"/>
          <w:i/>
          <w:spacing w:val="-11"/>
          <w:sz w:val="24"/>
        </w:rPr>
        <w:t> </w:t>
      </w:r>
      <w:r>
        <w:rPr>
          <w:rFonts w:ascii="Arial" w:hAnsi="Arial"/>
          <w:i/>
          <w:spacing w:val="-6"/>
          <w:sz w:val="24"/>
        </w:rPr>
        <w:t>género,</w:t>
      </w:r>
      <w:r>
        <w:rPr>
          <w:rFonts w:ascii="Arial" w:hAnsi="Arial"/>
          <w:i/>
          <w:spacing w:val="-11"/>
          <w:sz w:val="24"/>
        </w:rPr>
        <w:t> </w:t>
      </w:r>
      <w:r>
        <w:rPr>
          <w:rFonts w:ascii="Arial" w:hAnsi="Arial"/>
          <w:i/>
          <w:spacing w:val="-6"/>
          <w:sz w:val="24"/>
        </w:rPr>
        <w:t>en</w:t>
      </w:r>
      <w:r>
        <w:rPr>
          <w:rFonts w:ascii="Arial" w:hAnsi="Arial"/>
          <w:i/>
          <w:spacing w:val="-11"/>
          <w:sz w:val="24"/>
        </w:rPr>
        <w:t> </w:t>
      </w:r>
      <w:r>
        <w:rPr>
          <w:rFonts w:ascii="Arial" w:hAnsi="Arial"/>
          <w:i/>
          <w:spacing w:val="-6"/>
          <w:sz w:val="24"/>
        </w:rPr>
        <w:t>la</w:t>
      </w:r>
      <w:r>
        <w:rPr>
          <w:rFonts w:ascii="Arial" w:hAnsi="Arial"/>
          <w:i/>
          <w:spacing w:val="-10"/>
          <w:sz w:val="24"/>
        </w:rPr>
        <w:t> </w:t>
      </w:r>
      <w:r>
        <w:rPr>
          <w:rFonts w:ascii="Arial" w:hAnsi="Arial"/>
          <w:i/>
          <w:spacing w:val="-6"/>
          <w:sz w:val="24"/>
        </w:rPr>
        <w:t>producción</w:t>
      </w:r>
      <w:r>
        <w:rPr>
          <w:rFonts w:ascii="Arial" w:hAnsi="Arial"/>
          <w:i/>
          <w:spacing w:val="-11"/>
          <w:sz w:val="24"/>
        </w:rPr>
        <w:t> </w:t>
      </w:r>
      <w:r>
        <w:rPr>
          <w:rFonts w:ascii="Arial" w:hAnsi="Arial"/>
          <w:i/>
          <w:spacing w:val="-6"/>
          <w:sz w:val="24"/>
        </w:rPr>
        <w:t>de</w:t>
      </w:r>
      <w:r>
        <w:rPr>
          <w:rFonts w:ascii="Arial" w:hAnsi="Arial"/>
          <w:i/>
          <w:spacing w:val="-11"/>
          <w:sz w:val="24"/>
        </w:rPr>
        <w:t> </w:t>
      </w:r>
      <w:r>
        <w:rPr>
          <w:rFonts w:ascii="Arial" w:hAnsi="Arial"/>
          <w:i/>
          <w:spacing w:val="-6"/>
          <w:sz w:val="24"/>
        </w:rPr>
        <w:t>bienes</w:t>
      </w:r>
      <w:r>
        <w:rPr>
          <w:rFonts w:ascii="Arial" w:hAnsi="Arial"/>
          <w:i/>
          <w:spacing w:val="-10"/>
          <w:sz w:val="24"/>
        </w:rPr>
        <w:t> </w:t>
      </w:r>
      <w:r>
        <w:rPr>
          <w:rFonts w:ascii="Arial" w:hAnsi="Arial"/>
          <w:i/>
          <w:spacing w:val="-6"/>
          <w:sz w:val="24"/>
        </w:rPr>
        <w:t>y</w:t>
      </w:r>
      <w:r>
        <w:rPr>
          <w:rFonts w:ascii="Arial" w:hAnsi="Arial"/>
          <w:i/>
          <w:spacing w:val="-11"/>
          <w:sz w:val="24"/>
        </w:rPr>
        <w:t> </w:t>
      </w:r>
      <w:r>
        <w:rPr>
          <w:rFonts w:ascii="Arial" w:hAnsi="Arial"/>
          <w:i/>
          <w:spacing w:val="-6"/>
          <w:sz w:val="24"/>
        </w:rPr>
        <w:t>servicios</w:t>
      </w:r>
      <w:r>
        <w:rPr>
          <w:rFonts w:ascii="Arial" w:hAnsi="Arial"/>
          <w:i/>
          <w:spacing w:val="-11"/>
          <w:sz w:val="24"/>
        </w:rPr>
        <w:t> </w:t>
      </w:r>
      <w:r>
        <w:rPr>
          <w:rFonts w:ascii="Arial" w:hAnsi="Arial"/>
          <w:i/>
          <w:spacing w:val="-6"/>
          <w:sz w:val="24"/>
        </w:rPr>
        <w:t>en</w:t>
      </w:r>
      <w:r>
        <w:rPr>
          <w:rFonts w:ascii="Arial" w:hAnsi="Arial"/>
          <w:i/>
          <w:spacing w:val="-10"/>
          <w:sz w:val="24"/>
        </w:rPr>
        <w:t> </w:t>
      </w:r>
      <w:r>
        <w:rPr>
          <w:rFonts w:ascii="Arial" w:hAnsi="Arial"/>
          <w:i/>
          <w:spacing w:val="-6"/>
          <w:sz w:val="24"/>
        </w:rPr>
        <w:t>al</w:t>
      </w:r>
      <w:r>
        <w:rPr>
          <w:rFonts w:ascii="Arial" w:hAnsi="Arial"/>
          <w:i/>
          <w:spacing w:val="-11"/>
          <w:sz w:val="24"/>
        </w:rPr>
        <w:t> </w:t>
      </w:r>
      <w:r>
        <w:rPr>
          <w:rFonts w:ascii="Arial" w:hAnsi="Arial"/>
          <w:i/>
          <w:spacing w:val="-6"/>
          <w:sz w:val="24"/>
        </w:rPr>
        <w:t>menos </w:t>
      </w:r>
      <w:r>
        <w:rPr>
          <w:rFonts w:ascii="Arial" w:hAnsi="Arial"/>
          <w:i/>
          <w:sz w:val="24"/>
        </w:rPr>
        <w:t>01 bien y/o servicio”</w:t>
      </w:r>
    </w:p>
    <w:p>
      <w:pPr>
        <w:pStyle w:val="ListParagraph"/>
        <w:numPr>
          <w:ilvl w:val="3"/>
          <w:numId w:val="3"/>
        </w:numPr>
        <w:tabs>
          <w:tab w:pos="861" w:val="left" w:leader="none"/>
        </w:tabs>
        <w:spacing w:line="240" w:lineRule="auto" w:before="159" w:after="0"/>
        <w:ind w:left="861" w:right="0" w:hanging="359"/>
        <w:jc w:val="both"/>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cuantitativo</w:t>
      </w:r>
    </w:p>
    <w:p>
      <w:pPr>
        <w:pStyle w:val="BodyText"/>
        <w:spacing w:line="307" w:lineRule="auto" w:before="234"/>
        <w:ind w:left="143" w:right="701"/>
        <w:jc w:val="both"/>
      </w:pPr>
      <w:r>
        <w:rPr>
          <w:u w:val="single"/>
        </w:rPr>
        <w:t>Análisis</w:t>
      </w:r>
      <w:r>
        <w:rPr>
          <w:spacing w:val="-13"/>
          <w:u w:val="single"/>
        </w:rPr>
        <w:t> </w:t>
      </w:r>
      <w:r>
        <w:rPr>
          <w:u w:val="single"/>
        </w:rPr>
        <w:t>de</w:t>
      </w:r>
      <w:r>
        <w:rPr>
          <w:spacing w:val="-10"/>
          <w:u w:val="single"/>
        </w:rPr>
        <w:t> </w:t>
      </w:r>
      <w:r>
        <w:rPr>
          <w:u w:val="single"/>
        </w:rPr>
        <w:t>eficacia:</w:t>
      </w:r>
      <w:r>
        <w:rPr>
          <w:spacing w:val="-13"/>
        </w:rPr>
        <w:t> </w:t>
      </w:r>
      <w:r>
        <w:rPr/>
        <w:t>En</w:t>
      </w:r>
      <w:r>
        <w:rPr>
          <w:spacing w:val="-14"/>
        </w:rPr>
        <w:t> </w:t>
      </w:r>
      <w:r>
        <w:rPr/>
        <w:t>el</w:t>
      </w:r>
      <w:r>
        <w:rPr>
          <w:spacing w:val="-11"/>
        </w:rPr>
        <w:t> </w:t>
      </w:r>
      <w:r>
        <w:rPr/>
        <w:t>año</w:t>
      </w:r>
      <w:r>
        <w:rPr>
          <w:spacing w:val="-13"/>
        </w:rPr>
        <w:t> </w:t>
      </w:r>
      <w:r>
        <w:rPr/>
        <w:t>2023,</w:t>
      </w:r>
      <w:r>
        <w:rPr>
          <w:spacing w:val="-11"/>
        </w:rPr>
        <w:t> </w:t>
      </w:r>
      <w:r>
        <w:rPr/>
        <w:t>un</w:t>
      </w:r>
      <w:r>
        <w:rPr>
          <w:spacing w:val="-12"/>
        </w:rPr>
        <w:t> </w:t>
      </w:r>
      <w:r>
        <w:rPr/>
        <w:t>12.3</w:t>
      </w:r>
      <w:r>
        <w:rPr>
          <w:spacing w:val="-14"/>
        </w:rPr>
        <w:t> </w:t>
      </w:r>
      <w:r>
        <w:rPr/>
        <w:t>%</w:t>
      </w:r>
      <w:r>
        <w:rPr>
          <w:spacing w:val="-13"/>
        </w:rPr>
        <w:t> </w:t>
      </w:r>
      <w:r>
        <w:rPr/>
        <w:t>de</w:t>
      </w:r>
      <w:r>
        <w:rPr>
          <w:spacing w:val="-11"/>
        </w:rPr>
        <w:t> </w:t>
      </w:r>
      <w:r>
        <w:rPr/>
        <w:t>entidades</w:t>
      </w:r>
      <w:r>
        <w:rPr>
          <w:spacing w:val="-13"/>
        </w:rPr>
        <w:t> </w:t>
      </w:r>
      <w:r>
        <w:rPr/>
        <w:t>públicas</w:t>
      </w:r>
      <w:r>
        <w:rPr>
          <w:spacing w:val="-13"/>
        </w:rPr>
        <w:t> </w:t>
      </w:r>
      <w:r>
        <w:rPr/>
        <w:t>priorizadas recibieron asistencia técnica para transversalizar el enfoque de género en la producción de bienes y servicios, alcanzando un nivel de cumplimiento medio (82.3%)</w:t>
      </w:r>
      <w:r>
        <w:rPr>
          <w:spacing w:val="-3"/>
        </w:rPr>
        <w:t> </w:t>
      </w:r>
      <w:r>
        <w:rPr/>
        <w:t>respecto</w:t>
      </w:r>
      <w:r>
        <w:rPr>
          <w:spacing w:val="-2"/>
        </w:rPr>
        <w:t> </w:t>
      </w:r>
      <w:r>
        <w:rPr/>
        <w:t>a</w:t>
      </w:r>
      <w:r>
        <w:rPr>
          <w:spacing w:val="-3"/>
        </w:rPr>
        <w:t> </w:t>
      </w:r>
      <w:r>
        <w:rPr/>
        <w:t>la</w:t>
      </w:r>
      <w:r>
        <w:rPr>
          <w:spacing w:val="-6"/>
        </w:rPr>
        <w:t> </w:t>
      </w:r>
      <w:r>
        <w:rPr/>
        <w:t>meta</w:t>
      </w:r>
      <w:r>
        <w:rPr>
          <w:spacing w:val="-3"/>
        </w:rPr>
        <w:t> </w:t>
      </w:r>
      <w:r>
        <w:rPr/>
        <w:t>esperada:</w:t>
      </w:r>
      <w:r>
        <w:rPr>
          <w:spacing w:val="-5"/>
        </w:rPr>
        <w:t> </w:t>
      </w:r>
      <w:r>
        <w:rPr/>
        <w:t>15.0%.</w:t>
      </w:r>
      <w:r>
        <w:rPr>
          <w:spacing w:val="-3"/>
        </w:rPr>
        <w:t> </w:t>
      </w:r>
      <w:r>
        <w:rPr/>
        <w:t>Cabe</w:t>
      </w:r>
      <w:r>
        <w:rPr>
          <w:spacing w:val="-2"/>
        </w:rPr>
        <w:t> </w:t>
      </w:r>
      <w:r>
        <w:rPr/>
        <w:t>precisar</w:t>
      </w:r>
      <w:r>
        <w:rPr>
          <w:spacing w:val="-5"/>
        </w:rPr>
        <w:t> </w:t>
      </w:r>
      <w:r>
        <w:rPr/>
        <w:t>que</w:t>
      </w:r>
      <w:r>
        <w:rPr>
          <w:spacing w:val="-3"/>
        </w:rPr>
        <w:t> </w:t>
      </w:r>
      <w:r>
        <w:rPr/>
        <w:t>en</w:t>
      </w:r>
      <w:r>
        <w:rPr>
          <w:spacing w:val="-5"/>
        </w:rPr>
        <w:t> </w:t>
      </w:r>
      <w:r>
        <w:rPr/>
        <w:t>el</w:t>
      </w:r>
      <w:r>
        <w:rPr>
          <w:spacing w:val="-2"/>
        </w:rPr>
        <w:t> </w:t>
      </w:r>
      <w:r>
        <w:rPr/>
        <w:t>año</w:t>
      </w:r>
      <w:r>
        <w:rPr>
          <w:spacing w:val="-2"/>
        </w:rPr>
        <w:t> </w:t>
      </w:r>
      <w:r>
        <w:rPr/>
        <w:t>2022 y</w:t>
      </w:r>
      <w:r>
        <w:rPr>
          <w:spacing w:val="-9"/>
        </w:rPr>
        <w:t> </w:t>
      </w:r>
      <w:r>
        <w:rPr/>
        <w:t>2021</w:t>
      </w:r>
      <w:r>
        <w:rPr>
          <w:spacing w:val="-11"/>
        </w:rPr>
        <w:t> </w:t>
      </w:r>
      <w:r>
        <w:rPr/>
        <w:t>se</w:t>
      </w:r>
      <w:r>
        <w:rPr>
          <w:spacing w:val="-8"/>
        </w:rPr>
        <w:t> </w:t>
      </w:r>
      <w:r>
        <w:rPr/>
        <w:t>obtuvo</w:t>
      </w:r>
      <w:r>
        <w:rPr>
          <w:spacing w:val="-8"/>
        </w:rPr>
        <w:t> </w:t>
      </w:r>
      <w:r>
        <w:rPr/>
        <w:t>un</w:t>
      </w:r>
      <w:r>
        <w:rPr>
          <w:spacing w:val="-8"/>
        </w:rPr>
        <w:t> </w:t>
      </w:r>
      <w:r>
        <w:rPr/>
        <w:t>0.0%</w:t>
      </w:r>
      <w:r>
        <w:rPr>
          <w:spacing w:val="-8"/>
        </w:rPr>
        <w:t> </w:t>
      </w:r>
      <w:r>
        <w:rPr/>
        <w:t>de</w:t>
      </w:r>
      <w:r>
        <w:rPr>
          <w:spacing w:val="-8"/>
        </w:rPr>
        <w:t> </w:t>
      </w:r>
      <w:r>
        <w:rPr/>
        <w:t>avance,</w:t>
      </w:r>
      <w:r>
        <w:rPr>
          <w:spacing w:val="-6"/>
        </w:rPr>
        <w:t> </w:t>
      </w:r>
      <w:r>
        <w:rPr/>
        <w:t>registrando</w:t>
      </w:r>
      <w:r>
        <w:rPr>
          <w:spacing w:val="-8"/>
        </w:rPr>
        <w:t> </w:t>
      </w:r>
      <w:r>
        <w:rPr/>
        <w:t>un</w:t>
      </w:r>
      <w:r>
        <w:rPr>
          <w:spacing w:val="-9"/>
        </w:rPr>
        <w:t> </w:t>
      </w:r>
      <w:r>
        <w:rPr/>
        <w:t>nivel</w:t>
      </w:r>
      <w:r>
        <w:rPr>
          <w:spacing w:val="-8"/>
        </w:rPr>
        <w:t> </w:t>
      </w:r>
      <w:r>
        <w:rPr/>
        <w:t>de</w:t>
      </w:r>
      <w:r>
        <w:rPr>
          <w:spacing w:val="-8"/>
        </w:rPr>
        <w:t> </w:t>
      </w:r>
      <w:r>
        <w:rPr/>
        <w:t>cumplimiento</w:t>
      </w:r>
      <w:r>
        <w:rPr>
          <w:spacing w:val="-8"/>
        </w:rPr>
        <w:t> </w:t>
      </w:r>
      <w:r>
        <w:rPr/>
        <w:t>bajo.</w:t>
      </w:r>
    </w:p>
    <w:p>
      <w:pPr>
        <w:spacing w:before="155"/>
        <w:ind w:left="1299" w:right="0" w:firstLine="0"/>
        <w:jc w:val="both"/>
        <w:rPr>
          <w:sz w:val="22"/>
        </w:rPr>
      </w:pPr>
      <w:r>
        <w:rPr>
          <w:color w:val="44536A"/>
          <w:sz w:val="22"/>
        </w:rPr>
        <w:t>Tabla</w:t>
      </w:r>
      <w:r>
        <w:rPr>
          <w:color w:val="44536A"/>
          <w:spacing w:val="-9"/>
          <w:sz w:val="22"/>
        </w:rPr>
        <w:t> </w:t>
      </w:r>
      <w:r>
        <w:rPr>
          <w:color w:val="44536A"/>
          <w:sz w:val="22"/>
        </w:rPr>
        <w:t>20.</w:t>
      </w:r>
      <w:r>
        <w:rPr>
          <w:color w:val="44536A"/>
          <w:spacing w:val="-10"/>
          <w:sz w:val="22"/>
        </w:rPr>
        <w:t> </w:t>
      </w:r>
      <w:r>
        <w:rPr>
          <w:color w:val="44536A"/>
          <w:sz w:val="22"/>
        </w:rPr>
        <w:t>Análisis</w:t>
      </w:r>
      <w:r>
        <w:rPr>
          <w:color w:val="44536A"/>
          <w:spacing w:val="-12"/>
          <w:sz w:val="22"/>
        </w:rPr>
        <w:t> </w:t>
      </w:r>
      <w:r>
        <w:rPr>
          <w:color w:val="44536A"/>
          <w:sz w:val="22"/>
        </w:rPr>
        <w:t>del</w:t>
      </w:r>
      <w:r>
        <w:rPr>
          <w:color w:val="44536A"/>
          <w:spacing w:val="-10"/>
          <w:sz w:val="22"/>
        </w:rPr>
        <w:t> </w:t>
      </w:r>
      <w:r>
        <w:rPr>
          <w:color w:val="44536A"/>
          <w:sz w:val="22"/>
        </w:rPr>
        <w:t>indicador</w:t>
      </w:r>
      <w:r>
        <w:rPr>
          <w:color w:val="44536A"/>
          <w:spacing w:val="-11"/>
          <w:sz w:val="22"/>
        </w:rPr>
        <w:t> </w:t>
      </w:r>
      <w:r>
        <w:rPr>
          <w:color w:val="44536A"/>
          <w:sz w:val="22"/>
        </w:rPr>
        <w:t>de</w:t>
      </w:r>
      <w:r>
        <w:rPr>
          <w:color w:val="44536A"/>
          <w:spacing w:val="-8"/>
          <w:sz w:val="22"/>
        </w:rPr>
        <w:t> </w:t>
      </w:r>
      <w:r>
        <w:rPr>
          <w:color w:val="44536A"/>
          <w:sz w:val="22"/>
        </w:rPr>
        <w:t>eficacia</w:t>
      </w:r>
      <w:r>
        <w:rPr>
          <w:color w:val="44536A"/>
          <w:spacing w:val="-11"/>
          <w:sz w:val="22"/>
        </w:rPr>
        <w:t> </w:t>
      </w:r>
      <w:r>
        <w:rPr>
          <w:color w:val="44536A"/>
          <w:sz w:val="22"/>
        </w:rPr>
        <w:t>del</w:t>
      </w:r>
      <w:r>
        <w:rPr>
          <w:color w:val="44536A"/>
          <w:spacing w:val="-10"/>
          <w:sz w:val="22"/>
        </w:rPr>
        <w:t> </w:t>
      </w:r>
      <w:r>
        <w:rPr>
          <w:color w:val="44536A"/>
          <w:sz w:val="22"/>
        </w:rPr>
        <w:t>servicio</w:t>
      </w:r>
      <w:r>
        <w:rPr>
          <w:color w:val="44536A"/>
          <w:spacing w:val="-11"/>
          <w:sz w:val="22"/>
        </w:rPr>
        <w:t> </w:t>
      </w:r>
      <w:r>
        <w:rPr>
          <w:color w:val="44536A"/>
          <w:spacing w:val="-2"/>
          <w:sz w:val="22"/>
        </w:rPr>
        <w:t>05.01.01</w:t>
      </w:r>
    </w:p>
    <w:p>
      <w:pPr>
        <w:pStyle w:val="BodyText"/>
        <w:spacing w:before="11"/>
        <w:rPr>
          <w:sz w:val="18"/>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72"/>
        <w:gridCol w:w="751"/>
        <w:gridCol w:w="593"/>
        <w:gridCol w:w="686"/>
        <w:gridCol w:w="688"/>
        <w:gridCol w:w="686"/>
        <w:gridCol w:w="686"/>
        <w:gridCol w:w="686"/>
        <w:gridCol w:w="688"/>
        <w:gridCol w:w="686"/>
        <w:gridCol w:w="687"/>
        <w:gridCol w:w="686"/>
      </w:tblGrid>
      <w:tr>
        <w:trPr>
          <w:trHeight w:val="489" w:hRule="atLeast"/>
        </w:trPr>
        <w:tc>
          <w:tcPr>
            <w:tcW w:w="972" w:type="dxa"/>
            <w:shd w:val="clear" w:color="auto" w:fill="44536A"/>
          </w:tcPr>
          <w:p>
            <w:pPr>
              <w:pStyle w:val="TableParagraph"/>
              <w:spacing w:before="154"/>
              <w:ind w:left="7"/>
              <w:jc w:val="center"/>
              <w:rPr>
                <w:sz w:val="16"/>
              </w:rPr>
            </w:pPr>
            <w:r>
              <w:rPr>
                <w:color w:val="FFFFFF"/>
                <w:spacing w:val="-5"/>
                <w:sz w:val="16"/>
              </w:rPr>
              <w:t>OP</w:t>
            </w:r>
          </w:p>
        </w:tc>
        <w:tc>
          <w:tcPr>
            <w:tcW w:w="7523" w:type="dxa"/>
            <w:gridSpan w:val="11"/>
          </w:tcPr>
          <w:p>
            <w:pPr>
              <w:pStyle w:val="TableParagraph"/>
              <w:spacing w:before="23"/>
              <w:ind w:left="69"/>
              <w:rPr>
                <w:sz w:val="18"/>
              </w:rPr>
            </w:pPr>
            <w:r>
              <w:rPr>
                <w:sz w:val="18"/>
              </w:rPr>
              <w:t>OP.05</w:t>
            </w:r>
            <w:r>
              <w:rPr>
                <w:spacing w:val="-3"/>
                <w:sz w:val="18"/>
              </w:rPr>
              <w:t> </w:t>
            </w:r>
            <w:r>
              <w:rPr>
                <w:sz w:val="18"/>
              </w:rPr>
              <w:t>Reducir</w:t>
            </w:r>
            <w:r>
              <w:rPr>
                <w:spacing w:val="-4"/>
                <w:sz w:val="18"/>
              </w:rPr>
              <w:t> </w:t>
            </w:r>
            <w:r>
              <w:rPr>
                <w:sz w:val="18"/>
              </w:rPr>
              <w:t>las</w:t>
            </w:r>
            <w:r>
              <w:rPr>
                <w:spacing w:val="-6"/>
                <w:sz w:val="18"/>
              </w:rPr>
              <w:t> </w:t>
            </w:r>
            <w:r>
              <w:rPr>
                <w:sz w:val="18"/>
              </w:rPr>
              <w:t>barreras</w:t>
            </w:r>
            <w:r>
              <w:rPr>
                <w:spacing w:val="-6"/>
                <w:sz w:val="18"/>
              </w:rPr>
              <w:t> </w:t>
            </w:r>
            <w:r>
              <w:rPr>
                <w:sz w:val="18"/>
              </w:rPr>
              <w:t>institucionales</w:t>
            </w:r>
            <w:r>
              <w:rPr>
                <w:spacing w:val="-4"/>
                <w:sz w:val="18"/>
              </w:rPr>
              <w:t> </w:t>
            </w:r>
            <w:r>
              <w:rPr>
                <w:sz w:val="18"/>
              </w:rPr>
              <w:t>que</w:t>
            </w:r>
            <w:r>
              <w:rPr>
                <w:spacing w:val="-4"/>
                <w:sz w:val="18"/>
              </w:rPr>
              <w:t> </w:t>
            </w:r>
            <w:r>
              <w:rPr>
                <w:sz w:val="18"/>
              </w:rPr>
              <w:t>obstaculizan</w:t>
            </w:r>
            <w:r>
              <w:rPr>
                <w:spacing w:val="-7"/>
                <w:sz w:val="18"/>
              </w:rPr>
              <w:t> </w:t>
            </w:r>
            <w:r>
              <w:rPr>
                <w:sz w:val="18"/>
              </w:rPr>
              <w:t>la</w:t>
            </w:r>
            <w:r>
              <w:rPr>
                <w:spacing w:val="2"/>
                <w:sz w:val="18"/>
              </w:rPr>
              <w:t> </w:t>
            </w:r>
            <w:r>
              <w:rPr>
                <w:sz w:val="18"/>
              </w:rPr>
              <w:t>igualdad</w:t>
            </w:r>
            <w:r>
              <w:rPr>
                <w:spacing w:val="-2"/>
                <w:sz w:val="18"/>
              </w:rPr>
              <w:t> </w:t>
            </w:r>
            <w:r>
              <w:rPr>
                <w:sz w:val="18"/>
              </w:rPr>
              <w:t>en</w:t>
            </w:r>
            <w:r>
              <w:rPr>
                <w:spacing w:val="-5"/>
                <w:sz w:val="18"/>
              </w:rPr>
              <w:t> </w:t>
            </w:r>
            <w:r>
              <w:rPr>
                <w:sz w:val="18"/>
              </w:rPr>
              <w:t>los</w:t>
            </w:r>
            <w:r>
              <w:rPr>
                <w:spacing w:val="-6"/>
                <w:sz w:val="18"/>
              </w:rPr>
              <w:t> </w:t>
            </w:r>
            <w:r>
              <w:rPr>
                <w:spacing w:val="-2"/>
                <w:sz w:val="18"/>
              </w:rPr>
              <w:t>ámbitos</w:t>
            </w:r>
          </w:p>
          <w:p>
            <w:pPr>
              <w:pStyle w:val="TableParagraph"/>
              <w:spacing w:line="201" w:lineRule="exact" w:before="37"/>
              <w:ind w:left="69"/>
              <w:rPr>
                <w:sz w:val="18"/>
              </w:rPr>
            </w:pPr>
            <w:r>
              <w:rPr>
                <w:sz w:val="18"/>
              </w:rPr>
              <w:t>público</w:t>
            </w:r>
            <w:r>
              <w:rPr>
                <w:spacing w:val="6"/>
                <w:sz w:val="18"/>
              </w:rPr>
              <w:t> </w:t>
            </w:r>
            <w:r>
              <w:rPr>
                <w:sz w:val="18"/>
              </w:rPr>
              <w:t>y</w:t>
            </w:r>
            <w:r>
              <w:rPr>
                <w:spacing w:val="3"/>
                <w:sz w:val="18"/>
              </w:rPr>
              <w:t> </w:t>
            </w:r>
            <w:r>
              <w:rPr>
                <w:sz w:val="18"/>
              </w:rPr>
              <w:t>privado</w:t>
            </w:r>
            <w:r>
              <w:rPr>
                <w:spacing w:val="5"/>
                <w:sz w:val="18"/>
              </w:rPr>
              <w:t> </w:t>
            </w:r>
            <w:r>
              <w:rPr>
                <w:sz w:val="18"/>
              </w:rPr>
              <w:t>entre</w:t>
            </w:r>
            <w:r>
              <w:rPr>
                <w:spacing w:val="6"/>
                <w:sz w:val="18"/>
              </w:rPr>
              <w:t> </w:t>
            </w:r>
            <w:r>
              <w:rPr>
                <w:sz w:val="18"/>
              </w:rPr>
              <w:t>hombres</w:t>
            </w:r>
            <w:r>
              <w:rPr>
                <w:spacing w:val="7"/>
                <w:sz w:val="18"/>
              </w:rPr>
              <w:t> </w:t>
            </w:r>
            <w:r>
              <w:rPr>
                <w:sz w:val="18"/>
              </w:rPr>
              <w:t>y</w:t>
            </w:r>
            <w:r>
              <w:rPr>
                <w:spacing w:val="6"/>
                <w:sz w:val="18"/>
              </w:rPr>
              <w:t> </w:t>
            </w:r>
            <w:r>
              <w:rPr>
                <w:spacing w:val="-2"/>
                <w:sz w:val="18"/>
              </w:rPr>
              <w:t>mujeres.</w:t>
            </w:r>
          </w:p>
        </w:tc>
      </w:tr>
      <w:tr>
        <w:trPr>
          <w:trHeight w:val="491" w:hRule="atLeast"/>
        </w:trPr>
        <w:tc>
          <w:tcPr>
            <w:tcW w:w="972" w:type="dxa"/>
            <w:shd w:val="clear" w:color="auto" w:fill="44536A"/>
          </w:tcPr>
          <w:p>
            <w:pPr>
              <w:pStyle w:val="TableParagraph"/>
              <w:spacing w:before="145"/>
              <w:ind w:left="172"/>
              <w:rPr>
                <w:sz w:val="18"/>
              </w:rPr>
            </w:pPr>
            <w:r>
              <w:rPr>
                <w:color w:val="FFFFFF"/>
                <w:spacing w:val="-2"/>
                <w:sz w:val="18"/>
              </w:rPr>
              <w:t>Servicio</w:t>
            </w:r>
          </w:p>
        </w:tc>
        <w:tc>
          <w:tcPr>
            <w:tcW w:w="7523" w:type="dxa"/>
            <w:gridSpan w:val="11"/>
          </w:tcPr>
          <w:p>
            <w:pPr>
              <w:pStyle w:val="TableParagraph"/>
              <w:spacing w:before="23"/>
              <w:ind w:left="69"/>
              <w:rPr>
                <w:sz w:val="18"/>
              </w:rPr>
            </w:pPr>
            <w:r>
              <w:rPr>
                <w:sz w:val="18"/>
              </w:rPr>
              <w:t>Asistencia</w:t>
            </w:r>
            <w:r>
              <w:rPr>
                <w:spacing w:val="1"/>
                <w:sz w:val="18"/>
              </w:rPr>
              <w:t> </w:t>
            </w:r>
            <w:r>
              <w:rPr>
                <w:sz w:val="18"/>
              </w:rPr>
              <w:t>técnica</w:t>
            </w:r>
            <w:r>
              <w:rPr>
                <w:spacing w:val="-1"/>
                <w:sz w:val="18"/>
              </w:rPr>
              <w:t> </w:t>
            </w:r>
            <w:r>
              <w:rPr>
                <w:sz w:val="18"/>
              </w:rPr>
              <w:t>para</w:t>
            </w:r>
            <w:r>
              <w:rPr>
                <w:spacing w:val="1"/>
                <w:sz w:val="18"/>
              </w:rPr>
              <w:t> </w:t>
            </w:r>
            <w:r>
              <w:rPr>
                <w:sz w:val="18"/>
              </w:rPr>
              <w:t>transversalizar</w:t>
            </w:r>
            <w:r>
              <w:rPr>
                <w:spacing w:val="1"/>
                <w:sz w:val="18"/>
              </w:rPr>
              <w:t> </w:t>
            </w:r>
            <w:r>
              <w:rPr>
                <w:sz w:val="18"/>
              </w:rPr>
              <w:t>el enfoque de</w:t>
            </w:r>
            <w:r>
              <w:rPr>
                <w:spacing w:val="-2"/>
                <w:sz w:val="18"/>
              </w:rPr>
              <w:t> </w:t>
            </w:r>
            <w:r>
              <w:rPr>
                <w:sz w:val="18"/>
              </w:rPr>
              <w:t>género</w:t>
            </w:r>
            <w:r>
              <w:rPr>
                <w:spacing w:val="1"/>
                <w:sz w:val="18"/>
              </w:rPr>
              <w:t> </w:t>
            </w:r>
            <w:r>
              <w:rPr>
                <w:sz w:val="18"/>
              </w:rPr>
              <w:t>en</w:t>
            </w:r>
            <w:r>
              <w:rPr>
                <w:spacing w:val="-1"/>
                <w:sz w:val="18"/>
              </w:rPr>
              <w:t> </w:t>
            </w:r>
            <w:r>
              <w:rPr>
                <w:sz w:val="18"/>
              </w:rPr>
              <w:t>la</w:t>
            </w:r>
            <w:r>
              <w:rPr>
                <w:spacing w:val="-1"/>
                <w:sz w:val="18"/>
              </w:rPr>
              <w:t> </w:t>
            </w:r>
            <w:r>
              <w:rPr>
                <w:sz w:val="18"/>
              </w:rPr>
              <w:t>producción de</w:t>
            </w:r>
            <w:r>
              <w:rPr>
                <w:spacing w:val="-2"/>
                <w:sz w:val="18"/>
              </w:rPr>
              <w:t> </w:t>
            </w:r>
            <w:r>
              <w:rPr>
                <w:sz w:val="18"/>
              </w:rPr>
              <w:t>bienes</w:t>
            </w:r>
            <w:r>
              <w:rPr>
                <w:spacing w:val="-2"/>
                <w:sz w:val="18"/>
              </w:rPr>
              <w:t> </w:t>
            </w:r>
            <w:r>
              <w:rPr>
                <w:spacing w:val="-10"/>
                <w:sz w:val="18"/>
              </w:rPr>
              <w:t>y</w:t>
            </w:r>
          </w:p>
          <w:p>
            <w:pPr>
              <w:pStyle w:val="TableParagraph"/>
              <w:spacing w:line="204" w:lineRule="exact" w:before="37"/>
              <w:ind w:left="69"/>
              <w:rPr>
                <w:sz w:val="18"/>
              </w:rPr>
            </w:pPr>
            <w:r>
              <w:rPr>
                <w:sz w:val="18"/>
              </w:rPr>
              <w:t>servicios,</w:t>
            </w:r>
            <w:r>
              <w:rPr>
                <w:spacing w:val="-5"/>
                <w:sz w:val="18"/>
              </w:rPr>
              <w:t> </w:t>
            </w:r>
            <w:r>
              <w:rPr>
                <w:sz w:val="18"/>
              </w:rPr>
              <w:t>entregados</w:t>
            </w:r>
            <w:r>
              <w:rPr>
                <w:spacing w:val="-3"/>
                <w:sz w:val="18"/>
              </w:rPr>
              <w:t> </w:t>
            </w:r>
            <w:r>
              <w:rPr>
                <w:sz w:val="18"/>
              </w:rPr>
              <w:t>a</w:t>
            </w:r>
            <w:r>
              <w:rPr>
                <w:spacing w:val="-3"/>
                <w:sz w:val="18"/>
              </w:rPr>
              <w:t> </w:t>
            </w:r>
            <w:r>
              <w:rPr>
                <w:sz w:val="18"/>
              </w:rPr>
              <w:t>la</w:t>
            </w:r>
            <w:r>
              <w:rPr>
                <w:spacing w:val="-5"/>
                <w:sz w:val="18"/>
              </w:rPr>
              <w:t> </w:t>
            </w:r>
            <w:r>
              <w:rPr>
                <w:sz w:val="18"/>
              </w:rPr>
              <w:t>ciudadanía</w:t>
            </w:r>
            <w:r>
              <w:rPr>
                <w:spacing w:val="-5"/>
                <w:sz w:val="18"/>
              </w:rPr>
              <w:t> </w:t>
            </w:r>
            <w:r>
              <w:rPr>
                <w:sz w:val="18"/>
              </w:rPr>
              <w:t>por</w:t>
            </w:r>
            <w:r>
              <w:rPr>
                <w:spacing w:val="-4"/>
                <w:sz w:val="18"/>
              </w:rPr>
              <w:t> </w:t>
            </w:r>
            <w:r>
              <w:rPr>
                <w:sz w:val="18"/>
              </w:rPr>
              <w:t>las</w:t>
            </w:r>
            <w:r>
              <w:rPr>
                <w:spacing w:val="-4"/>
                <w:sz w:val="18"/>
              </w:rPr>
              <w:t> </w:t>
            </w:r>
            <w:r>
              <w:rPr>
                <w:sz w:val="18"/>
              </w:rPr>
              <w:t>entidades</w:t>
            </w:r>
            <w:r>
              <w:rPr>
                <w:spacing w:val="-4"/>
                <w:sz w:val="18"/>
              </w:rPr>
              <w:t> </w:t>
            </w:r>
            <w:r>
              <w:rPr>
                <w:sz w:val="18"/>
              </w:rPr>
              <w:t>públicas,</w:t>
            </w:r>
            <w:r>
              <w:rPr>
                <w:spacing w:val="-4"/>
                <w:sz w:val="18"/>
              </w:rPr>
              <w:t> </w:t>
            </w:r>
            <w:r>
              <w:rPr>
                <w:sz w:val="18"/>
              </w:rPr>
              <w:t>oportunas</w:t>
            </w:r>
            <w:r>
              <w:rPr>
                <w:spacing w:val="-4"/>
                <w:sz w:val="18"/>
              </w:rPr>
              <w:t> </w:t>
            </w:r>
            <w:r>
              <w:rPr>
                <w:sz w:val="18"/>
              </w:rPr>
              <w:t>y</w:t>
            </w:r>
            <w:r>
              <w:rPr>
                <w:spacing w:val="-5"/>
                <w:sz w:val="18"/>
              </w:rPr>
              <w:t> </w:t>
            </w:r>
            <w:r>
              <w:rPr>
                <w:spacing w:val="-2"/>
                <w:sz w:val="18"/>
              </w:rPr>
              <w:t>fiables.</w:t>
            </w:r>
          </w:p>
        </w:tc>
      </w:tr>
      <w:tr>
        <w:trPr>
          <w:trHeight w:val="489" w:hRule="atLeast"/>
        </w:trPr>
        <w:tc>
          <w:tcPr>
            <w:tcW w:w="972" w:type="dxa"/>
            <w:shd w:val="clear" w:color="auto" w:fill="44536A"/>
          </w:tcPr>
          <w:p>
            <w:pPr>
              <w:pStyle w:val="TableParagraph"/>
              <w:spacing w:before="145"/>
              <w:ind w:left="102"/>
              <w:rPr>
                <w:sz w:val="18"/>
              </w:rPr>
            </w:pPr>
            <w:r>
              <w:rPr>
                <w:color w:val="FFFFFF"/>
                <w:spacing w:val="-2"/>
                <w:w w:val="105"/>
                <w:sz w:val="18"/>
              </w:rPr>
              <w:t>Indicador</w:t>
            </w:r>
          </w:p>
        </w:tc>
        <w:tc>
          <w:tcPr>
            <w:tcW w:w="7523" w:type="dxa"/>
            <w:gridSpan w:val="11"/>
          </w:tcPr>
          <w:p>
            <w:pPr>
              <w:pStyle w:val="TableParagraph"/>
              <w:spacing w:before="23"/>
              <w:ind w:left="69"/>
              <w:rPr>
                <w:sz w:val="18"/>
              </w:rPr>
            </w:pPr>
            <w:r>
              <w:rPr>
                <w:sz w:val="18"/>
              </w:rPr>
              <w:t>Porcentaje</w:t>
            </w:r>
            <w:r>
              <w:rPr>
                <w:spacing w:val="-2"/>
                <w:sz w:val="18"/>
              </w:rPr>
              <w:t> </w:t>
            </w:r>
            <w:r>
              <w:rPr>
                <w:sz w:val="18"/>
              </w:rPr>
              <w:t>de</w:t>
            </w:r>
            <w:r>
              <w:rPr>
                <w:spacing w:val="-1"/>
                <w:sz w:val="18"/>
              </w:rPr>
              <w:t> </w:t>
            </w:r>
            <w:r>
              <w:rPr>
                <w:sz w:val="18"/>
              </w:rPr>
              <w:t>entidades</w:t>
            </w:r>
            <w:r>
              <w:rPr>
                <w:spacing w:val="-1"/>
                <w:sz w:val="18"/>
              </w:rPr>
              <w:t> </w:t>
            </w:r>
            <w:r>
              <w:rPr>
                <w:sz w:val="18"/>
              </w:rPr>
              <w:t>públicas</w:t>
            </w:r>
            <w:r>
              <w:rPr>
                <w:spacing w:val="-3"/>
                <w:sz w:val="18"/>
              </w:rPr>
              <w:t> </w:t>
            </w:r>
            <w:r>
              <w:rPr>
                <w:sz w:val="18"/>
              </w:rPr>
              <w:t>priorizadas</w:t>
            </w:r>
            <w:r>
              <w:rPr>
                <w:spacing w:val="-3"/>
                <w:sz w:val="18"/>
              </w:rPr>
              <w:t> </w:t>
            </w:r>
            <w:r>
              <w:rPr>
                <w:sz w:val="18"/>
              </w:rPr>
              <w:t>que</w:t>
            </w:r>
            <w:r>
              <w:rPr>
                <w:spacing w:val="-1"/>
                <w:sz w:val="18"/>
              </w:rPr>
              <w:t> </w:t>
            </w:r>
            <w:r>
              <w:rPr>
                <w:sz w:val="18"/>
              </w:rPr>
              <w:t>reciben</w:t>
            </w:r>
            <w:r>
              <w:rPr>
                <w:spacing w:val="-2"/>
                <w:sz w:val="18"/>
              </w:rPr>
              <w:t> </w:t>
            </w:r>
            <w:r>
              <w:rPr>
                <w:sz w:val="18"/>
              </w:rPr>
              <w:t>asistencia técnica</w:t>
            </w:r>
            <w:r>
              <w:rPr>
                <w:spacing w:val="-2"/>
                <w:sz w:val="18"/>
              </w:rPr>
              <w:t> </w:t>
            </w:r>
            <w:r>
              <w:rPr>
                <w:spacing w:val="-4"/>
                <w:sz w:val="18"/>
              </w:rPr>
              <w:t>para</w:t>
            </w:r>
          </w:p>
          <w:p>
            <w:pPr>
              <w:pStyle w:val="TableParagraph"/>
              <w:spacing w:line="201" w:lineRule="exact" w:before="38"/>
              <w:ind w:left="69"/>
              <w:rPr>
                <w:sz w:val="18"/>
              </w:rPr>
            </w:pPr>
            <w:r>
              <w:rPr>
                <w:sz w:val="18"/>
              </w:rPr>
              <w:t>transversalizar</w:t>
            </w:r>
            <w:r>
              <w:rPr>
                <w:spacing w:val="1"/>
                <w:sz w:val="18"/>
              </w:rPr>
              <w:t> </w:t>
            </w:r>
            <w:r>
              <w:rPr>
                <w:sz w:val="18"/>
              </w:rPr>
              <w:t>el</w:t>
            </w:r>
            <w:r>
              <w:rPr>
                <w:spacing w:val="2"/>
                <w:sz w:val="18"/>
              </w:rPr>
              <w:t> </w:t>
            </w:r>
            <w:r>
              <w:rPr>
                <w:sz w:val="18"/>
              </w:rPr>
              <w:t>enfoque de</w:t>
            </w:r>
            <w:r>
              <w:rPr>
                <w:spacing w:val="-1"/>
                <w:sz w:val="18"/>
              </w:rPr>
              <w:t> </w:t>
            </w:r>
            <w:r>
              <w:rPr>
                <w:sz w:val="18"/>
              </w:rPr>
              <w:t>género</w:t>
            </w:r>
            <w:r>
              <w:rPr>
                <w:spacing w:val="2"/>
                <w:sz w:val="18"/>
              </w:rPr>
              <w:t> </w:t>
            </w:r>
            <w:r>
              <w:rPr>
                <w:sz w:val="18"/>
              </w:rPr>
              <w:t>en</w:t>
            </w:r>
            <w:r>
              <w:rPr>
                <w:spacing w:val="1"/>
                <w:sz w:val="18"/>
              </w:rPr>
              <w:t> </w:t>
            </w:r>
            <w:r>
              <w:rPr>
                <w:sz w:val="18"/>
              </w:rPr>
              <w:t>la</w:t>
            </w:r>
            <w:r>
              <w:rPr>
                <w:spacing w:val="3"/>
                <w:sz w:val="18"/>
              </w:rPr>
              <w:t> </w:t>
            </w:r>
            <w:r>
              <w:rPr>
                <w:sz w:val="18"/>
              </w:rPr>
              <w:t>producción</w:t>
            </w:r>
            <w:r>
              <w:rPr>
                <w:spacing w:val="2"/>
                <w:sz w:val="18"/>
              </w:rPr>
              <w:t> </w:t>
            </w:r>
            <w:r>
              <w:rPr>
                <w:sz w:val="18"/>
              </w:rPr>
              <w:t>de</w:t>
            </w:r>
            <w:r>
              <w:rPr>
                <w:spacing w:val="-1"/>
                <w:sz w:val="18"/>
              </w:rPr>
              <w:t> </w:t>
            </w:r>
            <w:r>
              <w:rPr>
                <w:sz w:val="18"/>
              </w:rPr>
              <w:t>bienes</w:t>
            </w:r>
            <w:r>
              <w:rPr>
                <w:spacing w:val="2"/>
                <w:sz w:val="18"/>
              </w:rPr>
              <w:t> </w:t>
            </w:r>
            <w:r>
              <w:rPr>
                <w:sz w:val="18"/>
              </w:rPr>
              <w:t>y</w:t>
            </w:r>
            <w:r>
              <w:rPr>
                <w:spacing w:val="1"/>
                <w:sz w:val="18"/>
              </w:rPr>
              <w:t> </w:t>
            </w:r>
            <w:r>
              <w:rPr>
                <w:spacing w:val="-2"/>
                <w:sz w:val="18"/>
              </w:rPr>
              <w:t>servicios.</w:t>
            </w:r>
          </w:p>
        </w:tc>
      </w:tr>
      <w:tr>
        <w:trPr>
          <w:trHeight w:val="491" w:hRule="atLeast"/>
        </w:trPr>
        <w:tc>
          <w:tcPr>
            <w:tcW w:w="972" w:type="dxa"/>
            <w:shd w:val="clear" w:color="auto" w:fill="808080"/>
          </w:tcPr>
          <w:p>
            <w:pPr>
              <w:pStyle w:val="TableParagraph"/>
              <w:spacing w:before="145"/>
              <w:ind w:left="323"/>
              <w:rPr>
                <w:sz w:val="18"/>
              </w:rPr>
            </w:pPr>
            <w:r>
              <w:rPr>
                <w:color w:val="FFFFFF"/>
                <w:spacing w:val="-5"/>
                <w:sz w:val="18"/>
              </w:rPr>
              <w:t>Año</w:t>
            </w:r>
          </w:p>
        </w:tc>
        <w:tc>
          <w:tcPr>
            <w:tcW w:w="751" w:type="dxa"/>
            <w:shd w:val="clear" w:color="auto" w:fill="808080"/>
          </w:tcPr>
          <w:p>
            <w:pPr>
              <w:pStyle w:val="TableParagraph"/>
              <w:spacing w:before="23"/>
              <w:ind w:left="9"/>
              <w:jc w:val="center"/>
              <w:rPr>
                <w:sz w:val="18"/>
              </w:rPr>
            </w:pPr>
            <w:r>
              <w:rPr>
                <w:color w:val="FFFFFF"/>
                <w:spacing w:val="-2"/>
                <w:sz w:val="18"/>
              </w:rPr>
              <w:t>Valor</w:t>
            </w:r>
          </w:p>
          <w:p>
            <w:pPr>
              <w:pStyle w:val="TableParagraph"/>
              <w:spacing w:line="204" w:lineRule="exact" w:before="37"/>
              <w:ind w:left="9" w:right="1"/>
              <w:jc w:val="center"/>
              <w:rPr>
                <w:sz w:val="18"/>
              </w:rPr>
            </w:pPr>
            <w:r>
              <w:rPr>
                <w:color w:val="FFFFFF"/>
                <w:spacing w:val="-5"/>
                <w:sz w:val="18"/>
              </w:rPr>
              <w:t>LB</w:t>
            </w:r>
          </w:p>
        </w:tc>
        <w:tc>
          <w:tcPr>
            <w:tcW w:w="593" w:type="dxa"/>
            <w:shd w:val="clear" w:color="auto" w:fill="808080"/>
          </w:tcPr>
          <w:p>
            <w:pPr>
              <w:pStyle w:val="TableParagraph"/>
              <w:spacing w:before="145"/>
              <w:ind w:left="12"/>
              <w:jc w:val="center"/>
              <w:rPr>
                <w:sz w:val="18"/>
              </w:rPr>
            </w:pPr>
            <w:r>
              <w:rPr>
                <w:color w:val="FFFFFF"/>
                <w:spacing w:val="-4"/>
                <w:sz w:val="18"/>
              </w:rPr>
              <w:t>2021</w:t>
            </w:r>
          </w:p>
        </w:tc>
        <w:tc>
          <w:tcPr>
            <w:tcW w:w="686" w:type="dxa"/>
            <w:shd w:val="clear" w:color="auto" w:fill="808080"/>
          </w:tcPr>
          <w:p>
            <w:pPr>
              <w:pStyle w:val="TableParagraph"/>
              <w:spacing w:before="145"/>
              <w:ind w:left="19" w:right="8"/>
              <w:jc w:val="center"/>
              <w:rPr>
                <w:sz w:val="18"/>
              </w:rPr>
            </w:pPr>
            <w:r>
              <w:rPr>
                <w:color w:val="FFFFFF"/>
                <w:spacing w:val="-4"/>
                <w:sz w:val="18"/>
              </w:rPr>
              <w:t>2022</w:t>
            </w:r>
          </w:p>
        </w:tc>
        <w:tc>
          <w:tcPr>
            <w:tcW w:w="688" w:type="dxa"/>
            <w:shd w:val="clear" w:color="auto" w:fill="808080"/>
          </w:tcPr>
          <w:p>
            <w:pPr>
              <w:pStyle w:val="TableParagraph"/>
              <w:spacing w:before="145"/>
              <w:ind w:left="14" w:right="5"/>
              <w:jc w:val="center"/>
              <w:rPr>
                <w:sz w:val="18"/>
              </w:rPr>
            </w:pPr>
            <w:r>
              <w:rPr>
                <w:color w:val="FFFFFF"/>
                <w:spacing w:val="-4"/>
                <w:sz w:val="18"/>
              </w:rPr>
              <w:t>2023</w:t>
            </w:r>
          </w:p>
        </w:tc>
        <w:tc>
          <w:tcPr>
            <w:tcW w:w="686" w:type="dxa"/>
            <w:shd w:val="clear" w:color="auto" w:fill="808080"/>
          </w:tcPr>
          <w:p>
            <w:pPr>
              <w:pStyle w:val="TableParagraph"/>
              <w:spacing w:before="145"/>
              <w:ind w:left="19" w:right="11"/>
              <w:jc w:val="center"/>
              <w:rPr>
                <w:sz w:val="18"/>
              </w:rPr>
            </w:pPr>
            <w:r>
              <w:rPr>
                <w:color w:val="FFFFFF"/>
                <w:spacing w:val="-4"/>
                <w:sz w:val="18"/>
              </w:rPr>
              <w:t>2024</w:t>
            </w:r>
          </w:p>
        </w:tc>
        <w:tc>
          <w:tcPr>
            <w:tcW w:w="686" w:type="dxa"/>
            <w:shd w:val="clear" w:color="auto" w:fill="808080"/>
          </w:tcPr>
          <w:p>
            <w:pPr>
              <w:pStyle w:val="TableParagraph"/>
              <w:spacing w:before="145"/>
              <w:ind w:left="19" w:right="5"/>
              <w:jc w:val="center"/>
              <w:rPr>
                <w:sz w:val="18"/>
              </w:rPr>
            </w:pPr>
            <w:r>
              <w:rPr>
                <w:color w:val="FFFFFF"/>
                <w:spacing w:val="-4"/>
                <w:sz w:val="18"/>
              </w:rPr>
              <w:t>2025</w:t>
            </w:r>
          </w:p>
        </w:tc>
        <w:tc>
          <w:tcPr>
            <w:tcW w:w="686" w:type="dxa"/>
            <w:shd w:val="clear" w:color="auto" w:fill="808080"/>
          </w:tcPr>
          <w:p>
            <w:pPr>
              <w:pStyle w:val="TableParagraph"/>
              <w:spacing w:before="145"/>
              <w:ind w:left="19" w:right="4"/>
              <w:jc w:val="center"/>
              <w:rPr>
                <w:sz w:val="18"/>
              </w:rPr>
            </w:pPr>
            <w:r>
              <w:rPr>
                <w:color w:val="FFFFFF"/>
                <w:spacing w:val="-4"/>
                <w:sz w:val="18"/>
              </w:rPr>
              <w:t>2026</w:t>
            </w:r>
          </w:p>
        </w:tc>
        <w:tc>
          <w:tcPr>
            <w:tcW w:w="688" w:type="dxa"/>
            <w:shd w:val="clear" w:color="auto" w:fill="808080"/>
          </w:tcPr>
          <w:p>
            <w:pPr>
              <w:pStyle w:val="TableParagraph"/>
              <w:spacing w:before="145"/>
              <w:ind w:left="14"/>
              <w:jc w:val="center"/>
              <w:rPr>
                <w:sz w:val="18"/>
              </w:rPr>
            </w:pPr>
            <w:r>
              <w:rPr>
                <w:color w:val="FFFFFF"/>
                <w:spacing w:val="-4"/>
                <w:sz w:val="18"/>
              </w:rPr>
              <w:t>2027</w:t>
            </w:r>
          </w:p>
        </w:tc>
        <w:tc>
          <w:tcPr>
            <w:tcW w:w="686" w:type="dxa"/>
            <w:shd w:val="clear" w:color="auto" w:fill="808080"/>
          </w:tcPr>
          <w:p>
            <w:pPr>
              <w:pStyle w:val="TableParagraph"/>
              <w:spacing w:before="145"/>
              <w:ind w:left="19" w:right="6"/>
              <w:jc w:val="center"/>
              <w:rPr>
                <w:sz w:val="18"/>
              </w:rPr>
            </w:pPr>
            <w:r>
              <w:rPr>
                <w:color w:val="FFFFFF"/>
                <w:spacing w:val="-4"/>
                <w:sz w:val="18"/>
              </w:rPr>
              <w:t>2028</w:t>
            </w:r>
          </w:p>
        </w:tc>
        <w:tc>
          <w:tcPr>
            <w:tcW w:w="687" w:type="dxa"/>
            <w:shd w:val="clear" w:color="auto" w:fill="808080"/>
          </w:tcPr>
          <w:p>
            <w:pPr>
              <w:pStyle w:val="TableParagraph"/>
              <w:spacing w:before="145"/>
              <w:ind w:left="18"/>
              <w:jc w:val="center"/>
              <w:rPr>
                <w:sz w:val="18"/>
              </w:rPr>
            </w:pPr>
            <w:r>
              <w:rPr>
                <w:color w:val="FFFFFF"/>
                <w:spacing w:val="-4"/>
                <w:sz w:val="18"/>
              </w:rPr>
              <w:t>2029</w:t>
            </w:r>
          </w:p>
        </w:tc>
        <w:tc>
          <w:tcPr>
            <w:tcW w:w="686" w:type="dxa"/>
            <w:shd w:val="clear" w:color="auto" w:fill="808080"/>
          </w:tcPr>
          <w:p>
            <w:pPr>
              <w:pStyle w:val="TableParagraph"/>
              <w:spacing w:before="145"/>
              <w:ind w:left="19"/>
              <w:jc w:val="center"/>
              <w:rPr>
                <w:sz w:val="18"/>
              </w:rPr>
            </w:pPr>
            <w:r>
              <w:rPr>
                <w:color w:val="FFFFFF"/>
                <w:spacing w:val="-4"/>
                <w:sz w:val="18"/>
              </w:rPr>
              <w:t>2030</w:t>
            </w:r>
          </w:p>
        </w:tc>
      </w:tr>
      <w:tr>
        <w:trPr>
          <w:trHeight w:val="433" w:hRule="atLeast"/>
        </w:trPr>
        <w:tc>
          <w:tcPr>
            <w:tcW w:w="972" w:type="dxa"/>
            <w:shd w:val="clear" w:color="auto" w:fill="44536A"/>
          </w:tcPr>
          <w:p>
            <w:pPr>
              <w:pStyle w:val="TableParagraph"/>
              <w:spacing w:before="116"/>
              <w:ind w:left="69"/>
              <w:rPr>
                <w:sz w:val="18"/>
              </w:rPr>
            </w:pPr>
            <w:r>
              <w:rPr>
                <w:color w:val="FFFFFF"/>
                <w:spacing w:val="-2"/>
                <w:sz w:val="18"/>
              </w:rPr>
              <w:t>Metas</w:t>
            </w:r>
          </w:p>
        </w:tc>
        <w:tc>
          <w:tcPr>
            <w:tcW w:w="751" w:type="dxa"/>
          </w:tcPr>
          <w:p>
            <w:pPr>
              <w:pStyle w:val="TableParagraph"/>
              <w:spacing w:before="17"/>
              <w:ind w:left="9"/>
              <w:jc w:val="center"/>
              <w:rPr>
                <w:sz w:val="16"/>
              </w:rPr>
            </w:pPr>
            <w:r>
              <w:rPr>
                <w:spacing w:val="-5"/>
                <w:sz w:val="16"/>
              </w:rPr>
              <w:t>No</w:t>
            </w:r>
          </w:p>
          <w:p>
            <w:pPr>
              <w:pStyle w:val="TableParagraph"/>
              <w:spacing w:line="178" w:lineRule="exact" w:before="35"/>
              <w:ind w:left="9"/>
              <w:jc w:val="center"/>
              <w:rPr>
                <w:sz w:val="16"/>
              </w:rPr>
            </w:pPr>
            <w:r>
              <w:rPr>
                <w:spacing w:val="-2"/>
                <w:w w:val="105"/>
                <w:sz w:val="16"/>
              </w:rPr>
              <w:t>definido</w:t>
            </w:r>
          </w:p>
        </w:tc>
        <w:tc>
          <w:tcPr>
            <w:tcW w:w="593" w:type="dxa"/>
          </w:tcPr>
          <w:p>
            <w:pPr>
              <w:pStyle w:val="TableParagraph"/>
              <w:spacing w:before="128"/>
              <w:ind w:left="12" w:right="5"/>
              <w:jc w:val="center"/>
              <w:rPr>
                <w:sz w:val="16"/>
              </w:rPr>
            </w:pPr>
            <w:r>
              <w:rPr>
                <w:spacing w:val="-2"/>
                <w:sz w:val="16"/>
              </w:rPr>
              <w:t>5.00%</w:t>
            </w:r>
          </w:p>
        </w:tc>
        <w:tc>
          <w:tcPr>
            <w:tcW w:w="686" w:type="dxa"/>
          </w:tcPr>
          <w:p>
            <w:pPr>
              <w:pStyle w:val="TableParagraph"/>
              <w:spacing w:before="128"/>
              <w:ind w:left="19" w:right="8"/>
              <w:jc w:val="center"/>
              <w:rPr>
                <w:sz w:val="16"/>
              </w:rPr>
            </w:pPr>
            <w:r>
              <w:rPr>
                <w:spacing w:val="-2"/>
                <w:sz w:val="16"/>
              </w:rPr>
              <w:t>10.00%</w:t>
            </w:r>
          </w:p>
        </w:tc>
        <w:tc>
          <w:tcPr>
            <w:tcW w:w="688" w:type="dxa"/>
          </w:tcPr>
          <w:p>
            <w:pPr>
              <w:pStyle w:val="TableParagraph"/>
              <w:spacing w:before="128"/>
              <w:ind w:left="14" w:right="5"/>
              <w:jc w:val="center"/>
              <w:rPr>
                <w:sz w:val="16"/>
              </w:rPr>
            </w:pPr>
            <w:r>
              <w:rPr>
                <w:spacing w:val="-2"/>
                <w:sz w:val="16"/>
              </w:rPr>
              <w:t>15.00%</w:t>
            </w:r>
          </w:p>
        </w:tc>
        <w:tc>
          <w:tcPr>
            <w:tcW w:w="686" w:type="dxa"/>
          </w:tcPr>
          <w:p>
            <w:pPr>
              <w:pStyle w:val="TableParagraph"/>
              <w:spacing w:before="128"/>
              <w:ind w:left="19" w:right="11"/>
              <w:jc w:val="center"/>
              <w:rPr>
                <w:sz w:val="16"/>
              </w:rPr>
            </w:pPr>
            <w:r>
              <w:rPr>
                <w:spacing w:val="-2"/>
                <w:sz w:val="16"/>
              </w:rPr>
              <w:t>18.00%</w:t>
            </w:r>
          </w:p>
        </w:tc>
        <w:tc>
          <w:tcPr>
            <w:tcW w:w="686" w:type="dxa"/>
          </w:tcPr>
          <w:p>
            <w:pPr>
              <w:pStyle w:val="TableParagraph"/>
              <w:spacing w:before="128"/>
              <w:ind w:left="19" w:right="5"/>
              <w:jc w:val="center"/>
              <w:rPr>
                <w:sz w:val="16"/>
              </w:rPr>
            </w:pPr>
            <w:r>
              <w:rPr>
                <w:spacing w:val="-2"/>
                <w:sz w:val="16"/>
              </w:rPr>
              <w:t>25.00%</w:t>
            </w:r>
          </w:p>
        </w:tc>
        <w:tc>
          <w:tcPr>
            <w:tcW w:w="686" w:type="dxa"/>
          </w:tcPr>
          <w:p>
            <w:pPr>
              <w:pStyle w:val="TableParagraph"/>
              <w:spacing w:before="128"/>
              <w:ind w:left="19" w:right="4"/>
              <w:jc w:val="center"/>
              <w:rPr>
                <w:sz w:val="16"/>
              </w:rPr>
            </w:pPr>
            <w:r>
              <w:rPr>
                <w:spacing w:val="-2"/>
                <w:sz w:val="16"/>
              </w:rPr>
              <w:t>32.00%</w:t>
            </w:r>
          </w:p>
        </w:tc>
        <w:tc>
          <w:tcPr>
            <w:tcW w:w="688" w:type="dxa"/>
          </w:tcPr>
          <w:p>
            <w:pPr>
              <w:pStyle w:val="TableParagraph"/>
              <w:spacing w:before="128"/>
              <w:ind w:left="14"/>
              <w:jc w:val="center"/>
              <w:rPr>
                <w:sz w:val="16"/>
              </w:rPr>
            </w:pPr>
            <w:r>
              <w:rPr>
                <w:spacing w:val="-2"/>
                <w:sz w:val="16"/>
              </w:rPr>
              <w:t>36.00%</w:t>
            </w:r>
          </w:p>
        </w:tc>
        <w:tc>
          <w:tcPr>
            <w:tcW w:w="686" w:type="dxa"/>
          </w:tcPr>
          <w:p>
            <w:pPr>
              <w:pStyle w:val="TableParagraph"/>
              <w:spacing w:before="128"/>
              <w:ind w:left="19" w:right="6"/>
              <w:jc w:val="center"/>
              <w:rPr>
                <w:sz w:val="16"/>
              </w:rPr>
            </w:pPr>
            <w:r>
              <w:rPr>
                <w:spacing w:val="-2"/>
                <w:sz w:val="16"/>
              </w:rPr>
              <w:t>40.00%</w:t>
            </w:r>
          </w:p>
        </w:tc>
        <w:tc>
          <w:tcPr>
            <w:tcW w:w="687" w:type="dxa"/>
          </w:tcPr>
          <w:p>
            <w:pPr>
              <w:pStyle w:val="TableParagraph"/>
              <w:spacing w:before="128"/>
              <w:ind w:left="18"/>
              <w:jc w:val="center"/>
              <w:rPr>
                <w:sz w:val="16"/>
              </w:rPr>
            </w:pPr>
            <w:r>
              <w:rPr>
                <w:spacing w:val="-2"/>
                <w:sz w:val="16"/>
              </w:rPr>
              <w:t>45.00%</w:t>
            </w:r>
          </w:p>
        </w:tc>
        <w:tc>
          <w:tcPr>
            <w:tcW w:w="686" w:type="dxa"/>
          </w:tcPr>
          <w:p>
            <w:pPr>
              <w:pStyle w:val="TableParagraph"/>
              <w:spacing w:before="128"/>
              <w:ind w:left="19"/>
              <w:jc w:val="center"/>
              <w:rPr>
                <w:sz w:val="16"/>
              </w:rPr>
            </w:pPr>
            <w:r>
              <w:rPr>
                <w:spacing w:val="-2"/>
                <w:sz w:val="16"/>
              </w:rPr>
              <w:t>50.00%</w:t>
            </w:r>
          </w:p>
        </w:tc>
      </w:tr>
      <w:tr>
        <w:trPr>
          <w:trHeight w:val="570" w:hRule="atLeast"/>
        </w:trPr>
        <w:tc>
          <w:tcPr>
            <w:tcW w:w="972"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751" w:type="dxa"/>
            <w:shd w:val="clear" w:color="auto" w:fill="C8C8C8"/>
          </w:tcPr>
          <w:p>
            <w:pPr>
              <w:pStyle w:val="TableParagraph"/>
              <w:rPr>
                <w:rFonts w:ascii="Times New Roman"/>
                <w:sz w:val="20"/>
              </w:rPr>
            </w:pPr>
          </w:p>
        </w:tc>
        <w:tc>
          <w:tcPr>
            <w:tcW w:w="593" w:type="dxa"/>
          </w:tcPr>
          <w:p>
            <w:pPr>
              <w:pStyle w:val="TableParagraph"/>
              <w:spacing w:before="13"/>
              <w:rPr>
                <w:sz w:val="16"/>
              </w:rPr>
            </w:pPr>
          </w:p>
          <w:p>
            <w:pPr>
              <w:pStyle w:val="TableParagraph"/>
              <w:ind w:left="12" w:right="5"/>
              <w:jc w:val="center"/>
              <w:rPr>
                <w:sz w:val="16"/>
              </w:rPr>
            </w:pPr>
            <w:r>
              <w:rPr>
                <w:spacing w:val="-2"/>
                <w:sz w:val="16"/>
              </w:rPr>
              <w:t>0.00%</w:t>
            </w:r>
          </w:p>
        </w:tc>
        <w:tc>
          <w:tcPr>
            <w:tcW w:w="686" w:type="dxa"/>
          </w:tcPr>
          <w:p>
            <w:pPr>
              <w:pStyle w:val="TableParagraph"/>
              <w:spacing w:before="13"/>
              <w:rPr>
                <w:sz w:val="16"/>
              </w:rPr>
            </w:pPr>
          </w:p>
          <w:p>
            <w:pPr>
              <w:pStyle w:val="TableParagraph"/>
              <w:ind w:left="19" w:right="8"/>
              <w:jc w:val="center"/>
              <w:rPr>
                <w:sz w:val="16"/>
              </w:rPr>
            </w:pPr>
            <w:r>
              <w:rPr>
                <w:spacing w:val="-2"/>
                <w:sz w:val="16"/>
              </w:rPr>
              <w:t>0.00%</w:t>
            </w:r>
          </w:p>
        </w:tc>
        <w:tc>
          <w:tcPr>
            <w:tcW w:w="688" w:type="dxa"/>
          </w:tcPr>
          <w:p>
            <w:pPr>
              <w:pStyle w:val="TableParagraph"/>
              <w:spacing w:before="13"/>
              <w:rPr>
                <w:sz w:val="16"/>
              </w:rPr>
            </w:pPr>
          </w:p>
          <w:p>
            <w:pPr>
              <w:pStyle w:val="TableParagraph"/>
              <w:ind w:left="14" w:right="5"/>
              <w:jc w:val="center"/>
              <w:rPr>
                <w:sz w:val="16"/>
              </w:rPr>
            </w:pPr>
            <w:r>
              <w:rPr>
                <w:spacing w:val="-2"/>
                <w:sz w:val="16"/>
              </w:rPr>
              <w:t>12.34%</w:t>
            </w: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8"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7"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r>
      <w:tr>
        <w:trPr>
          <w:trHeight w:val="570" w:hRule="atLeast"/>
        </w:trPr>
        <w:tc>
          <w:tcPr>
            <w:tcW w:w="972" w:type="dxa"/>
            <w:shd w:val="clear" w:color="auto" w:fill="44536A"/>
          </w:tcPr>
          <w:p>
            <w:pPr>
              <w:pStyle w:val="TableParagraph"/>
              <w:spacing w:line="240" w:lineRule="atLeast" w:before="30"/>
              <w:ind w:left="69" w:right="235"/>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51" w:type="dxa"/>
            <w:shd w:val="clear" w:color="auto" w:fill="C8C8C8"/>
          </w:tcPr>
          <w:p>
            <w:pPr>
              <w:pStyle w:val="TableParagraph"/>
              <w:rPr>
                <w:rFonts w:ascii="Times New Roman"/>
                <w:sz w:val="20"/>
              </w:rPr>
            </w:pPr>
          </w:p>
        </w:tc>
        <w:tc>
          <w:tcPr>
            <w:tcW w:w="593" w:type="dxa"/>
          </w:tcPr>
          <w:p>
            <w:pPr>
              <w:pStyle w:val="TableParagraph"/>
              <w:spacing w:before="11"/>
              <w:rPr>
                <w:sz w:val="16"/>
              </w:rPr>
            </w:pPr>
          </w:p>
          <w:p>
            <w:pPr>
              <w:pStyle w:val="TableParagraph"/>
              <w:ind w:left="12" w:right="5"/>
              <w:jc w:val="center"/>
              <w:rPr>
                <w:sz w:val="16"/>
              </w:rPr>
            </w:pPr>
            <w:r>
              <w:rPr>
                <w:spacing w:val="-2"/>
                <w:sz w:val="16"/>
              </w:rPr>
              <w:t>0.00%</w:t>
            </w:r>
          </w:p>
        </w:tc>
        <w:tc>
          <w:tcPr>
            <w:tcW w:w="686" w:type="dxa"/>
          </w:tcPr>
          <w:p>
            <w:pPr>
              <w:pStyle w:val="TableParagraph"/>
              <w:spacing w:before="11"/>
              <w:rPr>
                <w:sz w:val="16"/>
              </w:rPr>
            </w:pPr>
          </w:p>
          <w:p>
            <w:pPr>
              <w:pStyle w:val="TableParagraph"/>
              <w:ind w:left="19" w:right="8"/>
              <w:jc w:val="center"/>
              <w:rPr>
                <w:sz w:val="16"/>
              </w:rPr>
            </w:pPr>
            <w:r>
              <w:rPr>
                <w:spacing w:val="-2"/>
                <w:sz w:val="16"/>
              </w:rPr>
              <w:t>0.00%</w:t>
            </w:r>
          </w:p>
        </w:tc>
        <w:tc>
          <w:tcPr>
            <w:tcW w:w="688" w:type="dxa"/>
          </w:tcPr>
          <w:p>
            <w:pPr>
              <w:pStyle w:val="TableParagraph"/>
              <w:spacing w:before="11"/>
              <w:rPr>
                <w:sz w:val="16"/>
              </w:rPr>
            </w:pPr>
          </w:p>
          <w:p>
            <w:pPr>
              <w:pStyle w:val="TableParagraph"/>
              <w:ind w:left="14" w:right="5"/>
              <w:jc w:val="center"/>
              <w:rPr>
                <w:sz w:val="16"/>
              </w:rPr>
            </w:pPr>
            <w:r>
              <w:rPr>
                <w:spacing w:val="-2"/>
                <w:sz w:val="16"/>
              </w:rPr>
              <w:t>82.27%</w:t>
            </w: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8"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7"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r>
    </w:tbl>
    <w:p>
      <w:pPr>
        <w:pStyle w:val="BodyText"/>
        <w:spacing w:before="38"/>
        <w:rPr>
          <w:sz w:val="22"/>
        </w:rPr>
      </w:pPr>
    </w:p>
    <w:p>
      <w:pPr>
        <w:spacing w:line="307" w:lineRule="auto" w:before="0"/>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153"/>
        <w:rPr>
          <w:sz w:val="18"/>
        </w:rPr>
      </w:pPr>
    </w:p>
    <w:p>
      <w:pPr>
        <w:pStyle w:val="BodyText"/>
        <w:spacing w:line="307" w:lineRule="auto"/>
        <w:ind w:left="143" w:right="704"/>
        <w:jc w:val="both"/>
      </w:pPr>
      <w:r>
        <w:rPr>
          <w:u w:val="single"/>
        </w:rPr>
        <w:t>Análisis de calidad: </w:t>
      </w:r>
      <w:r>
        <w:rPr/>
        <w:t>En el año 2023, el 8.2 % de entidades públicas priorizadas que reciben asistencia técnica lograron incorporar el enfoque de género en la producción de bienes y servicios alcanzando un nivel de cumplimiento bajo (54.9%)</w:t>
      </w:r>
      <w:r>
        <w:rPr>
          <w:spacing w:val="-3"/>
        </w:rPr>
        <w:t> </w:t>
      </w:r>
      <w:r>
        <w:rPr/>
        <w:t>respecto</w:t>
      </w:r>
      <w:r>
        <w:rPr>
          <w:spacing w:val="-2"/>
        </w:rPr>
        <w:t> </w:t>
      </w:r>
      <w:r>
        <w:rPr/>
        <w:t>a</w:t>
      </w:r>
      <w:r>
        <w:rPr>
          <w:spacing w:val="-3"/>
        </w:rPr>
        <w:t> </w:t>
      </w:r>
      <w:r>
        <w:rPr/>
        <w:t>la</w:t>
      </w:r>
      <w:r>
        <w:rPr>
          <w:spacing w:val="-6"/>
        </w:rPr>
        <w:t> </w:t>
      </w:r>
      <w:r>
        <w:rPr/>
        <w:t>meta</w:t>
      </w:r>
      <w:r>
        <w:rPr>
          <w:spacing w:val="-3"/>
        </w:rPr>
        <w:t> </w:t>
      </w:r>
      <w:r>
        <w:rPr/>
        <w:t>esperada:</w:t>
      </w:r>
      <w:r>
        <w:rPr>
          <w:spacing w:val="-5"/>
        </w:rPr>
        <w:t> </w:t>
      </w:r>
      <w:r>
        <w:rPr/>
        <w:t>15.0%.</w:t>
      </w:r>
      <w:r>
        <w:rPr>
          <w:spacing w:val="-3"/>
        </w:rPr>
        <w:t> </w:t>
      </w:r>
      <w:r>
        <w:rPr/>
        <w:t>Cabe</w:t>
      </w:r>
      <w:r>
        <w:rPr>
          <w:spacing w:val="-2"/>
        </w:rPr>
        <w:t> </w:t>
      </w:r>
      <w:r>
        <w:rPr/>
        <w:t>precisar</w:t>
      </w:r>
      <w:r>
        <w:rPr>
          <w:spacing w:val="-5"/>
        </w:rPr>
        <w:t> </w:t>
      </w:r>
      <w:r>
        <w:rPr/>
        <w:t>que</w:t>
      </w:r>
      <w:r>
        <w:rPr>
          <w:spacing w:val="-3"/>
        </w:rPr>
        <w:t> </w:t>
      </w:r>
      <w:r>
        <w:rPr/>
        <w:t>en</w:t>
      </w:r>
      <w:r>
        <w:rPr>
          <w:spacing w:val="-5"/>
        </w:rPr>
        <w:t> </w:t>
      </w:r>
      <w:r>
        <w:rPr/>
        <w:t>el</w:t>
      </w:r>
      <w:r>
        <w:rPr>
          <w:spacing w:val="-2"/>
        </w:rPr>
        <w:t> </w:t>
      </w:r>
      <w:r>
        <w:rPr/>
        <w:t>año</w:t>
      </w:r>
      <w:r>
        <w:rPr>
          <w:spacing w:val="-2"/>
        </w:rPr>
        <w:t> </w:t>
      </w:r>
      <w:r>
        <w:rPr/>
        <w:t>2022 y 2021 se obtuvo un 0.0% y 19.0% de avance, respectivamente; registrando un nivel de cumplimiento bajo.</w:t>
      </w:r>
    </w:p>
    <w:p>
      <w:pPr>
        <w:pStyle w:val="BodyText"/>
        <w:spacing w:after="0" w:line="307" w:lineRule="auto"/>
        <w:jc w:val="both"/>
        <w:sectPr>
          <w:pgSz w:w="11910" w:h="16840"/>
          <w:pgMar w:header="713" w:footer="1000" w:top="1420" w:bottom="1200" w:left="1559" w:right="992"/>
        </w:sectPr>
      </w:pPr>
    </w:p>
    <w:p>
      <w:pPr>
        <w:pStyle w:val="BodyText"/>
        <w:spacing w:before="218"/>
        <w:rPr>
          <w:sz w:val="22"/>
        </w:rPr>
      </w:pPr>
    </w:p>
    <w:p>
      <w:pPr>
        <w:spacing w:before="0"/>
        <w:ind w:left="0" w:right="562" w:firstLine="0"/>
        <w:jc w:val="center"/>
        <w:rPr>
          <w:sz w:val="22"/>
        </w:rPr>
      </w:pPr>
      <w:r>
        <w:rPr>
          <w:color w:val="44536A"/>
          <w:sz w:val="22"/>
        </w:rPr>
        <w:t>Tabla</w:t>
      </w:r>
      <w:r>
        <w:rPr>
          <w:color w:val="44536A"/>
          <w:spacing w:val="-7"/>
          <w:sz w:val="22"/>
        </w:rPr>
        <w:t> </w:t>
      </w:r>
      <w:r>
        <w:rPr>
          <w:color w:val="44536A"/>
          <w:sz w:val="22"/>
        </w:rPr>
        <w:t>21.</w:t>
      </w:r>
      <w:r>
        <w:rPr>
          <w:color w:val="44536A"/>
          <w:spacing w:val="-8"/>
          <w:sz w:val="22"/>
        </w:rPr>
        <w:t> </w:t>
      </w:r>
      <w:r>
        <w:rPr>
          <w:color w:val="44536A"/>
          <w:sz w:val="22"/>
        </w:rPr>
        <w:t>Análisis</w:t>
      </w:r>
      <w:r>
        <w:rPr>
          <w:color w:val="44536A"/>
          <w:spacing w:val="-9"/>
          <w:sz w:val="22"/>
        </w:rPr>
        <w:t> </w:t>
      </w:r>
      <w:r>
        <w:rPr>
          <w:color w:val="44536A"/>
          <w:sz w:val="22"/>
        </w:rPr>
        <w:t>del</w:t>
      </w:r>
      <w:r>
        <w:rPr>
          <w:color w:val="44536A"/>
          <w:spacing w:val="-8"/>
          <w:sz w:val="22"/>
        </w:rPr>
        <w:t> </w:t>
      </w:r>
      <w:r>
        <w:rPr>
          <w:color w:val="44536A"/>
          <w:sz w:val="22"/>
        </w:rPr>
        <w:t>indicador</w:t>
      </w:r>
      <w:r>
        <w:rPr>
          <w:color w:val="44536A"/>
          <w:spacing w:val="-9"/>
          <w:sz w:val="22"/>
        </w:rPr>
        <w:t> </w:t>
      </w:r>
      <w:r>
        <w:rPr>
          <w:color w:val="44536A"/>
          <w:sz w:val="22"/>
        </w:rPr>
        <w:t>de</w:t>
      </w:r>
      <w:r>
        <w:rPr>
          <w:color w:val="44536A"/>
          <w:spacing w:val="-6"/>
          <w:sz w:val="22"/>
        </w:rPr>
        <w:t> </w:t>
      </w:r>
      <w:r>
        <w:rPr>
          <w:color w:val="44536A"/>
          <w:sz w:val="22"/>
        </w:rPr>
        <w:t>calidad</w:t>
      </w:r>
      <w:r>
        <w:rPr>
          <w:color w:val="44536A"/>
          <w:spacing w:val="-7"/>
          <w:sz w:val="22"/>
        </w:rPr>
        <w:t> </w:t>
      </w:r>
      <w:r>
        <w:rPr>
          <w:color w:val="44536A"/>
          <w:sz w:val="22"/>
        </w:rPr>
        <w:t>del</w:t>
      </w:r>
      <w:r>
        <w:rPr>
          <w:color w:val="44536A"/>
          <w:spacing w:val="-8"/>
          <w:sz w:val="22"/>
        </w:rPr>
        <w:t> </w:t>
      </w:r>
      <w:r>
        <w:rPr>
          <w:color w:val="44536A"/>
          <w:sz w:val="22"/>
        </w:rPr>
        <w:t>servicio</w:t>
      </w:r>
      <w:r>
        <w:rPr>
          <w:color w:val="44536A"/>
          <w:spacing w:val="-9"/>
          <w:sz w:val="22"/>
        </w:rPr>
        <w:t> </w:t>
      </w:r>
      <w:r>
        <w:rPr>
          <w:color w:val="44536A"/>
          <w:spacing w:val="-2"/>
          <w:sz w:val="22"/>
        </w:rPr>
        <w:t>05.01.01</w:t>
      </w:r>
    </w:p>
    <w:p>
      <w:pPr>
        <w:pStyle w:val="BodyText"/>
        <w:spacing w:before="1"/>
        <w:rPr>
          <w:sz w:val="19"/>
        </w:rPr>
      </w:pPr>
    </w:p>
    <w:tbl>
      <w:tblPr>
        <w:tblW w:w="0" w:type="auto"/>
        <w:jc w:val="left"/>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72"/>
        <w:gridCol w:w="751"/>
        <w:gridCol w:w="593"/>
        <w:gridCol w:w="686"/>
        <w:gridCol w:w="688"/>
        <w:gridCol w:w="686"/>
        <w:gridCol w:w="686"/>
        <w:gridCol w:w="686"/>
        <w:gridCol w:w="688"/>
        <w:gridCol w:w="686"/>
        <w:gridCol w:w="687"/>
        <w:gridCol w:w="686"/>
      </w:tblGrid>
      <w:tr>
        <w:trPr>
          <w:trHeight w:val="489" w:hRule="atLeast"/>
        </w:trPr>
        <w:tc>
          <w:tcPr>
            <w:tcW w:w="972" w:type="dxa"/>
            <w:shd w:val="clear" w:color="auto" w:fill="44536A"/>
          </w:tcPr>
          <w:p>
            <w:pPr>
              <w:pStyle w:val="TableParagraph"/>
              <w:spacing w:before="154"/>
              <w:ind w:left="7"/>
              <w:jc w:val="center"/>
              <w:rPr>
                <w:sz w:val="16"/>
              </w:rPr>
            </w:pPr>
            <w:r>
              <w:rPr>
                <w:color w:val="FFFFFF"/>
                <w:spacing w:val="-5"/>
                <w:sz w:val="16"/>
              </w:rPr>
              <w:t>OP</w:t>
            </w:r>
          </w:p>
        </w:tc>
        <w:tc>
          <w:tcPr>
            <w:tcW w:w="7523" w:type="dxa"/>
            <w:gridSpan w:val="11"/>
          </w:tcPr>
          <w:p>
            <w:pPr>
              <w:pStyle w:val="TableParagraph"/>
              <w:spacing w:before="23"/>
              <w:ind w:left="69"/>
              <w:rPr>
                <w:sz w:val="18"/>
              </w:rPr>
            </w:pPr>
            <w:r>
              <w:rPr>
                <w:sz w:val="18"/>
              </w:rPr>
              <w:t>OP.05</w:t>
            </w:r>
            <w:r>
              <w:rPr>
                <w:spacing w:val="-3"/>
                <w:sz w:val="18"/>
              </w:rPr>
              <w:t> </w:t>
            </w:r>
            <w:r>
              <w:rPr>
                <w:sz w:val="18"/>
              </w:rPr>
              <w:t>Reducir</w:t>
            </w:r>
            <w:r>
              <w:rPr>
                <w:spacing w:val="-4"/>
                <w:sz w:val="18"/>
              </w:rPr>
              <w:t> </w:t>
            </w:r>
            <w:r>
              <w:rPr>
                <w:sz w:val="18"/>
              </w:rPr>
              <w:t>las</w:t>
            </w:r>
            <w:r>
              <w:rPr>
                <w:spacing w:val="-6"/>
                <w:sz w:val="18"/>
              </w:rPr>
              <w:t> </w:t>
            </w:r>
            <w:r>
              <w:rPr>
                <w:sz w:val="18"/>
              </w:rPr>
              <w:t>barreras</w:t>
            </w:r>
            <w:r>
              <w:rPr>
                <w:spacing w:val="-6"/>
                <w:sz w:val="18"/>
              </w:rPr>
              <w:t> </w:t>
            </w:r>
            <w:r>
              <w:rPr>
                <w:sz w:val="18"/>
              </w:rPr>
              <w:t>institucionales</w:t>
            </w:r>
            <w:r>
              <w:rPr>
                <w:spacing w:val="-4"/>
                <w:sz w:val="18"/>
              </w:rPr>
              <w:t> </w:t>
            </w:r>
            <w:r>
              <w:rPr>
                <w:sz w:val="18"/>
              </w:rPr>
              <w:t>que</w:t>
            </w:r>
            <w:r>
              <w:rPr>
                <w:spacing w:val="-4"/>
                <w:sz w:val="18"/>
              </w:rPr>
              <w:t> </w:t>
            </w:r>
            <w:r>
              <w:rPr>
                <w:sz w:val="18"/>
              </w:rPr>
              <w:t>obstaculizan</w:t>
            </w:r>
            <w:r>
              <w:rPr>
                <w:spacing w:val="-7"/>
                <w:sz w:val="18"/>
              </w:rPr>
              <w:t> </w:t>
            </w:r>
            <w:r>
              <w:rPr>
                <w:sz w:val="18"/>
              </w:rPr>
              <w:t>la</w:t>
            </w:r>
            <w:r>
              <w:rPr>
                <w:spacing w:val="-3"/>
                <w:sz w:val="18"/>
              </w:rPr>
              <w:t> </w:t>
            </w:r>
            <w:r>
              <w:rPr>
                <w:sz w:val="18"/>
              </w:rPr>
              <w:t>igualdad</w:t>
            </w:r>
            <w:r>
              <w:rPr>
                <w:spacing w:val="-2"/>
                <w:sz w:val="18"/>
              </w:rPr>
              <w:t> </w:t>
            </w:r>
            <w:r>
              <w:rPr>
                <w:sz w:val="18"/>
              </w:rPr>
              <w:t>en</w:t>
            </w:r>
            <w:r>
              <w:rPr>
                <w:spacing w:val="-5"/>
                <w:sz w:val="18"/>
              </w:rPr>
              <w:t> </w:t>
            </w:r>
            <w:r>
              <w:rPr>
                <w:sz w:val="18"/>
              </w:rPr>
              <w:t>los</w:t>
            </w:r>
            <w:r>
              <w:rPr>
                <w:spacing w:val="-6"/>
                <w:sz w:val="18"/>
              </w:rPr>
              <w:t> </w:t>
            </w:r>
            <w:r>
              <w:rPr>
                <w:spacing w:val="-2"/>
                <w:sz w:val="18"/>
              </w:rPr>
              <w:t>ámbitos</w:t>
            </w:r>
          </w:p>
          <w:p>
            <w:pPr>
              <w:pStyle w:val="TableParagraph"/>
              <w:spacing w:line="201" w:lineRule="exact" w:before="37"/>
              <w:ind w:left="69"/>
              <w:rPr>
                <w:sz w:val="18"/>
              </w:rPr>
            </w:pPr>
            <w:r>
              <w:rPr>
                <w:sz w:val="18"/>
              </w:rPr>
              <w:t>público</w:t>
            </w:r>
            <w:r>
              <w:rPr>
                <w:spacing w:val="6"/>
                <w:sz w:val="18"/>
              </w:rPr>
              <w:t> </w:t>
            </w:r>
            <w:r>
              <w:rPr>
                <w:sz w:val="18"/>
              </w:rPr>
              <w:t>y</w:t>
            </w:r>
            <w:r>
              <w:rPr>
                <w:spacing w:val="3"/>
                <w:sz w:val="18"/>
              </w:rPr>
              <w:t> </w:t>
            </w:r>
            <w:r>
              <w:rPr>
                <w:sz w:val="18"/>
              </w:rPr>
              <w:t>privado</w:t>
            </w:r>
            <w:r>
              <w:rPr>
                <w:spacing w:val="5"/>
                <w:sz w:val="18"/>
              </w:rPr>
              <w:t> </w:t>
            </w:r>
            <w:r>
              <w:rPr>
                <w:sz w:val="18"/>
              </w:rPr>
              <w:t>entre</w:t>
            </w:r>
            <w:r>
              <w:rPr>
                <w:spacing w:val="6"/>
                <w:sz w:val="18"/>
              </w:rPr>
              <w:t> </w:t>
            </w:r>
            <w:r>
              <w:rPr>
                <w:sz w:val="18"/>
              </w:rPr>
              <w:t>hombres</w:t>
            </w:r>
            <w:r>
              <w:rPr>
                <w:spacing w:val="7"/>
                <w:sz w:val="18"/>
              </w:rPr>
              <w:t> </w:t>
            </w:r>
            <w:r>
              <w:rPr>
                <w:sz w:val="18"/>
              </w:rPr>
              <w:t>y</w:t>
            </w:r>
            <w:r>
              <w:rPr>
                <w:spacing w:val="6"/>
                <w:sz w:val="18"/>
              </w:rPr>
              <w:t> </w:t>
            </w:r>
            <w:r>
              <w:rPr>
                <w:spacing w:val="-2"/>
                <w:sz w:val="18"/>
              </w:rPr>
              <w:t>mujeres.</w:t>
            </w:r>
          </w:p>
        </w:tc>
      </w:tr>
      <w:tr>
        <w:trPr>
          <w:trHeight w:val="491" w:hRule="atLeast"/>
        </w:trPr>
        <w:tc>
          <w:tcPr>
            <w:tcW w:w="972" w:type="dxa"/>
            <w:shd w:val="clear" w:color="auto" w:fill="44536A"/>
          </w:tcPr>
          <w:p>
            <w:pPr>
              <w:pStyle w:val="TableParagraph"/>
              <w:spacing w:before="145"/>
              <w:ind w:left="172"/>
              <w:rPr>
                <w:sz w:val="18"/>
              </w:rPr>
            </w:pPr>
            <w:r>
              <w:rPr>
                <w:color w:val="FFFFFF"/>
                <w:spacing w:val="-2"/>
                <w:sz w:val="18"/>
              </w:rPr>
              <w:t>Servicio</w:t>
            </w:r>
          </w:p>
        </w:tc>
        <w:tc>
          <w:tcPr>
            <w:tcW w:w="7523" w:type="dxa"/>
            <w:gridSpan w:val="11"/>
          </w:tcPr>
          <w:p>
            <w:pPr>
              <w:pStyle w:val="TableParagraph"/>
              <w:spacing w:before="23"/>
              <w:ind w:left="69"/>
              <w:rPr>
                <w:sz w:val="18"/>
              </w:rPr>
            </w:pPr>
            <w:r>
              <w:rPr>
                <w:sz w:val="18"/>
              </w:rPr>
              <w:t>Asistencia</w:t>
            </w:r>
            <w:r>
              <w:rPr>
                <w:spacing w:val="1"/>
                <w:sz w:val="18"/>
              </w:rPr>
              <w:t> </w:t>
            </w:r>
            <w:r>
              <w:rPr>
                <w:sz w:val="18"/>
              </w:rPr>
              <w:t>técnica</w:t>
            </w:r>
            <w:r>
              <w:rPr>
                <w:spacing w:val="-1"/>
                <w:sz w:val="18"/>
              </w:rPr>
              <w:t> </w:t>
            </w:r>
            <w:r>
              <w:rPr>
                <w:sz w:val="18"/>
              </w:rPr>
              <w:t>para</w:t>
            </w:r>
            <w:r>
              <w:rPr>
                <w:spacing w:val="1"/>
                <w:sz w:val="18"/>
              </w:rPr>
              <w:t> </w:t>
            </w:r>
            <w:r>
              <w:rPr>
                <w:sz w:val="18"/>
              </w:rPr>
              <w:t>transversalizar</w:t>
            </w:r>
            <w:r>
              <w:rPr>
                <w:spacing w:val="1"/>
                <w:sz w:val="18"/>
              </w:rPr>
              <w:t> </w:t>
            </w:r>
            <w:r>
              <w:rPr>
                <w:sz w:val="18"/>
              </w:rPr>
              <w:t>el enfoque de</w:t>
            </w:r>
            <w:r>
              <w:rPr>
                <w:spacing w:val="-2"/>
                <w:sz w:val="18"/>
              </w:rPr>
              <w:t> </w:t>
            </w:r>
            <w:r>
              <w:rPr>
                <w:sz w:val="18"/>
              </w:rPr>
              <w:t>género</w:t>
            </w:r>
            <w:r>
              <w:rPr>
                <w:spacing w:val="1"/>
                <w:sz w:val="18"/>
              </w:rPr>
              <w:t> </w:t>
            </w:r>
            <w:r>
              <w:rPr>
                <w:sz w:val="18"/>
              </w:rPr>
              <w:t>en</w:t>
            </w:r>
            <w:r>
              <w:rPr>
                <w:spacing w:val="-1"/>
                <w:sz w:val="18"/>
              </w:rPr>
              <w:t> </w:t>
            </w:r>
            <w:r>
              <w:rPr>
                <w:sz w:val="18"/>
              </w:rPr>
              <w:t>la</w:t>
            </w:r>
            <w:r>
              <w:rPr>
                <w:spacing w:val="-1"/>
                <w:sz w:val="18"/>
              </w:rPr>
              <w:t> </w:t>
            </w:r>
            <w:r>
              <w:rPr>
                <w:sz w:val="18"/>
              </w:rPr>
              <w:t>producción de</w:t>
            </w:r>
            <w:r>
              <w:rPr>
                <w:spacing w:val="-2"/>
                <w:sz w:val="18"/>
              </w:rPr>
              <w:t> </w:t>
            </w:r>
            <w:r>
              <w:rPr>
                <w:sz w:val="18"/>
              </w:rPr>
              <w:t>bienes</w:t>
            </w:r>
            <w:r>
              <w:rPr>
                <w:spacing w:val="-2"/>
                <w:sz w:val="18"/>
              </w:rPr>
              <w:t> </w:t>
            </w:r>
            <w:r>
              <w:rPr>
                <w:spacing w:val="-10"/>
                <w:sz w:val="18"/>
              </w:rPr>
              <w:t>y</w:t>
            </w:r>
          </w:p>
          <w:p>
            <w:pPr>
              <w:pStyle w:val="TableParagraph"/>
              <w:spacing w:line="204" w:lineRule="exact" w:before="37"/>
              <w:ind w:left="69"/>
              <w:rPr>
                <w:sz w:val="18"/>
              </w:rPr>
            </w:pPr>
            <w:r>
              <w:rPr>
                <w:sz w:val="18"/>
              </w:rPr>
              <w:t>servicios,</w:t>
            </w:r>
            <w:r>
              <w:rPr>
                <w:spacing w:val="-4"/>
                <w:sz w:val="18"/>
              </w:rPr>
              <w:t> </w:t>
            </w:r>
            <w:r>
              <w:rPr>
                <w:sz w:val="18"/>
              </w:rPr>
              <w:t>entregados</w:t>
            </w:r>
            <w:r>
              <w:rPr>
                <w:spacing w:val="-3"/>
                <w:sz w:val="18"/>
              </w:rPr>
              <w:t> </w:t>
            </w:r>
            <w:r>
              <w:rPr>
                <w:sz w:val="18"/>
              </w:rPr>
              <w:t>a</w:t>
            </w:r>
            <w:r>
              <w:rPr>
                <w:spacing w:val="-3"/>
                <w:sz w:val="18"/>
              </w:rPr>
              <w:t> </w:t>
            </w:r>
            <w:r>
              <w:rPr>
                <w:sz w:val="18"/>
              </w:rPr>
              <w:t>la</w:t>
            </w:r>
            <w:r>
              <w:rPr>
                <w:spacing w:val="-5"/>
                <w:sz w:val="18"/>
              </w:rPr>
              <w:t> </w:t>
            </w:r>
            <w:r>
              <w:rPr>
                <w:sz w:val="18"/>
              </w:rPr>
              <w:t>ciudadanía</w:t>
            </w:r>
            <w:r>
              <w:rPr>
                <w:spacing w:val="-5"/>
                <w:sz w:val="18"/>
              </w:rPr>
              <w:t> </w:t>
            </w:r>
            <w:r>
              <w:rPr>
                <w:sz w:val="18"/>
              </w:rPr>
              <w:t>por</w:t>
            </w:r>
            <w:r>
              <w:rPr>
                <w:spacing w:val="-4"/>
                <w:sz w:val="18"/>
              </w:rPr>
              <w:t> </w:t>
            </w:r>
            <w:r>
              <w:rPr>
                <w:sz w:val="18"/>
              </w:rPr>
              <w:t>las</w:t>
            </w:r>
            <w:r>
              <w:rPr>
                <w:spacing w:val="-4"/>
                <w:sz w:val="18"/>
              </w:rPr>
              <w:t> </w:t>
            </w:r>
            <w:r>
              <w:rPr>
                <w:sz w:val="18"/>
              </w:rPr>
              <w:t>entidades</w:t>
            </w:r>
            <w:r>
              <w:rPr>
                <w:spacing w:val="-4"/>
                <w:sz w:val="18"/>
              </w:rPr>
              <w:t> </w:t>
            </w:r>
            <w:r>
              <w:rPr>
                <w:sz w:val="18"/>
              </w:rPr>
              <w:t>públicas,</w:t>
            </w:r>
            <w:r>
              <w:rPr>
                <w:spacing w:val="-4"/>
                <w:sz w:val="18"/>
              </w:rPr>
              <w:t> </w:t>
            </w:r>
            <w:r>
              <w:rPr>
                <w:sz w:val="18"/>
              </w:rPr>
              <w:t>oportunas</w:t>
            </w:r>
            <w:r>
              <w:rPr>
                <w:spacing w:val="-4"/>
                <w:sz w:val="18"/>
              </w:rPr>
              <w:t> </w:t>
            </w:r>
            <w:r>
              <w:rPr>
                <w:sz w:val="18"/>
              </w:rPr>
              <w:t>y</w:t>
            </w:r>
            <w:r>
              <w:rPr>
                <w:spacing w:val="-5"/>
                <w:sz w:val="18"/>
              </w:rPr>
              <w:t> </w:t>
            </w:r>
            <w:r>
              <w:rPr>
                <w:spacing w:val="-2"/>
                <w:sz w:val="18"/>
              </w:rPr>
              <w:t>fiables.</w:t>
            </w:r>
          </w:p>
        </w:tc>
      </w:tr>
      <w:tr>
        <w:trPr>
          <w:trHeight w:val="489" w:hRule="atLeast"/>
        </w:trPr>
        <w:tc>
          <w:tcPr>
            <w:tcW w:w="972" w:type="dxa"/>
            <w:shd w:val="clear" w:color="auto" w:fill="44536A"/>
          </w:tcPr>
          <w:p>
            <w:pPr>
              <w:pStyle w:val="TableParagraph"/>
              <w:spacing w:before="145"/>
              <w:ind w:left="102"/>
              <w:rPr>
                <w:sz w:val="18"/>
              </w:rPr>
            </w:pPr>
            <w:r>
              <w:rPr>
                <w:color w:val="FFFFFF"/>
                <w:spacing w:val="-2"/>
                <w:w w:val="105"/>
                <w:sz w:val="18"/>
              </w:rPr>
              <w:t>Indicador</w:t>
            </w:r>
          </w:p>
        </w:tc>
        <w:tc>
          <w:tcPr>
            <w:tcW w:w="7523" w:type="dxa"/>
            <w:gridSpan w:val="11"/>
          </w:tcPr>
          <w:p>
            <w:pPr>
              <w:pStyle w:val="TableParagraph"/>
              <w:spacing w:before="23"/>
              <w:ind w:left="69"/>
              <w:rPr>
                <w:sz w:val="18"/>
              </w:rPr>
            </w:pPr>
            <w:r>
              <w:rPr>
                <w:sz w:val="18"/>
              </w:rPr>
              <w:t>Porcentaje</w:t>
            </w:r>
            <w:r>
              <w:rPr>
                <w:spacing w:val="3"/>
                <w:sz w:val="18"/>
              </w:rPr>
              <w:t> </w:t>
            </w:r>
            <w:r>
              <w:rPr>
                <w:sz w:val="18"/>
              </w:rPr>
              <w:t>de</w:t>
            </w:r>
            <w:r>
              <w:rPr>
                <w:spacing w:val="4"/>
                <w:sz w:val="18"/>
              </w:rPr>
              <w:t> </w:t>
            </w:r>
            <w:r>
              <w:rPr>
                <w:sz w:val="18"/>
              </w:rPr>
              <w:t>entidades</w:t>
            </w:r>
            <w:r>
              <w:rPr>
                <w:spacing w:val="4"/>
                <w:sz w:val="18"/>
              </w:rPr>
              <w:t> </w:t>
            </w:r>
            <w:r>
              <w:rPr>
                <w:sz w:val="18"/>
              </w:rPr>
              <w:t>públicas</w:t>
            </w:r>
            <w:r>
              <w:rPr>
                <w:spacing w:val="2"/>
                <w:sz w:val="18"/>
              </w:rPr>
              <w:t> </w:t>
            </w:r>
            <w:r>
              <w:rPr>
                <w:sz w:val="18"/>
              </w:rPr>
              <w:t>priorizadas</w:t>
            </w:r>
            <w:r>
              <w:rPr>
                <w:spacing w:val="2"/>
                <w:sz w:val="18"/>
              </w:rPr>
              <w:t> </w:t>
            </w:r>
            <w:r>
              <w:rPr>
                <w:sz w:val="18"/>
              </w:rPr>
              <w:t>que</w:t>
            </w:r>
            <w:r>
              <w:rPr>
                <w:spacing w:val="4"/>
                <w:sz w:val="18"/>
              </w:rPr>
              <w:t> </w:t>
            </w:r>
            <w:r>
              <w:rPr>
                <w:sz w:val="18"/>
              </w:rPr>
              <w:t>incorporan</w:t>
            </w:r>
            <w:r>
              <w:rPr>
                <w:spacing w:val="4"/>
                <w:sz w:val="18"/>
              </w:rPr>
              <w:t> </w:t>
            </w:r>
            <w:r>
              <w:rPr>
                <w:sz w:val="18"/>
              </w:rPr>
              <w:t>el</w:t>
            </w:r>
            <w:r>
              <w:rPr>
                <w:spacing w:val="3"/>
                <w:sz w:val="18"/>
              </w:rPr>
              <w:t> </w:t>
            </w:r>
            <w:r>
              <w:rPr>
                <w:sz w:val="18"/>
              </w:rPr>
              <w:t>enfoque</w:t>
            </w:r>
            <w:r>
              <w:rPr>
                <w:spacing w:val="2"/>
                <w:sz w:val="18"/>
              </w:rPr>
              <w:t> </w:t>
            </w:r>
            <w:r>
              <w:rPr>
                <w:sz w:val="18"/>
              </w:rPr>
              <w:t>de</w:t>
            </w:r>
            <w:r>
              <w:rPr>
                <w:spacing w:val="4"/>
                <w:sz w:val="18"/>
              </w:rPr>
              <w:t> </w:t>
            </w:r>
            <w:r>
              <w:rPr>
                <w:sz w:val="18"/>
              </w:rPr>
              <w:t>género,</w:t>
            </w:r>
            <w:r>
              <w:rPr>
                <w:spacing w:val="4"/>
                <w:sz w:val="18"/>
              </w:rPr>
              <w:t> </w:t>
            </w:r>
            <w:r>
              <w:rPr>
                <w:sz w:val="18"/>
              </w:rPr>
              <w:t>en</w:t>
            </w:r>
            <w:r>
              <w:rPr>
                <w:spacing w:val="3"/>
                <w:sz w:val="18"/>
              </w:rPr>
              <w:t> </w:t>
            </w:r>
            <w:r>
              <w:rPr>
                <w:spacing w:val="-5"/>
                <w:sz w:val="18"/>
              </w:rPr>
              <w:t>la</w:t>
            </w:r>
          </w:p>
          <w:p>
            <w:pPr>
              <w:pStyle w:val="TableParagraph"/>
              <w:spacing w:line="201" w:lineRule="exact" w:before="37"/>
              <w:ind w:left="69"/>
              <w:rPr>
                <w:sz w:val="18"/>
              </w:rPr>
            </w:pPr>
            <w:r>
              <w:rPr>
                <w:sz w:val="18"/>
              </w:rPr>
              <w:t>producción</w:t>
            </w:r>
            <w:r>
              <w:rPr>
                <w:spacing w:val="-2"/>
                <w:sz w:val="18"/>
              </w:rPr>
              <w:t> </w:t>
            </w:r>
            <w:r>
              <w:rPr>
                <w:sz w:val="18"/>
              </w:rPr>
              <w:t>de</w:t>
            </w:r>
            <w:r>
              <w:rPr>
                <w:spacing w:val="1"/>
                <w:sz w:val="18"/>
              </w:rPr>
              <w:t> </w:t>
            </w:r>
            <w:r>
              <w:rPr>
                <w:sz w:val="18"/>
              </w:rPr>
              <w:t>bienes</w:t>
            </w:r>
            <w:r>
              <w:rPr>
                <w:spacing w:val="1"/>
                <w:sz w:val="18"/>
              </w:rPr>
              <w:t> </w:t>
            </w:r>
            <w:r>
              <w:rPr>
                <w:sz w:val="18"/>
              </w:rPr>
              <w:t>y servicios</w:t>
            </w:r>
            <w:r>
              <w:rPr>
                <w:spacing w:val="2"/>
                <w:sz w:val="18"/>
              </w:rPr>
              <w:t> </w:t>
            </w:r>
            <w:r>
              <w:rPr>
                <w:sz w:val="18"/>
              </w:rPr>
              <w:t>en</w:t>
            </w:r>
            <w:r>
              <w:rPr>
                <w:spacing w:val="-1"/>
                <w:sz w:val="18"/>
              </w:rPr>
              <w:t> </w:t>
            </w:r>
            <w:r>
              <w:rPr>
                <w:sz w:val="18"/>
              </w:rPr>
              <w:t>al</w:t>
            </w:r>
            <w:r>
              <w:rPr>
                <w:spacing w:val="-1"/>
                <w:sz w:val="18"/>
              </w:rPr>
              <w:t> </w:t>
            </w:r>
            <w:r>
              <w:rPr>
                <w:sz w:val="18"/>
              </w:rPr>
              <w:t>menos</w:t>
            </w:r>
            <w:r>
              <w:rPr>
                <w:spacing w:val="2"/>
                <w:sz w:val="18"/>
              </w:rPr>
              <w:t> </w:t>
            </w:r>
            <w:r>
              <w:rPr>
                <w:sz w:val="18"/>
              </w:rPr>
              <w:t>01 bien</w:t>
            </w:r>
            <w:r>
              <w:rPr>
                <w:spacing w:val="1"/>
                <w:sz w:val="18"/>
              </w:rPr>
              <w:t> </w:t>
            </w:r>
            <w:r>
              <w:rPr>
                <w:sz w:val="18"/>
              </w:rPr>
              <w:t>y/o</w:t>
            </w:r>
            <w:r>
              <w:rPr>
                <w:spacing w:val="-2"/>
                <w:sz w:val="18"/>
              </w:rPr>
              <w:t> servicio.</w:t>
            </w:r>
          </w:p>
        </w:tc>
      </w:tr>
      <w:tr>
        <w:trPr>
          <w:trHeight w:val="489" w:hRule="atLeast"/>
        </w:trPr>
        <w:tc>
          <w:tcPr>
            <w:tcW w:w="972" w:type="dxa"/>
            <w:shd w:val="clear" w:color="auto" w:fill="808080"/>
          </w:tcPr>
          <w:p>
            <w:pPr>
              <w:pStyle w:val="TableParagraph"/>
              <w:spacing w:before="145"/>
              <w:ind w:left="323"/>
              <w:rPr>
                <w:sz w:val="18"/>
              </w:rPr>
            </w:pPr>
            <w:r>
              <w:rPr>
                <w:color w:val="FFFFFF"/>
                <w:spacing w:val="-5"/>
                <w:sz w:val="18"/>
              </w:rPr>
              <w:t>Año</w:t>
            </w:r>
          </w:p>
        </w:tc>
        <w:tc>
          <w:tcPr>
            <w:tcW w:w="751" w:type="dxa"/>
            <w:shd w:val="clear" w:color="auto" w:fill="808080"/>
          </w:tcPr>
          <w:p>
            <w:pPr>
              <w:pStyle w:val="TableParagraph"/>
              <w:spacing w:before="23"/>
              <w:ind w:left="9"/>
              <w:jc w:val="center"/>
              <w:rPr>
                <w:sz w:val="18"/>
              </w:rPr>
            </w:pPr>
            <w:r>
              <w:rPr>
                <w:color w:val="FFFFFF"/>
                <w:spacing w:val="-2"/>
                <w:sz w:val="18"/>
              </w:rPr>
              <w:t>Valor</w:t>
            </w:r>
          </w:p>
          <w:p>
            <w:pPr>
              <w:pStyle w:val="TableParagraph"/>
              <w:spacing w:line="201" w:lineRule="exact" w:before="37"/>
              <w:ind w:left="9" w:right="1"/>
              <w:jc w:val="center"/>
              <w:rPr>
                <w:sz w:val="18"/>
              </w:rPr>
            </w:pPr>
            <w:r>
              <w:rPr>
                <w:color w:val="FFFFFF"/>
                <w:spacing w:val="-5"/>
                <w:sz w:val="18"/>
              </w:rPr>
              <w:t>LB</w:t>
            </w:r>
          </w:p>
        </w:tc>
        <w:tc>
          <w:tcPr>
            <w:tcW w:w="593" w:type="dxa"/>
            <w:shd w:val="clear" w:color="auto" w:fill="808080"/>
          </w:tcPr>
          <w:p>
            <w:pPr>
              <w:pStyle w:val="TableParagraph"/>
              <w:spacing w:before="145"/>
              <w:ind w:left="12"/>
              <w:jc w:val="center"/>
              <w:rPr>
                <w:sz w:val="18"/>
              </w:rPr>
            </w:pPr>
            <w:r>
              <w:rPr>
                <w:color w:val="FFFFFF"/>
                <w:spacing w:val="-4"/>
                <w:sz w:val="18"/>
              </w:rPr>
              <w:t>2021</w:t>
            </w:r>
          </w:p>
        </w:tc>
        <w:tc>
          <w:tcPr>
            <w:tcW w:w="686" w:type="dxa"/>
            <w:shd w:val="clear" w:color="auto" w:fill="808080"/>
          </w:tcPr>
          <w:p>
            <w:pPr>
              <w:pStyle w:val="TableParagraph"/>
              <w:spacing w:before="145"/>
              <w:ind w:left="19" w:right="8"/>
              <w:jc w:val="center"/>
              <w:rPr>
                <w:sz w:val="18"/>
              </w:rPr>
            </w:pPr>
            <w:r>
              <w:rPr>
                <w:color w:val="FFFFFF"/>
                <w:spacing w:val="-4"/>
                <w:sz w:val="18"/>
              </w:rPr>
              <w:t>2022</w:t>
            </w:r>
          </w:p>
        </w:tc>
        <w:tc>
          <w:tcPr>
            <w:tcW w:w="688" w:type="dxa"/>
            <w:shd w:val="clear" w:color="auto" w:fill="808080"/>
          </w:tcPr>
          <w:p>
            <w:pPr>
              <w:pStyle w:val="TableParagraph"/>
              <w:spacing w:before="145"/>
              <w:ind w:left="14" w:right="5"/>
              <w:jc w:val="center"/>
              <w:rPr>
                <w:sz w:val="18"/>
              </w:rPr>
            </w:pPr>
            <w:r>
              <w:rPr>
                <w:color w:val="FFFFFF"/>
                <w:spacing w:val="-4"/>
                <w:sz w:val="18"/>
              </w:rPr>
              <w:t>2023</w:t>
            </w:r>
          </w:p>
        </w:tc>
        <w:tc>
          <w:tcPr>
            <w:tcW w:w="686" w:type="dxa"/>
            <w:shd w:val="clear" w:color="auto" w:fill="808080"/>
          </w:tcPr>
          <w:p>
            <w:pPr>
              <w:pStyle w:val="TableParagraph"/>
              <w:spacing w:before="145"/>
              <w:ind w:left="19" w:right="11"/>
              <w:jc w:val="center"/>
              <w:rPr>
                <w:sz w:val="18"/>
              </w:rPr>
            </w:pPr>
            <w:r>
              <w:rPr>
                <w:color w:val="FFFFFF"/>
                <w:spacing w:val="-4"/>
                <w:sz w:val="18"/>
              </w:rPr>
              <w:t>2024</w:t>
            </w:r>
          </w:p>
        </w:tc>
        <w:tc>
          <w:tcPr>
            <w:tcW w:w="686" w:type="dxa"/>
            <w:shd w:val="clear" w:color="auto" w:fill="808080"/>
          </w:tcPr>
          <w:p>
            <w:pPr>
              <w:pStyle w:val="TableParagraph"/>
              <w:spacing w:before="145"/>
              <w:ind w:left="19" w:right="5"/>
              <w:jc w:val="center"/>
              <w:rPr>
                <w:sz w:val="18"/>
              </w:rPr>
            </w:pPr>
            <w:r>
              <w:rPr>
                <w:color w:val="FFFFFF"/>
                <w:spacing w:val="-4"/>
                <w:sz w:val="18"/>
              </w:rPr>
              <w:t>2025</w:t>
            </w:r>
          </w:p>
        </w:tc>
        <w:tc>
          <w:tcPr>
            <w:tcW w:w="686" w:type="dxa"/>
            <w:shd w:val="clear" w:color="auto" w:fill="808080"/>
          </w:tcPr>
          <w:p>
            <w:pPr>
              <w:pStyle w:val="TableParagraph"/>
              <w:spacing w:before="145"/>
              <w:ind w:left="19" w:right="4"/>
              <w:jc w:val="center"/>
              <w:rPr>
                <w:sz w:val="18"/>
              </w:rPr>
            </w:pPr>
            <w:r>
              <w:rPr>
                <w:color w:val="FFFFFF"/>
                <w:spacing w:val="-4"/>
                <w:sz w:val="18"/>
              </w:rPr>
              <w:t>2026</w:t>
            </w:r>
          </w:p>
        </w:tc>
        <w:tc>
          <w:tcPr>
            <w:tcW w:w="688" w:type="dxa"/>
            <w:shd w:val="clear" w:color="auto" w:fill="808080"/>
          </w:tcPr>
          <w:p>
            <w:pPr>
              <w:pStyle w:val="TableParagraph"/>
              <w:spacing w:before="145"/>
              <w:ind w:left="14"/>
              <w:jc w:val="center"/>
              <w:rPr>
                <w:sz w:val="18"/>
              </w:rPr>
            </w:pPr>
            <w:r>
              <w:rPr>
                <w:color w:val="FFFFFF"/>
                <w:spacing w:val="-4"/>
                <w:sz w:val="18"/>
              </w:rPr>
              <w:t>2027</w:t>
            </w:r>
          </w:p>
        </w:tc>
        <w:tc>
          <w:tcPr>
            <w:tcW w:w="686" w:type="dxa"/>
            <w:shd w:val="clear" w:color="auto" w:fill="808080"/>
          </w:tcPr>
          <w:p>
            <w:pPr>
              <w:pStyle w:val="TableParagraph"/>
              <w:spacing w:before="145"/>
              <w:ind w:left="19" w:right="6"/>
              <w:jc w:val="center"/>
              <w:rPr>
                <w:sz w:val="18"/>
              </w:rPr>
            </w:pPr>
            <w:r>
              <w:rPr>
                <w:color w:val="FFFFFF"/>
                <w:spacing w:val="-4"/>
                <w:sz w:val="18"/>
              </w:rPr>
              <w:t>2028</w:t>
            </w:r>
          </w:p>
        </w:tc>
        <w:tc>
          <w:tcPr>
            <w:tcW w:w="687" w:type="dxa"/>
            <w:shd w:val="clear" w:color="auto" w:fill="808080"/>
          </w:tcPr>
          <w:p>
            <w:pPr>
              <w:pStyle w:val="TableParagraph"/>
              <w:spacing w:before="145"/>
              <w:ind w:left="18"/>
              <w:jc w:val="center"/>
              <w:rPr>
                <w:sz w:val="18"/>
              </w:rPr>
            </w:pPr>
            <w:r>
              <w:rPr>
                <w:color w:val="FFFFFF"/>
                <w:spacing w:val="-4"/>
                <w:sz w:val="18"/>
              </w:rPr>
              <w:t>2029</w:t>
            </w:r>
          </w:p>
        </w:tc>
        <w:tc>
          <w:tcPr>
            <w:tcW w:w="686" w:type="dxa"/>
            <w:shd w:val="clear" w:color="auto" w:fill="808080"/>
          </w:tcPr>
          <w:p>
            <w:pPr>
              <w:pStyle w:val="TableParagraph"/>
              <w:spacing w:before="145"/>
              <w:ind w:left="19"/>
              <w:jc w:val="center"/>
              <w:rPr>
                <w:sz w:val="18"/>
              </w:rPr>
            </w:pPr>
            <w:r>
              <w:rPr>
                <w:color w:val="FFFFFF"/>
                <w:spacing w:val="-4"/>
                <w:sz w:val="18"/>
              </w:rPr>
              <w:t>2030</w:t>
            </w:r>
          </w:p>
        </w:tc>
      </w:tr>
      <w:tr>
        <w:trPr>
          <w:trHeight w:val="436" w:hRule="atLeast"/>
        </w:trPr>
        <w:tc>
          <w:tcPr>
            <w:tcW w:w="972" w:type="dxa"/>
            <w:shd w:val="clear" w:color="auto" w:fill="44536A"/>
          </w:tcPr>
          <w:p>
            <w:pPr>
              <w:pStyle w:val="TableParagraph"/>
              <w:spacing w:before="119"/>
              <w:ind w:left="69"/>
              <w:rPr>
                <w:sz w:val="18"/>
              </w:rPr>
            </w:pPr>
            <w:r>
              <w:rPr>
                <w:color w:val="FFFFFF"/>
                <w:spacing w:val="-2"/>
                <w:sz w:val="18"/>
              </w:rPr>
              <w:t>Metas</w:t>
            </w:r>
          </w:p>
        </w:tc>
        <w:tc>
          <w:tcPr>
            <w:tcW w:w="751" w:type="dxa"/>
          </w:tcPr>
          <w:p>
            <w:pPr>
              <w:pStyle w:val="TableParagraph"/>
              <w:spacing w:before="20"/>
              <w:ind w:left="9"/>
              <w:jc w:val="center"/>
              <w:rPr>
                <w:sz w:val="16"/>
              </w:rPr>
            </w:pPr>
            <w:r>
              <w:rPr>
                <w:spacing w:val="-5"/>
                <w:sz w:val="16"/>
              </w:rPr>
              <w:t>No</w:t>
            </w:r>
          </w:p>
          <w:p>
            <w:pPr>
              <w:pStyle w:val="TableParagraph"/>
              <w:spacing w:line="178" w:lineRule="exact" w:before="34"/>
              <w:ind w:left="9"/>
              <w:jc w:val="center"/>
              <w:rPr>
                <w:sz w:val="16"/>
              </w:rPr>
            </w:pPr>
            <w:r>
              <w:rPr>
                <w:spacing w:val="-2"/>
                <w:w w:val="105"/>
                <w:sz w:val="16"/>
              </w:rPr>
              <w:t>definido</w:t>
            </w:r>
          </w:p>
        </w:tc>
        <w:tc>
          <w:tcPr>
            <w:tcW w:w="593" w:type="dxa"/>
          </w:tcPr>
          <w:p>
            <w:pPr>
              <w:pStyle w:val="TableParagraph"/>
              <w:spacing w:before="130"/>
              <w:ind w:left="12" w:right="5"/>
              <w:jc w:val="center"/>
              <w:rPr>
                <w:sz w:val="16"/>
              </w:rPr>
            </w:pPr>
            <w:r>
              <w:rPr>
                <w:spacing w:val="-2"/>
                <w:sz w:val="16"/>
              </w:rPr>
              <w:t>5.00%</w:t>
            </w:r>
          </w:p>
        </w:tc>
        <w:tc>
          <w:tcPr>
            <w:tcW w:w="686" w:type="dxa"/>
          </w:tcPr>
          <w:p>
            <w:pPr>
              <w:pStyle w:val="TableParagraph"/>
              <w:spacing w:before="130"/>
              <w:ind w:left="19" w:right="8"/>
              <w:jc w:val="center"/>
              <w:rPr>
                <w:sz w:val="16"/>
              </w:rPr>
            </w:pPr>
            <w:r>
              <w:rPr>
                <w:spacing w:val="-2"/>
                <w:sz w:val="16"/>
              </w:rPr>
              <w:t>10.00%</w:t>
            </w:r>
          </w:p>
        </w:tc>
        <w:tc>
          <w:tcPr>
            <w:tcW w:w="688" w:type="dxa"/>
          </w:tcPr>
          <w:p>
            <w:pPr>
              <w:pStyle w:val="TableParagraph"/>
              <w:spacing w:before="130"/>
              <w:ind w:left="14" w:right="5"/>
              <w:jc w:val="center"/>
              <w:rPr>
                <w:sz w:val="16"/>
              </w:rPr>
            </w:pPr>
            <w:r>
              <w:rPr>
                <w:spacing w:val="-2"/>
                <w:sz w:val="16"/>
              </w:rPr>
              <w:t>15.00%</w:t>
            </w:r>
          </w:p>
        </w:tc>
        <w:tc>
          <w:tcPr>
            <w:tcW w:w="686" w:type="dxa"/>
          </w:tcPr>
          <w:p>
            <w:pPr>
              <w:pStyle w:val="TableParagraph"/>
              <w:spacing w:before="130"/>
              <w:ind w:left="19" w:right="11"/>
              <w:jc w:val="center"/>
              <w:rPr>
                <w:sz w:val="16"/>
              </w:rPr>
            </w:pPr>
            <w:r>
              <w:rPr>
                <w:spacing w:val="-2"/>
                <w:sz w:val="16"/>
              </w:rPr>
              <w:t>18.00%</w:t>
            </w:r>
          </w:p>
        </w:tc>
        <w:tc>
          <w:tcPr>
            <w:tcW w:w="686" w:type="dxa"/>
          </w:tcPr>
          <w:p>
            <w:pPr>
              <w:pStyle w:val="TableParagraph"/>
              <w:spacing w:before="130"/>
              <w:ind w:left="19" w:right="5"/>
              <w:jc w:val="center"/>
              <w:rPr>
                <w:sz w:val="16"/>
              </w:rPr>
            </w:pPr>
            <w:r>
              <w:rPr>
                <w:spacing w:val="-2"/>
                <w:sz w:val="16"/>
              </w:rPr>
              <w:t>25.00%</w:t>
            </w:r>
          </w:p>
        </w:tc>
        <w:tc>
          <w:tcPr>
            <w:tcW w:w="686" w:type="dxa"/>
          </w:tcPr>
          <w:p>
            <w:pPr>
              <w:pStyle w:val="TableParagraph"/>
              <w:spacing w:before="130"/>
              <w:ind w:left="19" w:right="4"/>
              <w:jc w:val="center"/>
              <w:rPr>
                <w:sz w:val="16"/>
              </w:rPr>
            </w:pPr>
            <w:r>
              <w:rPr>
                <w:spacing w:val="-2"/>
                <w:sz w:val="16"/>
              </w:rPr>
              <w:t>32.00%</w:t>
            </w:r>
          </w:p>
        </w:tc>
        <w:tc>
          <w:tcPr>
            <w:tcW w:w="688" w:type="dxa"/>
          </w:tcPr>
          <w:p>
            <w:pPr>
              <w:pStyle w:val="TableParagraph"/>
              <w:spacing w:before="130"/>
              <w:ind w:left="14"/>
              <w:jc w:val="center"/>
              <w:rPr>
                <w:sz w:val="16"/>
              </w:rPr>
            </w:pPr>
            <w:r>
              <w:rPr>
                <w:spacing w:val="-2"/>
                <w:sz w:val="16"/>
              </w:rPr>
              <w:t>36.00%</w:t>
            </w:r>
          </w:p>
        </w:tc>
        <w:tc>
          <w:tcPr>
            <w:tcW w:w="686" w:type="dxa"/>
          </w:tcPr>
          <w:p>
            <w:pPr>
              <w:pStyle w:val="TableParagraph"/>
              <w:spacing w:before="130"/>
              <w:ind w:left="19" w:right="6"/>
              <w:jc w:val="center"/>
              <w:rPr>
                <w:sz w:val="16"/>
              </w:rPr>
            </w:pPr>
            <w:r>
              <w:rPr>
                <w:spacing w:val="-2"/>
                <w:sz w:val="16"/>
              </w:rPr>
              <w:t>40.00%</w:t>
            </w:r>
          </w:p>
        </w:tc>
        <w:tc>
          <w:tcPr>
            <w:tcW w:w="687" w:type="dxa"/>
          </w:tcPr>
          <w:p>
            <w:pPr>
              <w:pStyle w:val="TableParagraph"/>
              <w:spacing w:before="130"/>
              <w:ind w:left="18"/>
              <w:jc w:val="center"/>
              <w:rPr>
                <w:sz w:val="16"/>
              </w:rPr>
            </w:pPr>
            <w:r>
              <w:rPr>
                <w:spacing w:val="-2"/>
                <w:sz w:val="16"/>
              </w:rPr>
              <w:t>45.00%</w:t>
            </w:r>
          </w:p>
        </w:tc>
        <w:tc>
          <w:tcPr>
            <w:tcW w:w="686" w:type="dxa"/>
          </w:tcPr>
          <w:p>
            <w:pPr>
              <w:pStyle w:val="TableParagraph"/>
              <w:spacing w:before="130"/>
              <w:ind w:left="19"/>
              <w:jc w:val="center"/>
              <w:rPr>
                <w:sz w:val="16"/>
              </w:rPr>
            </w:pPr>
            <w:r>
              <w:rPr>
                <w:spacing w:val="-2"/>
                <w:sz w:val="16"/>
              </w:rPr>
              <w:t>50.00%</w:t>
            </w:r>
          </w:p>
        </w:tc>
      </w:tr>
      <w:tr>
        <w:trPr>
          <w:trHeight w:val="570" w:hRule="atLeast"/>
        </w:trPr>
        <w:tc>
          <w:tcPr>
            <w:tcW w:w="972" w:type="dxa"/>
            <w:shd w:val="clear" w:color="auto" w:fill="44536A"/>
          </w:tcPr>
          <w:p>
            <w:pPr>
              <w:pStyle w:val="TableParagraph"/>
              <w:spacing w:line="240" w:lineRule="atLeast" w:before="30"/>
              <w:ind w:left="69"/>
              <w:rPr>
                <w:sz w:val="18"/>
              </w:rPr>
            </w:pPr>
            <w:r>
              <w:rPr>
                <w:color w:val="FFFFFF"/>
                <w:spacing w:val="-4"/>
                <w:w w:val="105"/>
                <w:sz w:val="18"/>
              </w:rPr>
              <w:t>Valor </w:t>
            </w:r>
            <w:r>
              <w:rPr>
                <w:color w:val="FFFFFF"/>
                <w:spacing w:val="-2"/>
                <w:w w:val="105"/>
                <w:sz w:val="18"/>
              </w:rPr>
              <w:t>reportado</w:t>
            </w:r>
          </w:p>
        </w:tc>
        <w:tc>
          <w:tcPr>
            <w:tcW w:w="751" w:type="dxa"/>
            <w:shd w:val="clear" w:color="auto" w:fill="C8C8C8"/>
          </w:tcPr>
          <w:p>
            <w:pPr>
              <w:pStyle w:val="TableParagraph"/>
              <w:rPr>
                <w:rFonts w:ascii="Times New Roman"/>
                <w:sz w:val="20"/>
              </w:rPr>
            </w:pPr>
          </w:p>
        </w:tc>
        <w:tc>
          <w:tcPr>
            <w:tcW w:w="593" w:type="dxa"/>
          </w:tcPr>
          <w:p>
            <w:pPr>
              <w:pStyle w:val="TableParagraph"/>
              <w:spacing w:before="11"/>
              <w:rPr>
                <w:sz w:val="16"/>
              </w:rPr>
            </w:pPr>
          </w:p>
          <w:p>
            <w:pPr>
              <w:pStyle w:val="TableParagraph"/>
              <w:ind w:left="12" w:right="5"/>
              <w:jc w:val="center"/>
              <w:rPr>
                <w:sz w:val="16"/>
              </w:rPr>
            </w:pPr>
            <w:r>
              <w:rPr>
                <w:spacing w:val="-2"/>
                <w:sz w:val="16"/>
              </w:rPr>
              <w:t>0.00%</w:t>
            </w:r>
          </w:p>
        </w:tc>
        <w:tc>
          <w:tcPr>
            <w:tcW w:w="686" w:type="dxa"/>
          </w:tcPr>
          <w:p>
            <w:pPr>
              <w:pStyle w:val="TableParagraph"/>
              <w:spacing w:before="11"/>
              <w:rPr>
                <w:sz w:val="16"/>
              </w:rPr>
            </w:pPr>
          </w:p>
          <w:p>
            <w:pPr>
              <w:pStyle w:val="TableParagraph"/>
              <w:ind w:left="19" w:right="8"/>
              <w:jc w:val="center"/>
              <w:rPr>
                <w:sz w:val="16"/>
              </w:rPr>
            </w:pPr>
            <w:r>
              <w:rPr>
                <w:spacing w:val="-2"/>
                <w:sz w:val="16"/>
              </w:rPr>
              <w:t>1.90%</w:t>
            </w:r>
          </w:p>
        </w:tc>
        <w:tc>
          <w:tcPr>
            <w:tcW w:w="688" w:type="dxa"/>
          </w:tcPr>
          <w:p>
            <w:pPr>
              <w:pStyle w:val="TableParagraph"/>
              <w:spacing w:before="11"/>
              <w:rPr>
                <w:sz w:val="16"/>
              </w:rPr>
            </w:pPr>
          </w:p>
          <w:p>
            <w:pPr>
              <w:pStyle w:val="TableParagraph"/>
              <w:ind w:left="14" w:right="5"/>
              <w:jc w:val="center"/>
              <w:rPr>
                <w:sz w:val="16"/>
              </w:rPr>
            </w:pPr>
            <w:r>
              <w:rPr>
                <w:spacing w:val="-2"/>
                <w:sz w:val="16"/>
              </w:rPr>
              <w:t>8.23%</w:t>
            </w: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8"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7"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r>
      <w:tr>
        <w:trPr>
          <w:trHeight w:val="571" w:hRule="atLeast"/>
        </w:trPr>
        <w:tc>
          <w:tcPr>
            <w:tcW w:w="972" w:type="dxa"/>
            <w:shd w:val="clear" w:color="auto" w:fill="44536A"/>
          </w:tcPr>
          <w:p>
            <w:pPr>
              <w:pStyle w:val="TableParagraph"/>
              <w:spacing w:line="240" w:lineRule="atLeast" w:before="31"/>
              <w:ind w:left="69" w:right="235"/>
              <w:rPr>
                <w:sz w:val="18"/>
              </w:rPr>
            </w:pPr>
            <w:r>
              <w:rPr>
                <w:color w:val="FFFFFF"/>
                <w:sz w:val="18"/>
              </w:rPr>
              <w:t>Nivel</w:t>
            </w:r>
            <w:r>
              <w:rPr>
                <w:color w:val="FFFFFF"/>
                <w:spacing w:val="-13"/>
                <w:sz w:val="18"/>
              </w:rPr>
              <w:t> </w:t>
            </w:r>
            <w:r>
              <w:rPr>
                <w:color w:val="FFFFFF"/>
                <w:sz w:val="18"/>
              </w:rPr>
              <w:t>de </w:t>
            </w:r>
            <w:r>
              <w:rPr>
                <w:color w:val="FFFFFF"/>
                <w:spacing w:val="-2"/>
                <w:sz w:val="18"/>
              </w:rPr>
              <w:t>avance</w:t>
            </w:r>
          </w:p>
        </w:tc>
        <w:tc>
          <w:tcPr>
            <w:tcW w:w="751" w:type="dxa"/>
            <w:shd w:val="clear" w:color="auto" w:fill="C8C8C8"/>
          </w:tcPr>
          <w:p>
            <w:pPr>
              <w:pStyle w:val="TableParagraph"/>
              <w:rPr>
                <w:rFonts w:ascii="Times New Roman"/>
                <w:sz w:val="20"/>
              </w:rPr>
            </w:pPr>
          </w:p>
        </w:tc>
        <w:tc>
          <w:tcPr>
            <w:tcW w:w="593" w:type="dxa"/>
          </w:tcPr>
          <w:p>
            <w:pPr>
              <w:pStyle w:val="TableParagraph"/>
              <w:spacing w:before="11"/>
              <w:rPr>
                <w:sz w:val="16"/>
              </w:rPr>
            </w:pPr>
          </w:p>
          <w:p>
            <w:pPr>
              <w:pStyle w:val="TableParagraph"/>
              <w:spacing w:before="1"/>
              <w:ind w:left="12" w:right="5"/>
              <w:jc w:val="center"/>
              <w:rPr>
                <w:sz w:val="16"/>
              </w:rPr>
            </w:pPr>
            <w:r>
              <w:rPr>
                <w:spacing w:val="-2"/>
                <w:sz w:val="16"/>
              </w:rPr>
              <w:t>0.00%</w:t>
            </w:r>
          </w:p>
        </w:tc>
        <w:tc>
          <w:tcPr>
            <w:tcW w:w="686" w:type="dxa"/>
          </w:tcPr>
          <w:p>
            <w:pPr>
              <w:pStyle w:val="TableParagraph"/>
              <w:spacing w:before="11"/>
              <w:rPr>
                <w:sz w:val="16"/>
              </w:rPr>
            </w:pPr>
          </w:p>
          <w:p>
            <w:pPr>
              <w:pStyle w:val="TableParagraph"/>
              <w:spacing w:before="1"/>
              <w:ind w:left="19" w:right="8"/>
              <w:jc w:val="center"/>
              <w:rPr>
                <w:sz w:val="16"/>
              </w:rPr>
            </w:pPr>
            <w:r>
              <w:rPr>
                <w:spacing w:val="-2"/>
                <w:sz w:val="16"/>
              </w:rPr>
              <w:t>19.00%</w:t>
            </w:r>
          </w:p>
        </w:tc>
        <w:tc>
          <w:tcPr>
            <w:tcW w:w="688" w:type="dxa"/>
          </w:tcPr>
          <w:p>
            <w:pPr>
              <w:pStyle w:val="TableParagraph"/>
              <w:spacing w:before="11"/>
              <w:rPr>
                <w:sz w:val="16"/>
              </w:rPr>
            </w:pPr>
          </w:p>
          <w:p>
            <w:pPr>
              <w:pStyle w:val="TableParagraph"/>
              <w:spacing w:before="1"/>
              <w:ind w:left="14" w:right="5"/>
              <w:jc w:val="center"/>
              <w:rPr>
                <w:sz w:val="16"/>
              </w:rPr>
            </w:pPr>
            <w:r>
              <w:rPr>
                <w:spacing w:val="-2"/>
                <w:sz w:val="16"/>
              </w:rPr>
              <w:t>54.87%</w:t>
            </w: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8"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c>
          <w:tcPr>
            <w:tcW w:w="687" w:type="dxa"/>
            <w:shd w:val="clear" w:color="auto" w:fill="C8C8C8"/>
          </w:tcPr>
          <w:p>
            <w:pPr>
              <w:pStyle w:val="TableParagraph"/>
              <w:rPr>
                <w:rFonts w:ascii="Times New Roman"/>
                <w:sz w:val="20"/>
              </w:rPr>
            </w:pPr>
          </w:p>
        </w:tc>
        <w:tc>
          <w:tcPr>
            <w:tcW w:w="686" w:type="dxa"/>
            <w:shd w:val="clear" w:color="auto" w:fill="C8C8C8"/>
          </w:tcPr>
          <w:p>
            <w:pPr>
              <w:pStyle w:val="TableParagraph"/>
              <w:rPr>
                <w:rFonts w:ascii="Times New Roman"/>
                <w:sz w:val="20"/>
              </w:rPr>
            </w:pPr>
          </w:p>
        </w:tc>
      </w:tr>
    </w:tbl>
    <w:p>
      <w:pPr>
        <w:spacing w:line="307" w:lineRule="auto" w:before="25"/>
        <w:ind w:left="143" w:right="5492" w:firstLine="0"/>
        <w:jc w:val="left"/>
        <w:rPr>
          <w:sz w:val="18"/>
        </w:rPr>
      </w:pPr>
      <w:r>
        <w:rPr>
          <w:sz w:val="18"/>
        </w:rPr>
        <w:t>Fuente: Reporte</w:t>
      </w:r>
      <w:r>
        <w:rPr>
          <w:spacing w:val="-2"/>
          <w:sz w:val="18"/>
        </w:rPr>
        <w:t> </w:t>
      </w:r>
      <w:r>
        <w:rPr>
          <w:sz w:val="18"/>
        </w:rPr>
        <w:t>de</w:t>
      </w:r>
      <w:r>
        <w:rPr>
          <w:spacing w:val="-4"/>
          <w:sz w:val="18"/>
        </w:rPr>
        <w:t> </w:t>
      </w:r>
      <w:r>
        <w:rPr>
          <w:sz w:val="18"/>
        </w:rPr>
        <w:t>seguimiento</w:t>
      </w:r>
      <w:r>
        <w:rPr>
          <w:spacing w:val="-2"/>
          <w:sz w:val="18"/>
        </w:rPr>
        <w:t> </w:t>
      </w:r>
      <w:r>
        <w:rPr>
          <w:sz w:val="18"/>
        </w:rPr>
        <w:t>2023 Elaboración propia</w:t>
      </w:r>
    </w:p>
    <w:p>
      <w:pPr>
        <w:pStyle w:val="BodyText"/>
        <w:spacing w:before="155"/>
        <w:rPr>
          <w:sz w:val="18"/>
        </w:rPr>
      </w:pPr>
    </w:p>
    <w:p>
      <w:pPr>
        <w:pStyle w:val="ListParagraph"/>
        <w:numPr>
          <w:ilvl w:val="3"/>
          <w:numId w:val="3"/>
        </w:numPr>
        <w:tabs>
          <w:tab w:pos="862" w:val="left" w:leader="none"/>
        </w:tabs>
        <w:spacing w:line="240" w:lineRule="auto" w:before="0"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w w:val="95"/>
          <w:sz w:val="24"/>
        </w:rPr>
        <w:t>mixto</w:t>
      </w:r>
    </w:p>
    <w:p>
      <w:pPr>
        <w:pStyle w:val="BodyText"/>
        <w:spacing w:line="307" w:lineRule="auto" w:before="234"/>
        <w:ind w:left="143" w:right="703"/>
        <w:jc w:val="both"/>
      </w:pPr>
      <w:r>
        <w:rPr/>
        <w:t>Al analizar el comportamiento histórico del indicador de eficacia, se puede observar que del año 2022 al 2023 incrementó la cantidad de entidades públicas que reciben asistencia técnica para transversalizar el enfoque de género</w:t>
      </w:r>
      <w:r>
        <w:rPr>
          <w:spacing w:val="-10"/>
        </w:rPr>
        <w:t> </w:t>
      </w:r>
      <w:r>
        <w:rPr/>
        <w:t>en</w:t>
      </w:r>
      <w:r>
        <w:rPr>
          <w:spacing w:val="-13"/>
        </w:rPr>
        <w:t> </w:t>
      </w:r>
      <w:r>
        <w:rPr/>
        <w:t>la</w:t>
      </w:r>
      <w:r>
        <w:rPr>
          <w:spacing w:val="-13"/>
        </w:rPr>
        <w:t> </w:t>
      </w:r>
      <w:r>
        <w:rPr/>
        <w:t>producción</w:t>
      </w:r>
      <w:r>
        <w:rPr>
          <w:spacing w:val="-11"/>
        </w:rPr>
        <w:t> </w:t>
      </w:r>
      <w:r>
        <w:rPr/>
        <w:t>de</w:t>
      </w:r>
      <w:r>
        <w:rPr>
          <w:spacing w:val="-13"/>
        </w:rPr>
        <w:t> </w:t>
      </w:r>
      <w:r>
        <w:rPr/>
        <w:t>bienes</w:t>
      </w:r>
      <w:r>
        <w:rPr>
          <w:spacing w:val="-10"/>
        </w:rPr>
        <w:t> </w:t>
      </w:r>
      <w:r>
        <w:rPr/>
        <w:t>y</w:t>
      </w:r>
      <w:r>
        <w:rPr>
          <w:spacing w:val="-13"/>
        </w:rPr>
        <w:t> </w:t>
      </w:r>
      <w:r>
        <w:rPr/>
        <w:t>servicios</w:t>
      </w:r>
      <w:r>
        <w:rPr>
          <w:spacing w:val="-10"/>
        </w:rPr>
        <w:t> </w:t>
      </w:r>
      <w:r>
        <w:rPr/>
        <w:t>(de</w:t>
      </w:r>
      <w:r>
        <w:rPr>
          <w:spacing w:val="-12"/>
        </w:rPr>
        <w:t> </w:t>
      </w:r>
      <w:r>
        <w:rPr/>
        <w:t>0</w:t>
      </w:r>
      <w:r>
        <w:rPr>
          <w:spacing w:val="-11"/>
        </w:rPr>
        <w:t> </w:t>
      </w:r>
      <w:r>
        <w:rPr/>
        <w:t>a</w:t>
      </w:r>
      <w:r>
        <w:rPr>
          <w:spacing w:val="-13"/>
        </w:rPr>
        <w:t> </w:t>
      </w:r>
      <w:r>
        <w:rPr/>
        <w:t>39).</w:t>
      </w:r>
      <w:r>
        <w:rPr>
          <w:spacing w:val="-10"/>
        </w:rPr>
        <w:t> </w:t>
      </w:r>
      <w:r>
        <w:rPr/>
        <w:t>Al</w:t>
      </w:r>
      <w:r>
        <w:rPr>
          <w:spacing w:val="-10"/>
        </w:rPr>
        <w:t> </w:t>
      </w:r>
      <w:r>
        <w:rPr/>
        <w:t>respecto,</w:t>
      </w:r>
      <w:r>
        <w:rPr>
          <w:spacing w:val="-11"/>
        </w:rPr>
        <w:t> </w:t>
      </w:r>
      <w:r>
        <w:rPr/>
        <w:t>el</w:t>
      </w:r>
      <w:r>
        <w:rPr>
          <w:spacing w:val="-12"/>
        </w:rPr>
        <w:t> </w:t>
      </w:r>
      <w:r>
        <w:rPr/>
        <w:t>servicio preciso que la débil articulación, el limitado presupuesto, insuficiente personal especializado,</w:t>
      </w:r>
      <w:r>
        <w:rPr>
          <w:spacing w:val="-4"/>
        </w:rPr>
        <w:t> </w:t>
      </w:r>
      <w:r>
        <w:rPr/>
        <w:t>limitación</w:t>
      </w:r>
      <w:r>
        <w:rPr>
          <w:spacing w:val="-5"/>
        </w:rPr>
        <w:t> </w:t>
      </w:r>
      <w:r>
        <w:rPr/>
        <w:t>en</w:t>
      </w:r>
      <w:r>
        <w:rPr>
          <w:spacing w:val="-5"/>
        </w:rPr>
        <w:t> </w:t>
      </w:r>
      <w:r>
        <w:rPr/>
        <w:t>las</w:t>
      </w:r>
      <w:r>
        <w:rPr>
          <w:spacing w:val="-6"/>
        </w:rPr>
        <w:t> </w:t>
      </w:r>
      <w:r>
        <w:rPr/>
        <w:t>competencias</w:t>
      </w:r>
      <w:r>
        <w:rPr>
          <w:spacing w:val="-9"/>
        </w:rPr>
        <w:t> </w:t>
      </w:r>
      <w:r>
        <w:rPr/>
        <w:t>funcionales, cambios</w:t>
      </w:r>
      <w:r>
        <w:rPr>
          <w:spacing w:val="-6"/>
        </w:rPr>
        <w:t> </w:t>
      </w:r>
      <w:r>
        <w:rPr/>
        <w:t>de</w:t>
      </w:r>
      <w:r>
        <w:rPr>
          <w:spacing w:val="-5"/>
        </w:rPr>
        <w:t> </w:t>
      </w:r>
      <w:r>
        <w:rPr/>
        <w:t>gestión</w:t>
      </w:r>
      <w:r>
        <w:rPr>
          <w:spacing w:val="-6"/>
        </w:rPr>
        <w:t> </w:t>
      </w:r>
      <w:r>
        <w:rPr/>
        <w:t>y conflictos sociales dificulto alcanzar la cobertura programada en la meta 2023.</w:t>
      </w:r>
    </w:p>
    <w:p>
      <w:pPr>
        <w:pStyle w:val="BodyText"/>
        <w:spacing w:line="307" w:lineRule="auto" w:before="156"/>
        <w:ind w:left="143" w:right="703"/>
        <w:jc w:val="both"/>
      </w:pPr>
      <w:r>
        <w:rPr/>
        <w:t>Asimismo, para que la asistencia técnica sea considerada en el numerador del indicador se requiere que se realice las siguientes acciones 2 acompañamientos, 2 asesorías y un proceso de capacitación por lo que el incumplimiento de alguno de ellos impide que se considere en el numerador.</w:t>
      </w:r>
    </w:p>
    <w:p>
      <w:pPr>
        <w:pStyle w:val="BodyText"/>
        <w:spacing w:line="307" w:lineRule="auto" w:before="159"/>
        <w:ind w:left="143" w:right="704"/>
        <w:jc w:val="both"/>
      </w:pPr>
      <w:r>
        <w:rPr/>
        <w:t>En cuanto al indicador de calidad, se puede observar que del año 2022 al 2023 incrementó la cantidad de entidades públicas que incorporaron el enfoque de género</w:t>
      </w:r>
      <w:r>
        <w:rPr>
          <w:spacing w:val="-10"/>
        </w:rPr>
        <w:t> </w:t>
      </w:r>
      <w:r>
        <w:rPr/>
        <w:t>de</w:t>
      </w:r>
      <w:r>
        <w:rPr>
          <w:spacing w:val="-10"/>
        </w:rPr>
        <w:t> </w:t>
      </w:r>
      <w:r>
        <w:rPr/>
        <w:t>6</w:t>
      </w:r>
      <w:r>
        <w:rPr>
          <w:spacing w:val="-11"/>
        </w:rPr>
        <w:t> </w:t>
      </w:r>
      <w:r>
        <w:rPr/>
        <w:t>a</w:t>
      </w:r>
      <w:r>
        <w:rPr>
          <w:spacing w:val="-10"/>
        </w:rPr>
        <w:t> </w:t>
      </w:r>
      <w:r>
        <w:rPr/>
        <w:t>26.</w:t>
      </w:r>
      <w:r>
        <w:rPr>
          <w:spacing w:val="-9"/>
        </w:rPr>
        <w:t> </w:t>
      </w:r>
      <w:r>
        <w:rPr/>
        <w:t>Al</w:t>
      </w:r>
      <w:r>
        <w:rPr>
          <w:spacing w:val="-10"/>
        </w:rPr>
        <w:t> </w:t>
      </w:r>
      <w:r>
        <w:rPr/>
        <w:t>respecto,</w:t>
      </w:r>
      <w:r>
        <w:rPr>
          <w:spacing w:val="-9"/>
        </w:rPr>
        <w:t> </w:t>
      </w:r>
      <w:r>
        <w:rPr/>
        <w:t>es</w:t>
      </w:r>
      <w:r>
        <w:rPr>
          <w:spacing w:val="-12"/>
        </w:rPr>
        <w:t> </w:t>
      </w:r>
      <w:r>
        <w:rPr/>
        <w:t>importante</w:t>
      </w:r>
      <w:r>
        <w:rPr>
          <w:spacing w:val="-12"/>
        </w:rPr>
        <w:t> </w:t>
      </w:r>
      <w:r>
        <w:rPr/>
        <w:t>mencionar</w:t>
      </w:r>
      <w:r>
        <w:rPr>
          <w:spacing w:val="-13"/>
        </w:rPr>
        <w:t> </w:t>
      </w:r>
      <w:r>
        <w:rPr/>
        <w:t>que</w:t>
      </w:r>
      <w:r>
        <w:rPr>
          <w:spacing w:val="-10"/>
        </w:rPr>
        <w:t> </w:t>
      </w:r>
      <w:r>
        <w:rPr/>
        <w:t>la</w:t>
      </w:r>
      <w:r>
        <w:rPr>
          <w:spacing w:val="-13"/>
        </w:rPr>
        <w:t> </w:t>
      </w:r>
      <w:r>
        <w:rPr/>
        <w:t>DTEG</w:t>
      </w:r>
      <w:r>
        <w:rPr>
          <w:spacing w:val="-12"/>
        </w:rPr>
        <w:t> </w:t>
      </w:r>
      <w:r>
        <w:rPr/>
        <w:t>diseñó</w:t>
      </w:r>
      <w:r>
        <w:rPr>
          <w:spacing w:val="-10"/>
        </w:rPr>
        <w:t> </w:t>
      </w:r>
      <w:r>
        <w:rPr/>
        <w:t>una herramienta de autodiagnóstico que permite a las entidades públicas conocer cuál es el nivel de incorporación del enfoque de género en la producción de bienes y servicios. En ese sentido, para considerar a una entidad pública en el numerador del indicador de calidad se requiere que registe al menos un 60%</w:t>
      </w:r>
      <w:r>
        <w:rPr>
          <w:spacing w:val="40"/>
        </w:rPr>
        <w:t> </w:t>
      </w:r>
      <w:r>
        <w:rPr/>
        <w:t>de respuestas correctas en la herramienta de autodiagnóstico. Esto significa que</w:t>
      </w:r>
      <w:r>
        <w:rPr>
          <w:spacing w:val="30"/>
        </w:rPr>
        <w:t> </w:t>
      </w:r>
      <w:r>
        <w:rPr/>
        <w:t>el</w:t>
      </w:r>
      <w:r>
        <w:rPr>
          <w:spacing w:val="28"/>
        </w:rPr>
        <w:t> </w:t>
      </w:r>
      <w:r>
        <w:rPr/>
        <w:t>indicador</w:t>
      </w:r>
      <w:r>
        <w:rPr>
          <w:spacing w:val="30"/>
        </w:rPr>
        <w:t> </w:t>
      </w:r>
      <w:r>
        <w:rPr/>
        <w:t>solo</w:t>
      </w:r>
      <w:r>
        <w:rPr>
          <w:spacing w:val="28"/>
        </w:rPr>
        <w:t> </w:t>
      </w:r>
      <w:r>
        <w:rPr/>
        <w:t>identifica</w:t>
      </w:r>
      <w:r>
        <w:rPr>
          <w:spacing w:val="26"/>
        </w:rPr>
        <w:t> </w:t>
      </w:r>
      <w:r>
        <w:rPr/>
        <w:t>en</w:t>
      </w:r>
      <w:r>
        <w:rPr>
          <w:spacing w:val="30"/>
        </w:rPr>
        <w:t> </w:t>
      </w:r>
      <w:r>
        <w:rPr/>
        <w:t>el</w:t>
      </w:r>
      <w:r>
        <w:rPr>
          <w:spacing w:val="30"/>
        </w:rPr>
        <w:t> </w:t>
      </w:r>
      <w:r>
        <w:rPr/>
        <w:t>numerador</w:t>
      </w:r>
      <w:r>
        <w:rPr>
          <w:spacing w:val="30"/>
        </w:rPr>
        <w:t> </w:t>
      </w:r>
      <w:r>
        <w:rPr/>
        <w:t>a</w:t>
      </w:r>
      <w:r>
        <w:rPr>
          <w:spacing w:val="26"/>
        </w:rPr>
        <w:t> </w:t>
      </w:r>
      <w:r>
        <w:rPr/>
        <w:t>las</w:t>
      </w:r>
      <w:r>
        <w:rPr>
          <w:spacing w:val="28"/>
        </w:rPr>
        <w:t> </w:t>
      </w:r>
      <w:r>
        <w:rPr/>
        <w:t>entidades</w:t>
      </w:r>
      <w:r>
        <w:rPr>
          <w:spacing w:val="25"/>
        </w:rPr>
        <w:t> </w:t>
      </w:r>
      <w:r>
        <w:rPr/>
        <w:t>públicas</w:t>
      </w:r>
      <w:r>
        <w:rPr>
          <w:spacing w:val="30"/>
        </w:rPr>
        <w:t> </w:t>
      </w:r>
      <w:r>
        <w:rPr/>
        <w:t>que</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2"/>
        <w:jc w:val="both"/>
      </w:pPr>
      <w:r>
        <w:rPr>
          <w:w w:val="105"/>
        </w:rPr>
        <w:t>alcanzan</w:t>
      </w:r>
      <w:r>
        <w:rPr>
          <w:w w:val="105"/>
        </w:rPr>
        <w:t> el</w:t>
      </w:r>
      <w:r>
        <w:rPr>
          <w:w w:val="105"/>
        </w:rPr>
        <w:t> estándar</w:t>
      </w:r>
      <w:r>
        <w:rPr>
          <w:w w:val="105"/>
        </w:rPr>
        <w:t> mínimo</w:t>
      </w:r>
      <w:r>
        <w:rPr>
          <w:w w:val="105"/>
        </w:rPr>
        <w:t> requerido,</w:t>
      </w:r>
      <w:r>
        <w:rPr>
          <w:w w:val="105"/>
        </w:rPr>
        <w:t> pero</w:t>
      </w:r>
      <w:r>
        <w:rPr>
          <w:w w:val="105"/>
        </w:rPr>
        <w:t> no</w:t>
      </w:r>
      <w:r>
        <w:rPr>
          <w:w w:val="105"/>
        </w:rPr>
        <w:t> visibiliza</w:t>
      </w:r>
      <w:r>
        <w:rPr>
          <w:w w:val="105"/>
        </w:rPr>
        <w:t> el</w:t>
      </w:r>
      <w:r>
        <w:rPr>
          <w:w w:val="105"/>
        </w:rPr>
        <w:t> avance</w:t>
      </w:r>
      <w:r>
        <w:rPr>
          <w:w w:val="105"/>
        </w:rPr>
        <w:t> en</w:t>
      </w:r>
      <w:r>
        <w:rPr>
          <w:w w:val="105"/>
        </w:rPr>
        <w:t> la incorporación</w:t>
      </w:r>
      <w:r>
        <w:rPr>
          <w:spacing w:val="-9"/>
          <w:w w:val="105"/>
        </w:rPr>
        <w:t> </w:t>
      </w:r>
      <w:r>
        <w:rPr>
          <w:w w:val="105"/>
        </w:rPr>
        <w:t>del</w:t>
      </w:r>
      <w:r>
        <w:rPr>
          <w:spacing w:val="-8"/>
          <w:w w:val="105"/>
        </w:rPr>
        <w:t> </w:t>
      </w:r>
      <w:r>
        <w:rPr>
          <w:w w:val="105"/>
        </w:rPr>
        <w:t>enfoque</w:t>
      </w:r>
      <w:r>
        <w:rPr>
          <w:spacing w:val="-9"/>
          <w:w w:val="105"/>
        </w:rPr>
        <w:t> </w:t>
      </w:r>
      <w:r>
        <w:rPr>
          <w:w w:val="105"/>
        </w:rPr>
        <w:t>de</w:t>
      </w:r>
      <w:r>
        <w:rPr>
          <w:spacing w:val="-9"/>
          <w:w w:val="105"/>
        </w:rPr>
        <w:t> </w:t>
      </w:r>
      <w:r>
        <w:rPr>
          <w:w w:val="105"/>
        </w:rPr>
        <w:t>género</w:t>
      </w:r>
      <w:r>
        <w:rPr>
          <w:spacing w:val="-8"/>
          <w:w w:val="105"/>
        </w:rPr>
        <w:t> </w:t>
      </w:r>
      <w:r>
        <w:rPr>
          <w:w w:val="105"/>
        </w:rPr>
        <w:t>por</w:t>
      </w:r>
      <w:r>
        <w:rPr>
          <w:spacing w:val="-9"/>
          <w:w w:val="105"/>
        </w:rPr>
        <w:t> </w:t>
      </w:r>
      <w:r>
        <w:rPr>
          <w:w w:val="105"/>
        </w:rPr>
        <w:t>debajo</w:t>
      </w:r>
      <w:r>
        <w:rPr>
          <w:spacing w:val="-10"/>
          <w:w w:val="105"/>
        </w:rPr>
        <w:t> </w:t>
      </w:r>
      <w:r>
        <w:rPr>
          <w:w w:val="105"/>
        </w:rPr>
        <w:t>de</w:t>
      </w:r>
      <w:r>
        <w:rPr>
          <w:spacing w:val="-9"/>
          <w:w w:val="105"/>
        </w:rPr>
        <w:t> </w:t>
      </w:r>
      <w:r>
        <w:rPr>
          <w:w w:val="105"/>
        </w:rPr>
        <w:t>ese</w:t>
      </w:r>
      <w:r>
        <w:rPr>
          <w:spacing w:val="-9"/>
          <w:w w:val="105"/>
        </w:rPr>
        <w:t> </w:t>
      </w:r>
      <w:r>
        <w:rPr>
          <w:w w:val="105"/>
        </w:rPr>
        <w:t>estándar.</w:t>
      </w:r>
    </w:p>
    <w:p>
      <w:pPr>
        <w:pStyle w:val="BodyText"/>
        <w:spacing w:line="309" w:lineRule="auto" w:before="158"/>
        <w:ind w:left="143" w:right="716"/>
        <w:jc w:val="both"/>
      </w:pPr>
      <w:r>
        <w:rPr/>
        <w:t>Por otro lado, el servicio identifica que es necesario implementar las siguientes </w:t>
      </w:r>
      <w:r>
        <w:rPr>
          <w:w w:val="105"/>
        </w:rPr>
        <w:t>medidas</w:t>
      </w:r>
      <w:r>
        <w:rPr>
          <w:spacing w:val="-12"/>
          <w:w w:val="105"/>
        </w:rPr>
        <w:t> </w:t>
      </w:r>
      <w:r>
        <w:rPr>
          <w:w w:val="105"/>
        </w:rPr>
        <w:t>para</w:t>
      </w:r>
      <w:r>
        <w:rPr>
          <w:spacing w:val="-13"/>
          <w:w w:val="105"/>
        </w:rPr>
        <w:t> </w:t>
      </w:r>
      <w:r>
        <w:rPr>
          <w:w w:val="105"/>
        </w:rPr>
        <w:t>afrontar</w:t>
      </w:r>
      <w:r>
        <w:rPr>
          <w:spacing w:val="-15"/>
          <w:w w:val="105"/>
        </w:rPr>
        <w:t> </w:t>
      </w:r>
      <w:r>
        <w:rPr>
          <w:w w:val="105"/>
        </w:rPr>
        <w:t>el</w:t>
      </w:r>
      <w:r>
        <w:rPr>
          <w:spacing w:val="-12"/>
          <w:w w:val="105"/>
        </w:rPr>
        <w:t> </w:t>
      </w:r>
      <w:r>
        <w:rPr>
          <w:w w:val="105"/>
        </w:rPr>
        <w:t>bajo</w:t>
      </w:r>
      <w:r>
        <w:rPr>
          <w:spacing w:val="-12"/>
          <w:w w:val="105"/>
        </w:rPr>
        <w:t> </w:t>
      </w:r>
      <w:r>
        <w:rPr>
          <w:w w:val="105"/>
        </w:rPr>
        <w:t>nivel</w:t>
      </w:r>
      <w:r>
        <w:rPr>
          <w:spacing w:val="-12"/>
          <w:w w:val="105"/>
        </w:rPr>
        <w:t> </w:t>
      </w:r>
      <w:r>
        <w:rPr>
          <w:w w:val="105"/>
        </w:rPr>
        <w:t>de</w:t>
      </w:r>
      <w:r>
        <w:rPr>
          <w:spacing w:val="-15"/>
          <w:w w:val="105"/>
        </w:rPr>
        <w:t> </w:t>
      </w:r>
      <w:r>
        <w:rPr>
          <w:w w:val="105"/>
        </w:rPr>
        <w:t>cumplimiento</w:t>
      </w:r>
      <w:r>
        <w:rPr>
          <w:spacing w:val="-14"/>
          <w:w w:val="105"/>
        </w:rPr>
        <w:t> </w:t>
      </w:r>
      <w:r>
        <w:rPr>
          <w:w w:val="105"/>
        </w:rPr>
        <w:t>del</w:t>
      </w:r>
      <w:r>
        <w:rPr>
          <w:spacing w:val="-14"/>
          <w:w w:val="105"/>
        </w:rPr>
        <w:t> </w:t>
      </w:r>
      <w:r>
        <w:rPr>
          <w:w w:val="105"/>
        </w:rPr>
        <w:t>indicador</w:t>
      </w:r>
      <w:r>
        <w:rPr>
          <w:spacing w:val="-5"/>
          <w:w w:val="105"/>
        </w:rPr>
        <w:t> </w:t>
      </w:r>
      <w:r>
        <w:rPr>
          <w:w w:val="105"/>
        </w:rPr>
        <w:t>de</w:t>
      </w:r>
      <w:r>
        <w:rPr>
          <w:spacing w:val="-13"/>
          <w:w w:val="105"/>
        </w:rPr>
        <w:t> </w:t>
      </w:r>
      <w:r>
        <w:rPr>
          <w:w w:val="105"/>
        </w:rPr>
        <w:t>calidad:</w:t>
      </w:r>
    </w:p>
    <w:p>
      <w:pPr>
        <w:pStyle w:val="ListParagraph"/>
        <w:numPr>
          <w:ilvl w:val="0"/>
          <w:numId w:val="15"/>
        </w:numPr>
        <w:tabs>
          <w:tab w:pos="862" w:val="left" w:leader="none"/>
        </w:tabs>
        <w:spacing w:line="304" w:lineRule="auto" w:before="138" w:after="0"/>
        <w:ind w:left="862" w:right="706" w:hanging="360"/>
        <w:jc w:val="both"/>
        <w:rPr>
          <w:sz w:val="24"/>
        </w:rPr>
      </w:pPr>
      <w:r>
        <w:rPr>
          <w:sz w:val="24"/>
        </w:rPr>
        <w:t>Priorizar la implementación de acciones de mejora que permitan brindar una asistencia técnica con el estándar requerido para que las entidades </w:t>
      </w:r>
      <w:r>
        <w:rPr>
          <w:w w:val="105"/>
          <w:sz w:val="24"/>
        </w:rPr>
        <w:t>logren incorporar el enfoque de género.</w:t>
      </w:r>
    </w:p>
    <w:p>
      <w:pPr>
        <w:pStyle w:val="ListParagraph"/>
        <w:numPr>
          <w:ilvl w:val="0"/>
          <w:numId w:val="15"/>
        </w:numPr>
        <w:tabs>
          <w:tab w:pos="861" w:val="left" w:leader="none"/>
        </w:tabs>
        <w:spacing w:line="278" w:lineRule="exact" w:before="0" w:after="0"/>
        <w:ind w:left="861" w:right="0" w:hanging="359"/>
        <w:jc w:val="both"/>
        <w:rPr>
          <w:sz w:val="24"/>
        </w:rPr>
      </w:pPr>
      <w:r>
        <w:rPr>
          <w:spacing w:val="-2"/>
          <w:sz w:val="24"/>
        </w:rPr>
        <w:t>Fortalecer</w:t>
      </w:r>
      <w:r>
        <w:rPr>
          <w:spacing w:val="-10"/>
          <w:sz w:val="24"/>
        </w:rPr>
        <w:t> </w:t>
      </w:r>
      <w:r>
        <w:rPr>
          <w:spacing w:val="-2"/>
          <w:sz w:val="24"/>
        </w:rPr>
        <w:t>las</w:t>
      </w:r>
      <w:r>
        <w:rPr>
          <w:spacing w:val="-8"/>
          <w:sz w:val="24"/>
        </w:rPr>
        <w:t> </w:t>
      </w:r>
      <w:r>
        <w:rPr>
          <w:spacing w:val="-2"/>
          <w:sz w:val="24"/>
        </w:rPr>
        <w:t>capacidades</w:t>
      </w:r>
      <w:r>
        <w:rPr>
          <w:spacing w:val="-8"/>
          <w:sz w:val="24"/>
        </w:rPr>
        <w:t> </w:t>
      </w:r>
      <w:r>
        <w:rPr>
          <w:spacing w:val="-2"/>
          <w:sz w:val="24"/>
        </w:rPr>
        <w:t>del</w:t>
      </w:r>
      <w:r>
        <w:rPr>
          <w:spacing w:val="-8"/>
          <w:sz w:val="24"/>
        </w:rPr>
        <w:t> </w:t>
      </w:r>
      <w:r>
        <w:rPr>
          <w:spacing w:val="-2"/>
          <w:sz w:val="24"/>
        </w:rPr>
        <w:t>equipo</w:t>
      </w:r>
      <w:r>
        <w:rPr>
          <w:spacing w:val="-8"/>
          <w:sz w:val="24"/>
        </w:rPr>
        <w:t> </w:t>
      </w:r>
      <w:r>
        <w:rPr>
          <w:spacing w:val="-2"/>
          <w:sz w:val="24"/>
        </w:rPr>
        <w:t>técnico</w:t>
      </w:r>
      <w:r>
        <w:rPr>
          <w:spacing w:val="-8"/>
          <w:sz w:val="24"/>
        </w:rPr>
        <w:t> </w:t>
      </w:r>
      <w:r>
        <w:rPr>
          <w:spacing w:val="-2"/>
          <w:sz w:val="24"/>
        </w:rPr>
        <w:t>de</w:t>
      </w:r>
      <w:r>
        <w:rPr>
          <w:spacing w:val="-9"/>
          <w:sz w:val="24"/>
        </w:rPr>
        <w:t> </w:t>
      </w:r>
      <w:r>
        <w:rPr>
          <w:spacing w:val="-2"/>
          <w:sz w:val="24"/>
        </w:rPr>
        <w:t>la</w:t>
      </w:r>
      <w:r>
        <w:rPr>
          <w:spacing w:val="-7"/>
          <w:sz w:val="24"/>
        </w:rPr>
        <w:t> </w:t>
      </w:r>
      <w:r>
        <w:rPr>
          <w:spacing w:val="-2"/>
          <w:sz w:val="24"/>
        </w:rPr>
        <w:t>DTEG</w:t>
      </w:r>
      <w:r>
        <w:rPr>
          <w:spacing w:val="-1"/>
          <w:sz w:val="24"/>
        </w:rPr>
        <w:t> </w:t>
      </w:r>
      <w:r>
        <w:rPr>
          <w:spacing w:val="-2"/>
          <w:sz w:val="24"/>
        </w:rPr>
        <w:t>en</w:t>
      </w:r>
      <w:r>
        <w:rPr>
          <w:spacing w:val="-6"/>
          <w:sz w:val="24"/>
        </w:rPr>
        <w:t> </w:t>
      </w:r>
      <w:r>
        <w:rPr>
          <w:spacing w:val="-2"/>
          <w:sz w:val="24"/>
        </w:rPr>
        <w:t>la</w:t>
      </w:r>
      <w:r>
        <w:rPr>
          <w:spacing w:val="-9"/>
          <w:sz w:val="24"/>
        </w:rPr>
        <w:t> </w:t>
      </w:r>
      <w:r>
        <w:rPr>
          <w:spacing w:val="-2"/>
          <w:sz w:val="24"/>
        </w:rPr>
        <w:t>aplicación</w:t>
      </w:r>
    </w:p>
    <w:p>
      <w:pPr>
        <w:pStyle w:val="BodyText"/>
        <w:spacing w:line="307" w:lineRule="auto" w:before="75"/>
        <w:ind w:left="862" w:right="713"/>
        <w:jc w:val="both"/>
      </w:pPr>
      <w:r>
        <w:rPr/>
        <w:t>del protocolo del servicio 5.1.1 y manejo de herramientas de asistencia </w:t>
      </w:r>
      <w:r>
        <w:rPr>
          <w:spacing w:val="-2"/>
        </w:rPr>
        <w:t>técnica.</w:t>
      </w:r>
    </w:p>
    <w:p>
      <w:pPr>
        <w:pStyle w:val="ListParagraph"/>
        <w:numPr>
          <w:ilvl w:val="0"/>
          <w:numId w:val="15"/>
        </w:numPr>
        <w:tabs>
          <w:tab w:pos="861" w:val="left" w:leader="none"/>
        </w:tabs>
        <w:spacing w:line="275" w:lineRule="exact" w:before="0" w:after="0"/>
        <w:ind w:left="861" w:right="0" w:hanging="359"/>
        <w:jc w:val="both"/>
        <w:rPr>
          <w:sz w:val="24"/>
        </w:rPr>
      </w:pPr>
      <w:r>
        <w:rPr>
          <w:sz w:val="24"/>
        </w:rPr>
        <w:t>Mejorar</w:t>
      </w:r>
      <w:r>
        <w:rPr>
          <w:spacing w:val="76"/>
          <w:sz w:val="24"/>
        </w:rPr>
        <w:t> </w:t>
      </w:r>
      <w:r>
        <w:rPr>
          <w:sz w:val="24"/>
        </w:rPr>
        <w:t>la</w:t>
      </w:r>
      <w:r>
        <w:rPr>
          <w:spacing w:val="77"/>
          <w:sz w:val="24"/>
        </w:rPr>
        <w:t> </w:t>
      </w:r>
      <w:r>
        <w:rPr>
          <w:sz w:val="24"/>
        </w:rPr>
        <w:t>caja</w:t>
      </w:r>
      <w:r>
        <w:rPr>
          <w:spacing w:val="76"/>
          <w:sz w:val="24"/>
        </w:rPr>
        <w:t> </w:t>
      </w:r>
      <w:r>
        <w:rPr>
          <w:sz w:val="24"/>
        </w:rPr>
        <w:t>de</w:t>
      </w:r>
      <w:r>
        <w:rPr>
          <w:spacing w:val="77"/>
          <w:sz w:val="24"/>
        </w:rPr>
        <w:t> </w:t>
      </w:r>
      <w:r>
        <w:rPr>
          <w:sz w:val="24"/>
        </w:rPr>
        <w:t>herramientas</w:t>
      </w:r>
      <w:r>
        <w:rPr>
          <w:spacing w:val="75"/>
          <w:sz w:val="24"/>
        </w:rPr>
        <w:t> </w:t>
      </w:r>
      <w:r>
        <w:rPr>
          <w:sz w:val="24"/>
        </w:rPr>
        <w:t>de</w:t>
      </w:r>
      <w:r>
        <w:rPr>
          <w:spacing w:val="76"/>
          <w:sz w:val="24"/>
        </w:rPr>
        <w:t> </w:t>
      </w:r>
      <w:r>
        <w:rPr>
          <w:sz w:val="24"/>
        </w:rPr>
        <w:t>asistencia</w:t>
      </w:r>
      <w:r>
        <w:rPr>
          <w:spacing w:val="77"/>
          <w:sz w:val="24"/>
        </w:rPr>
        <w:t> </w:t>
      </w:r>
      <w:r>
        <w:rPr>
          <w:sz w:val="24"/>
        </w:rPr>
        <w:t>técnica</w:t>
      </w:r>
      <w:r>
        <w:rPr>
          <w:spacing w:val="76"/>
          <w:sz w:val="24"/>
        </w:rPr>
        <w:t> </w:t>
      </w:r>
      <w:r>
        <w:rPr>
          <w:sz w:val="24"/>
        </w:rPr>
        <w:t>en</w:t>
      </w:r>
      <w:r>
        <w:rPr>
          <w:spacing w:val="77"/>
          <w:sz w:val="24"/>
        </w:rPr>
        <w:t> </w:t>
      </w:r>
      <w:r>
        <w:rPr>
          <w:sz w:val="24"/>
        </w:rPr>
        <w:t>bienes</w:t>
      </w:r>
      <w:r>
        <w:rPr>
          <w:spacing w:val="78"/>
          <w:sz w:val="24"/>
        </w:rPr>
        <w:t> </w:t>
      </w:r>
      <w:r>
        <w:rPr>
          <w:spacing w:val="-10"/>
          <w:sz w:val="24"/>
        </w:rPr>
        <w:t>y</w:t>
      </w:r>
    </w:p>
    <w:p>
      <w:pPr>
        <w:pStyle w:val="BodyText"/>
        <w:spacing w:before="77"/>
        <w:ind w:left="862"/>
      </w:pPr>
      <w:r>
        <w:rPr>
          <w:spacing w:val="-2"/>
        </w:rPr>
        <w:t>servicios.</w:t>
      </w:r>
    </w:p>
    <w:p>
      <w:pPr>
        <w:pStyle w:val="BodyText"/>
        <w:spacing w:line="307" w:lineRule="auto" w:before="235"/>
        <w:ind w:left="143" w:right="703"/>
        <w:jc w:val="both"/>
      </w:pPr>
      <w:r>
        <w:rPr/>
        <w:t>Asimismo, otros factores que podrían contribuir a mejorar el cumplimiento de</w:t>
      </w:r>
      <w:r>
        <w:rPr>
          <w:spacing w:val="40"/>
        </w:rPr>
        <w:t> </w:t>
      </w:r>
      <w:r>
        <w:rPr/>
        <w:t>los indicadores son mayor decisión política de la Alta Dirección del MIMP con respecto a la transversalización del enfoque de género en la gestión pública y mayor articulación con la Alta Dirección de los sectores.</w:t>
      </w:r>
    </w:p>
    <w:p>
      <w:pPr>
        <w:pStyle w:val="BodyText"/>
        <w:spacing w:before="159"/>
        <w:ind w:left="143"/>
        <w:jc w:val="both"/>
      </w:pPr>
      <w:bookmarkStart w:name="_bookmark19" w:id="20"/>
      <w:bookmarkEnd w:id="20"/>
      <w:r>
        <w:rPr/>
      </w:r>
      <w:r>
        <w:rPr>
          <w:color w:val="1F3762"/>
        </w:rPr>
        <w:t>Dificultades</w:t>
      </w:r>
      <w:r>
        <w:rPr>
          <w:color w:val="1F3762"/>
          <w:spacing w:val="-4"/>
        </w:rPr>
        <w:t> </w:t>
      </w:r>
      <w:r>
        <w:rPr>
          <w:color w:val="1F3762"/>
        </w:rPr>
        <w:t>en</w:t>
      </w:r>
      <w:r>
        <w:rPr>
          <w:color w:val="1F3762"/>
          <w:spacing w:val="-4"/>
        </w:rPr>
        <w:t> </w:t>
      </w:r>
      <w:r>
        <w:rPr>
          <w:color w:val="1F3762"/>
        </w:rPr>
        <w:t>la</w:t>
      </w:r>
      <w:r>
        <w:rPr>
          <w:color w:val="1F3762"/>
          <w:spacing w:val="-5"/>
        </w:rPr>
        <w:t> </w:t>
      </w:r>
      <w:r>
        <w:rPr>
          <w:color w:val="1F3762"/>
          <w:spacing w:val="-2"/>
        </w:rPr>
        <w:t>medición</w:t>
      </w:r>
    </w:p>
    <w:p>
      <w:pPr>
        <w:pStyle w:val="BodyText"/>
        <w:spacing w:before="38"/>
      </w:pPr>
    </w:p>
    <w:p>
      <w:pPr>
        <w:spacing w:line="326" w:lineRule="auto" w:before="0"/>
        <w:ind w:left="143" w:right="706" w:firstLine="0"/>
        <w:jc w:val="both"/>
        <w:rPr>
          <w:sz w:val="22"/>
        </w:rPr>
      </w:pPr>
      <w:r>
        <w:rPr>
          <w:sz w:val="22"/>
        </w:rPr>
        <w:t>A</w:t>
      </w:r>
      <w:r>
        <w:rPr>
          <w:spacing w:val="-16"/>
          <w:sz w:val="22"/>
        </w:rPr>
        <w:t> </w:t>
      </w:r>
      <w:r>
        <w:rPr>
          <w:sz w:val="22"/>
        </w:rPr>
        <w:t>continuación,</w:t>
      </w:r>
      <w:r>
        <w:rPr>
          <w:spacing w:val="-15"/>
          <w:sz w:val="22"/>
        </w:rPr>
        <w:t> </w:t>
      </w:r>
      <w:r>
        <w:rPr>
          <w:sz w:val="22"/>
        </w:rPr>
        <w:t>se</w:t>
      </w:r>
      <w:r>
        <w:rPr>
          <w:spacing w:val="-15"/>
          <w:sz w:val="22"/>
        </w:rPr>
        <w:t> </w:t>
      </w:r>
      <w:r>
        <w:rPr>
          <w:sz w:val="22"/>
        </w:rPr>
        <w:t>comparten</w:t>
      </w:r>
      <w:r>
        <w:rPr>
          <w:spacing w:val="-16"/>
          <w:sz w:val="22"/>
        </w:rPr>
        <w:t> </w:t>
      </w:r>
      <w:r>
        <w:rPr>
          <w:sz w:val="22"/>
        </w:rPr>
        <w:t>algunas</w:t>
      </w:r>
      <w:r>
        <w:rPr>
          <w:spacing w:val="-15"/>
          <w:sz w:val="22"/>
        </w:rPr>
        <w:t> </w:t>
      </w:r>
      <w:r>
        <w:rPr>
          <w:sz w:val="22"/>
        </w:rPr>
        <w:t>evidencias</w:t>
      </w:r>
      <w:r>
        <w:rPr>
          <w:spacing w:val="-15"/>
          <w:sz w:val="22"/>
        </w:rPr>
        <w:t> </w:t>
      </w:r>
      <w:r>
        <w:rPr>
          <w:sz w:val="22"/>
        </w:rPr>
        <w:t>que</w:t>
      </w:r>
      <w:r>
        <w:rPr>
          <w:spacing w:val="-15"/>
          <w:sz w:val="22"/>
        </w:rPr>
        <w:t> </w:t>
      </w:r>
      <w:r>
        <w:rPr>
          <w:sz w:val="22"/>
        </w:rPr>
        <w:t>respondan</w:t>
      </w:r>
      <w:r>
        <w:rPr>
          <w:spacing w:val="-16"/>
          <w:sz w:val="22"/>
        </w:rPr>
        <w:t> </w:t>
      </w:r>
      <w:r>
        <w:rPr>
          <w:sz w:val="22"/>
        </w:rPr>
        <w:t>a</w:t>
      </w:r>
      <w:r>
        <w:rPr>
          <w:spacing w:val="-15"/>
          <w:sz w:val="22"/>
        </w:rPr>
        <w:t> </w:t>
      </w:r>
      <w:r>
        <w:rPr>
          <w:sz w:val="22"/>
        </w:rPr>
        <w:t>la</w:t>
      </w:r>
      <w:r>
        <w:rPr>
          <w:spacing w:val="-15"/>
          <w:sz w:val="22"/>
        </w:rPr>
        <w:t> </w:t>
      </w:r>
      <w:r>
        <w:rPr>
          <w:sz w:val="22"/>
        </w:rPr>
        <w:t>pregunta:</w:t>
      </w:r>
      <w:r>
        <w:rPr>
          <w:spacing w:val="-16"/>
          <w:sz w:val="22"/>
        </w:rPr>
        <w:t> </w:t>
      </w:r>
      <w:r>
        <w:rPr>
          <w:sz w:val="22"/>
        </w:rPr>
        <w:t>¿Cuáles fueron los motivos por los cuales no se reportó avance del indicador de servicio en el 2023? Para responder a esta pregunta se analizó la información cualitativa reportada por el servicio y la información reportada por el sector.</w:t>
      </w:r>
    </w:p>
    <w:p>
      <w:pPr>
        <w:pStyle w:val="ListParagraph"/>
        <w:numPr>
          <w:ilvl w:val="2"/>
          <w:numId w:val="3"/>
        </w:numPr>
        <w:tabs>
          <w:tab w:pos="1220" w:val="left" w:leader="none"/>
          <w:tab w:pos="1222" w:val="left" w:leader="none"/>
        </w:tabs>
        <w:spacing w:line="307" w:lineRule="auto" w:before="164" w:after="0"/>
        <w:ind w:left="1222" w:right="710" w:hanging="720"/>
        <w:jc w:val="both"/>
        <w:rPr>
          <w:sz w:val="24"/>
        </w:rPr>
      </w:pPr>
      <w:r>
        <w:rPr>
          <w:color w:val="2E5395"/>
          <w:sz w:val="24"/>
        </w:rPr>
        <w:t>Servicio 04.03.07: Seguimiento y monitoreo para el cumplimiento de la implementación y funcionamiento de los lactarios institucionales.</w:t>
      </w:r>
    </w:p>
    <w:p>
      <w:pPr>
        <w:pStyle w:val="BodyText"/>
        <w:spacing w:before="174"/>
      </w:pPr>
    </w:p>
    <w:p>
      <w:pPr>
        <w:pStyle w:val="ListParagraph"/>
        <w:numPr>
          <w:ilvl w:val="3"/>
          <w:numId w:val="3"/>
        </w:numPr>
        <w:tabs>
          <w:tab w:pos="861" w:val="left" w:leader="none"/>
        </w:tabs>
        <w:spacing w:line="240" w:lineRule="auto" w:before="0" w:after="0"/>
        <w:ind w:left="861" w:right="0" w:hanging="359"/>
        <w:jc w:val="both"/>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before="39"/>
        <w:rPr>
          <w:rFonts w:ascii="Arial"/>
          <w:i/>
        </w:rPr>
      </w:pPr>
    </w:p>
    <w:p>
      <w:pPr>
        <w:pStyle w:val="BodyText"/>
        <w:spacing w:line="307" w:lineRule="auto" w:before="1"/>
        <w:ind w:left="143" w:right="712"/>
        <w:jc w:val="both"/>
      </w:pPr>
      <w:r>
        <w:rPr/>
        <w:t>El servicio</w:t>
      </w:r>
      <w:r>
        <w:rPr>
          <w:spacing w:val="-1"/>
        </w:rPr>
        <w:t> </w:t>
      </w:r>
      <w:r>
        <w:rPr/>
        <w:t>consiste</w:t>
      </w:r>
      <w:r>
        <w:rPr>
          <w:spacing w:val="-3"/>
        </w:rPr>
        <w:t> </w:t>
      </w:r>
      <w:r>
        <w:rPr/>
        <w:t>en</w:t>
      </w:r>
      <w:r>
        <w:rPr>
          <w:spacing w:val="-3"/>
        </w:rPr>
        <w:t> </w:t>
      </w:r>
      <w:r>
        <w:rPr/>
        <w:t>realizar</w:t>
      </w:r>
      <w:r>
        <w:rPr>
          <w:spacing w:val="-3"/>
        </w:rPr>
        <w:t> </w:t>
      </w:r>
      <w:r>
        <w:rPr/>
        <w:t>a</w:t>
      </w:r>
      <w:r>
        <w:rPr>
          <w:spacing w:val="-1"/>
        </w:rPr>
        <w:t> </w:t>
      </w:r>
      <w:r>
        <w:rPr/>
        <w:t>nivel</w:t>
      </w:r>
      <w:r>
        <w:rPr>
          <w:spacing w:val="-2"/>
        </w:rPr>
        <w:t> </w:t>
      </w:r>
      <w:r>
        <w:rPr/>
        <w:t>nacional,</w:t>
      </w:r>
      <w:r>
        <w:rPr>
          <w:spacing w:val="-2"/>
        </w:rPr>
        <w:t> </w:t>
      </w:r>
      <w:r>
        <w:rPr/>
        <w:t>las</w:t>
      </w:r>
      <w:r>
        <w:rPr>
          <w:spacing w:val="-2"/>
        </w:rPr>
        <w:t> </w:t>
      </w:r>
      <w:r>
        <w:rPr/>
        <w:t>visitas</w:t>
      </w:r>
      <w:r>
        <w:rPr>
          <w:spacing w:val="-2"/>
        </w:rPr>
        <w:t> </w:t>
      </w:r>
      <w:r>
        <w:rPr/>
        <w:t>en</w:t>
      </w:r>
      <w:r>
        <w:rPr>
          <w:spacing w:val="-1"/>
        </w:rPr>
        <w:t> </w:t>
      </w:r>
      <w:r>
        <w:rPr/>
        <w:t>modo</w:t>
      </w:r>
      <w:r>
        <w:rPr>
          <w:spacing w:val="-5"/>
        </w:rPr>
        <w:t> </w:t>
      </w:r>
      <w:r>
        <w:rPr/>
        <w:t>presencial</w:t>
      </w:r>
      <w:r>
        <w:rPr>
          <w:spacing w:val="-5"/>
        </w:rPr>
        <w:t> </w:t>
      </w:r>
      <w:r>
        <w:rPr/>
        <w:t>o virtual</w:t>
      </w:r>
      <w:r>
        <w:rPr>
          <w:spacing w:val="-8"/>
        </w:rPr>
        <w:t> </w:t>
      </w:r>
      <w:r>
        <w:rPr/>
        <w:t>a</w:t>
      </w:r>
      <w:r>
        <w:rPr>
          <w:spacing w:val="-9"/>
        </w:rPr>
        <w:t> </w:t>
      </w:r>
      <w:r>
        <w:rPr/>
        <w:t>los</w:t>
      </w:r>
      <w:r>
        <w:rPr>
          <w:spacing w:val="-8"/>
        </w:rPr>
        <w:t> </w:t>
      </w:r>
      <w:r>
        <w:rPr/>
        <w:t>centros</w:t>
      </w:r>
      <w:r>
        <w:rPr>
          <w:spacing w:val="-8"/>
        </w:rPr>
        <w:t> </w:t>
      </w:r>
      <w:r>
        <w:rPr/>
        <w:t>de</w:t>
      </w:r>
      <w:r>
        <w:rPr>
          <w:spacing w:val="-11"/>
        </w:rPr>
        <w:t> </w:t>
      </w:r>
      <w:r>
        <w:rPr/>
        <w:t>trabajo</w:t>
      </w:r>
      <w:r>
        <w:rPr>
          <w:spacing w:val="-8"/>
        </w:rPr>
        <w:t> </w:t>
      </w:r>
      <w:r>
        <w:rPr/>
        <w:t>del</w:t>
      </w:r>
      <w:r>
        <w:rPr>
          <w:spacing w:val="-6"/>
        </w:rPr>
        <w:t> </w:t>
      </w:r>
      <w:r>
        <w:rPr/>
        <w:t>sector</w:t>
      </w:r>
      <w:r>
        <w:rPr>
          <w:spacing w:val="-8"/>
        </w:rPr>
        <w:t> </w:t>
      </w:r>
      <w:r>
        <w:rPr/>
        <w:t>público</w:t>
      </w:r>
      <w:r>
        <w:rPr>
          <w:spacing w:val="-4"/>
        </w:rPr>
        <w:t> </w:t>
      </w:r>
      <w:r>
        <w:rPr/>
        <w:t>y</w:t>
      </w:r>
      <w:r>
        <w:rPr>
          <w:spacing w:val="-8"/>
        </w:rPr>
        <w:t> </w:t>
      </w:r>
      <w:r>
        <w:rPr/>
        <w:t>privado,</w:t>
      </w:r>
      <w:r>
        <w:rPr>
          <w:spacing w:val="-6"/>
        </w:rPr>
        <w:t> </w:t>
      </w:r>
      <w:r>
        <w:rPr/>
        <w:t>donde</w:t>
      </w:r>
      <w:r>
        <w:rPr>
          <w:spacing w:val="-8"/>
        </w:rPr>
        <w:t> </w:t>
      </w:r>
      <w:r>
        <w:rPr/>
        <w:t>laboren</w:t>
      </w:r>
      <w:r>
        <w:rPr>
          <w:spacing w:val="-5"/>
        </w:rPr>
        <w:t> </w:t>
      </w:r>
      <w:r>
        <w:rPr/>
        <w:t>veinte</w:t>
      </w:r>
    </w:p>
    <w:p>
      <w:pPr>
        <w:pStyle w:val="BodyText"/>
        <w:spacing w:line="307" w:lineRule="auto"/>
        <w:ind w:left="143" w:right="708"/>
        <w:jc w:val="both"/>
      </w:pPr>
      <w:r>
        <w:rPr/>
        <w:t>(20) o más mujeres en edad fértil, para la verificación del cumplimiento de los requisitos y condiciones mínimas establecidas para la implementación y funcionamiento del lactario institucional en la Ley N° 29896, Ley que establece la</w:t>
      </w:r>
      <w:r>
        <w:rPr>
          <w:spacing w:val="-8"/>
        </w:rPr>
        <w:t> </w:t>
      </w:r>
      <w:r>
        <w:rPr/>
        <w:t>implementación</w:t>
      </w:r>
      <w:r>
        <w:rPr>
          <w:spacing w:val="-8"/>
        </w:rPr>
        <w:t> </w:t>
      </w:r>
      <w:r>
        <w:rPr/>
        <w:t>de</w:t>
      </w:r>
      <w:r>
        <w:rPr>
          <w:spacing w:val="-10"/>
        </w:rPr>
        <w:t> </w:t>
      </w:r>
      <w:r>
        <w:rPr/>
        <w:t>lactarios</w:t>
      </w:r>
      <w:r>
        <w:rPr>
          <w:spacing w:val="-6"/>
        </w:rPr>
        <w:t> </w:t>
      </w:r>
      <w:r>
        <w:rPr/>
        <w:t>en</w:t>
      </w:r>
      <w:r>
        <w:rPr>
          <w:spacing w:val="-10"/>
        </w:rPr>
        <w:t> </w:t>
      </w:r>
      <w:r>
        <w:rPr/>
        <w:t>las</w:t>
      </w:r>
      <w:r>
        <w:rPr>
          <w:spacing w:val="-6"/>
        </w:rPr>
        <w:t> </w:t>
      </w:r>
      <w:r>
        <w:rPr/>
        <w:t>instituciones</w:t>
      </w:r>
      <w:r>
        <w:rPr>
          <w:spacing w:val="-6"/>
        </w:rPr>
        <w:t> </w:t>
      </w:r>
      <w:r>
        <w:rPr/>
        <w:t>del</w:t>
      </w:r>
      <w:r>
        <w:rPr>
          <w:spacing w:val="-6"/>
        </w:rPr>
        <w:t> </w:t>
      </w:r>
      <w:r>
        <w:rPr/>
        <w:t>sector</w:t>
      </w:r>
      <w:r>
        <w:rPr>
          <w:spacing w:val="-8"/>
        </w:rPr>
        <w:t> </w:t>
      </w:r>
      <w:r>
        <w:rPr/>
        <w:t>público</w:t>
      </w:r>
      <w:r>
        <w:rPr>
          <w:spacing w:val="-6"/>
        </w:rPr>
        <w:t> </w:t>
      </w:r>
      <w:r>
        <w:rPr/>
        <w:t>y</w:t>
      </w:r>
      <w:r>
        <w:rPr>
          <w:spacing w:val="-8"/>
        </w:rPr>
        <w:t> </w:t>
      </w:r>
      <w:r>
        <w:rPr/>
        <w:t>del</w:t>
      </w:r>
      <w:r>
        <w:rPr>
          <w:spacing w:val="-6"/>
        </w:rPr>
        <w:t> </w:t>
      </w:r>
      <w:r>
        <w:rPr/>
        <w:t>sector privado promoviendo la lactancia materna, en adelante la Ley, y su norma </w:t>
      </w:r>
      <w:r>
        <w:rPr>
          <w:spacing w:val="-2"/>
        </w:rPr>
        <w:t>reglamentaria.</w:t>
      </w:r>
    </w:p>
    <w:p>
      <w:pPr>
        <w:pStyle w:val="BodyText"/>
        <w:spacing w:line="307" w:lineRule="auto" w:before="155"/>
        <w:ind w:left="143" w:right="703"/>
        <w:jc w:val="both"/>
      </w:pPr>
      <w:r>
        <w:rPr/>
        <w:t>El sector responsable del servicio es el MIMP y el responsable de la provisión del</w:t>
      </w:r>
      <w:r>
        <w:rPr>
          <w:spacing w:val="-1"/>
        </w:rPr>
        <w:t> </w:t>
      </w:r>
      <w:r>
        <w:rPr/>
        <w:t>servicio es la Dirección</w:t>
      </w:r>
      <w:r>
        <w:rPr>
          <w:spacing w:val="-2"/>
        </w:rPr>
        <w:t> </w:t>
      </w:r>
      <w:r>
        <w:rPr/>
        <w:t>de Fortalecimiento de</w:t>
      </w:r>
      <w:r>
        <w:rPr>
          <w:spacing w:val="-1"/>
        </w:rPr>
        <w:t> </w:t>
      </w:r>
      <w:r>
        <w:rPr/>
        <w:t>las Familias (DIFF) del MIMP.</w:t>
      </w:r>
    </w:p>
    <w:p>
      <w:pPr>
        <w:pStyle w:val="BodyText"/>
        <w:spacing w:after="0" w:line="307" w:lineRule="auto"/>
        <w:jc w:val="both"/>
        <w:sectPr>
          <w:pgSz w:w="11910" w:h="16840"/>
          <w:pgMar w:header="713" w:footer="1000" w:top="1420" w:bottom="1200" w:left="1559" w:right="992"/>
        </w:sectPr>
      </w:pPr>
    </w:p>
    <w:p>
      <w:pPr>
        <w:spacing w:line="307" w:lineRule="auto" w:before="123"/>
        <w:ind w:left="143" w:right="703" w:firstLine="0"/>
        <w:jc w:val="both"/>
        <w:rPr>
          <w:rFonts w:ascii="Arial" w:hAnsi="Arial"/>
          <w:i/>
          <w:sz w:val="24"/>
        </w:rPr>
      </w:pPr>
      <w:r>
        <w:rPr>
          <w:sz w:val="24"/>
        </w:rPr>
        <w:t>Así, en el marco de la política, la eficacia del servicio se mide a través del </w:t>
      </w:r>
      <w:r>
        <w:rPr>
          <w:spacing w:val="-6"/>
          <w:sz w:val="24"/>
        </w:rPr>
        <w:t>indicador “</w:t>
      </w:r>
      <w:r>
        <w:rPr>
          <w:rFonts w:ascii="Arial" w:hAnsi="Arial"/>
          <w:i/>
          <w:spacing w:val="-6"/>
          <w:sz w:val="24"/>
        </w:rPr>
        <w:t>Porcentaje de centros de trabajo con 20 o más trabajadoras en edad fértil </w:t>
      </w:r>
      <w:r>
        <w:rPr>
          <w:rFonts w:ascii="Arial" w:hAnsi="Arial"/>
          <w:i/>
          <w:sz w:val="24"/>
        </w:rPr>
        <w:t>que son monitoreados para el cumplimiento y funcionamiento del lactario” </w:t>
      </w:r>
      <w:r>
        <w:rPr>
          <w:sz w:val="24"/>
        </w:rPr>
        <w:t>y la </w:t>
      </w:r>
      <w:r>
        <w:rPr>
          <w:spacing w:val="-2"/>
          <w:sz w:val="24"/>
        </w:rPr>
        <w:t>calidad</w:t>
      </w:r>
      <w:r>
        <w:rPr>
          <w:spacing w:val="-12"/>
          <w:sz w:val="24"/>
        </w:rPr>
        <w:t> </w:t>
      </w:r>
      <w:r>
        <w:rPr>
          <w:spacing w:val="-2"/>
          <w:sz w:val="24"/>
        </w:rPr>
        <w:t>a</w:t>
      </w:r>
      <w:r>
        <w:rPr>
          <w:spacing w:val="-11"/>
          <w:sz w:val="24"/>
        </w:rPr>
        <w:t> </w:t>
      </w:r>
      <w:r>
        <w:rPr>
          <w:spacing w:val="-2"/>
          <w:sz w:val="24"/>
        </w:rPr>
        <w:t>través</w:t>
      </w:r>
      <w:r>
        <w:rPr>
          <w:spacing w:val="-13"/>
          <w:sz w:val="24"/>
        </w:rPr>
        <w:t> </w:t>
      </w:r>
      <w:r>
        <w:rPr>
          <w:spacing w:val="-2"/>
          <w:sz w:val="24"/>
        </w:rPr>
        <w:t>de</w:t>
      </w:r>
      <w:r>
        <w:rPr>
          <w:spacing w:val="-11"/>
          <w:sz w:val="24"/>
        </w:rPr>
        <w:t> </w:t>
      </w:r>
      <w:r>
        <w:rPr>
          <w:rFonts w:ascii="Arial" w:hAnsi="Arial"/>
          <w:i/>
          <w:spacing w:val="-2"/>
          <w:sz w:val="24"/>
        </w:rPr>
        <w:t>“Porcentaje</w:t>
      </w:r>
      <w:r>
        <w:rPr>
          <w:rFonts w:ascii="Arial" w:hAnsi="Arial"/>
          <w:i/>
          <w:spacing w:val="-12"/>
          <w:sz w:val="24"/>
        </w:rPr>
        <w:t> </w:t>
      </w:r>
      <w:r>
        <w:rPr>
          <w:rFonts w:ascii="Arial" w:hAnsi="Arial"/>
          <w:i/>
          <w:spacing w:val="-2"/>
          <w:sz w:val="24"/>
        </w:rPr>
        <w:t>de</w:t>
      </w:r>
      <w:r>
        <w:rPr>
          <w:rFonts w:ascii="Arial" w:hAnsi="Arial"/>
          <w:i/>
          <w:spacing w:val="-12"/>
          <w:sz w:val="24"/>
        </w:rPr>
        <w:t> </w:t>
      </w:r>
      <w:r>
        <w:rPr>
          <w:rFonts w:ascii="Arial" w:hAnsi="Arial"/>
          <w:i/>
          <w:spacing w:val="-2"/>
          <w:sz w:val="24"/>
        </w:rPr>
        <w:t>mujeres</w:t>
      </w:r>
      <w:r>
        <w:rPr>
          <w:rFonts w:ascii="Arial" w:hAnsi="Arial"/>
          <w:i/>
          <w:spacing w:val="-12"/>
          <w:sz w:val="24"/>
        </w:rPr>
        <w:t> </w:t>
      </w:r>
      <w:r>
        <w:rPr>
          <w:rFonts w:ascii="Arial" w:hAnsi="Arial"/>
          <w:i/>
          <w:spacing w:val="-2"/>
          <w:sz w:val="24"/>
        </w:rPr>
        <w:t>en</w:t>
      </w:r>
      <w:r>
        <w:rPr>
          <w:rFonts w:ascii="Arial" w:hAnsi="Arial"/>
          <w:i/>
          <w:spacing w:val="-10"/>
          <w:sz w:val="24"/>
        </w:rPr>
        <w:t> </w:t>
      </w:r>
      <w:r>
        <w:rPr>
          <w:rFonts w:ascii="Arial" w:hAnsi="Arial"/>
          <w:i/>
          <w:spacing w:val="-2"/>
          <w:sz w:val="24"/>
        </w:rPr>
        <w:t>periodo</w:t>
      </w:r>
      <w:r>
        <w:rPr>
          <w:rFonts w:ascii="Arial" w:hAnsi="Arial"/>
          <w:i/>
          <w:spacing w:val="-11"/>
          <w:sz w:val="24"/>
        </w:rPr>
        <w:t> </w:t>
      </w:r>
      <w:r>
        <w:rPr>
          <w:rFonts w:ascii="Arial" w:hAnsi="Arial"/>
          <w:i/>
          <w:spacing w:val="-2"/>
          <w:sz w:val="24"/>
        </w:rPr>
        <w:t>de</w:t>
      </w:r>
      <w:r>
        <w:rPr>
          <w:rFonts w:ascii="Arial" w:hAnsi="Arial"/>
          <w:i/>
          <w:spacing w:val="-12"/>
          <w:sz w:val="24"/>
        </w:rPr>
        <w:t> </w:t>
      </w:r>
      <w:r>
        <w:rPr>
          <w:rFonts w:ascii="Arial" w:hAnsi="Arial"/>
          <w:i/>
          <w:spacing w:val="-2"/>
          <w:sz w:val="24"/>
        </w:rPr>
        <w:t>lactancia</w:t>
      </w:r>
      <w:r>
        <w:rPr>
          <w:rFonts w:ascii="Arial" w:hAnsi="Arial"/>
          <w:i/>
          <w:spacing w:val="-12"/>
          <w:sz w:val="24"/>
        </w:rPr>
        <w:t> </w:t>
      </w:r>
      <w:r>
        <w:rPr>
          <w:rFonts w:ascii="Arial" w:hAnsi="Arial"/>
          <w:i/>
          <w:spacing w:val="-2"/>
          <w:sz w:val="24"/>
        </w:rPr>
        <w:t>que</w:t>
      </w:r>
      <w:r>
        <w:rPr>
          <w:rFonts w:ascii="Arial" w:hAnsi="Arial"/>
          <w:i/>
          <w:spacing w:val="-11"/>
          <w:sz w:val="24"/>
        </w:rPr>
        <w:t> </w:t>
      </w:r>
      <w:r>
        <w:rPr>
          <w:rFonts w:ascii="Arial" w:hAnsi="Arial"/>
          <w:i/>
          <w:spacing w:val="-2"/>
          <w:sz w:val="24"/>
        </w:rPr>
        <w:t>hacen</w:t>
      </w:r>
      <w:r>
        <w:rPr>
          <w:rFonts w:ascii="Arial" w:hAnsi="Arial"/>
          <w:i/>
          <w:spacing w:val="-11"/>
          <w:sz w:val="24"/>
        </w:rPr>
        <w:t> </w:t>
      </w:r>
      <w:r>
        <w:rPr>
          <w:rFonts w:ascii="Arial" w:hAnsi="Arial"/>
          <w:i/>
          <w:spacing w:val="-2"/>
          <w:sz w:val="24"/>
        </w:rPr>
        <w:t>uso </w:t>
      </w:r>
      <w:r>
        <w:rPr>
          <w:rFonts w:ascii="Arial" w:hAnsi="Arial"/>
          <w:i/>
          <w:sz w:val="24"/>
        </w:rPr>
        <w:t>del</w:t>
      </w:r>
      <w:r>
        <w:rPr>
          <w:rFonts w:ascii="Arial" w:hAnsi="Arial"/>
          <w:i/>
          <w:spacing w:val="-14"/>
          <w:sz w:val="24"/>
        </w:rPr>
        <w:t> </w:t>
      </w:r>
      <w:r>
        <w:rPr>
          <w:rFonts w:ascii="Arial" w:hAnsi="Arial"/>
          <w:i/>
          <w:sz w:val="24"/>
        </w:rPr>
        <w:t>servicio</w:t>
      </w:r>
      <w:r>
        <w:rPr>
          <w:rFonts w:ascii="Arial" w:hAnsi="Arial"/>
          <w:i/>
          <w:spacing w:val="-14"/>
          <w:sz w:val="24"/>
        </w:rPr>
        <w:t> </w:t>
      </w:r>
      <w:r>
        <w:rPr>
          <w:rFonts w:ascii="Arial" w:hAnsi="Arial"/>
          <w:i/>
          <w:sz w:val="24"/>
        </w:rPr>
        <w:t>del</w:t>
      </w:r>
      <w:r>
        <w:rPr>
          <w:rFonts w:ascii="Arial" w:hAnsi="Arial"/>
          <w:i/>
          <w:spacing w:val="-12"/>
          <w:sz w:val="24"/>
        </w:rPr>
        <w:t> </w:t>
      </w:r>
      <w:r>
        <w:rPr>
          <w:rFonts w:ascii="Arial" w:hAnsi="Arial"/>
          <w:i/>
          <w:sz w:val="24"/>
        </w:rPr>
        <w:t>lactario</w:t>
      </w:r>
      <w:r>
        <w:rPr>
          <w:rFonts w:ascii="Arial" w:hAnsi="Arial"/>
          <w:i/>
          <w:spacing w:val="-14"/>
          <w:sz w:val="24"/>
        </w:rPr>
        <w:t> </w:t>
      </w:r>
      <w:r>
        <w:rPr>
          <w:rFonts w:ascii="Arial" w:hAnsi="Arial"/>
          <w:i/>
          <w:sz w:val="24"/>
        </w:rPr>
        <w:t>en</w:t>
      </w:r>
      <w:r>
        <w:rPr>
          <w:rFonts w:ascii="Arial" w:hAnsi="Arial"/>
          <w:i/>
          <w:spacing w:val="-14"/>
          <w:sz w:val="24"/>
        </w:rPr>
        <w:t> </w:t>
      </w:r>
      <w:r>
        <w:rPr>
          <w:rFonts w:ascii="Arial" w:hAnsi="Arial"/>
          <w:i/>
          <w:sz w:val="24"/>
        </w:rPr>
        <w:t>su</w:t>
      </w:r>
      <w:r>
        <w:rPr>
          <w:rFonts w:ascii="Arial" w:hAnsi="Arial"/>
          <w:i/>
          <w:spacing w:val="-14"/>
          <w:sz w:val="24"/>
        </w:rPr>
        <w:t> </w:t>
      </w:r>
      <w:r>
        <w:rPr>
          <w:rFonts w:ascii="Arial" w:hAnsi="Arial"/>
          <w:i/>
          <w:sz w:val="24"/>
        </w:rPr>
        <w:t>centro</w:t>
      </w:r>
      <w:r>
        <w:rPr>
          <w:rFonts w:ascii="Arial" w:hAnsi="Arial"/>
          <w:i/>
          <w:spacing w:val="-14"/>
          <w:sz w:val="24"/>
        </w:rPr>
        <w:t> </w:t>
      </w:r>
      <w:r>
        <w:rPr>
          <w:rFonts w:ascii="Arial" w:hAnsi="Arial"/>
          <w:i/>
          <w:sz w:val="24"/>
        </w:rPr>
        <w:t>de</w:t>
      </w:r>
      <w:r>
        <w:rPr>
          <w:rFonts w:ascii="Arial" w:hAnsi="Arial"/>
          <w:i/>
          <w:spacing w:val="-15"/>
          <w:sz w:val="24"/>
        </w:rPr>
        <w:t> </w:t>
      </w:r>
      <w:r>
        <w:rPr>
          <w:rFonts w:ascii="Arial" w:hAnsi="Arial"/>
          <w:i/>
          <w:sz w:val="24"/>
        </w:rPr>
        <w:t>trabajo.</w:t>
      </w:r>
    </w:p>
    <w:p>
      <w:pPr>
        <w:pStyle w:val="ListParagraph"/>
        <w:numPr>
          <w:ilvl w:val="3"/>
          <w:numId w:val="3"/>
        </w:numPr>
        <w:tabs>
          <w:tab w:pos="861" w:val="left" w:leader="none"/>
        </w:tabs>
        <w:spacing w:line="240" w:lineRule="auto" w:before="159" w:after="0"/>
        <w:ind w:left="861" w:right="0" w:hanging="359"/>
        <w:jc w:val="both"/>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cualitativo</w:t>
      </w:r>
    </w:p>
    <w:p>
      <w:pPr>
        <w:pStyle w:val="BodyText"/>
        <w:spacing w:line="307" w:lineRule="auto" w:before="234"/>
        <w:ind w:left="143" w:right="703"/>
        <w:jc w:val="both"/>
      </w:pPr>
      <w:r>
        <w:rPr>
          <w:w w:val="105"/>
        </w:rPr>
        <w:t>Los</w:t>
      </w:r>
      <w:r>
        <w:rPr>
          <w:spacing w:val="-3"/>
          <w:w w:val="105"/>
        </w:rPr>
        <w:t> </w:t>
      </w:r>
      <w:r>
        <w:rPr>
          <w:w w:val="105"/>
        </w:rPr>
        <w:t>indicadores</w:t>
      </w:r>
      <w:r>
        <w:rPr>
          <w:spacing w:val="-3"/>
          <w:w w:val="105"/>
        </w:rPr>
        <w:t> </w:t>
      </w:r>
      <w:r>
        <w:rPr>
          <w:w w:val="105"/>
        </w:rPr>
        <w:t>de</w:t>
      </w:r>
      <w:r>
        <w:rPr>
          <w:spacing w:val="-3"/>
          <w:w w:val="105"/>
        </w:rPr>
        <w:t> </w:t>
      </w:r>
      <w:r>
        <w:rPr>
          <w:w w:val="105"/>
        </w:rPr>
        <w:t>eficacia</w:t>
      </w:r>
      <w:r>
        <w:rPr>
          <w:spacing w:val="-3"/>
          <w:w w:val="105"/>
        </w:rPr>
        <w:t> </w:t>
      </w:r>
      <w:r>
        <w:rPr>
          <w:w w:val="105"/>
        </w:rPr>
        <w:t>y</w:t>
      </w:r>
      <w:r>
        <w:rPr>
          <w:spacing w:val="-3"/>
          <w:w w:val="105"/>
        </w:rPr>
        <w:t> </w:t>
      </w:r>
      <w:r>
        <w:rPr>
          <w:w w:val="105"/>
        </w:rPr>
        <w:t>calidad,</w:t>
      </w:r>
      <w:r>
        <w:rPr>
          <w:spacing w:val="-2"/>
          <w:w w:val="105"/>
        </w:rPr>
        <w:t> </w:t>
      </w:r>
      <w:r>
        <w:rPr>
          <w:w w:val="105"/>
        </w:rPr>
        <w:t>acorde</w:t>
      </w:r>
      <w:r>
        <w:rPr>
          <w:spacing w:val="-3"/>
          <w:w w:val="105"/>
        </w:rPr>
        <w:t> </w:t>
      </w:r>
      <w:r>
        <w:rPr>
          <w:w w:val="105"/>
        </w:rPr>
        <w:t>a</w:t>
      </w:r>
      <w:r>
        <w:rPr>
          <w:spacing w:val="-3"/>
          <w:w w:val="105"/>
        </w:rPr>
        <w:t> </w:t>
      </w:r>
      <w:r>
        <w:rPr>
          <w:w w:val="105"/>
        </w:rPr>
        <w:t>lo</w:t>
      </w:r>
      <w:r>
        <w:rPr>
          <w:spacing w:val="-3"/>
          <w:w w:val="105"/>
        </w:rPr>
        <w:t> </w:t>
      </w:r>
      <w:r>
        <w:rPr>
          <w:w w:val="105"/>
        </w:rPr>
        <w:t>especificado</w:t>
      </w:r>
      <w:r>
        <w:rPr>
          <w:spacing w:val="-3"/>
          <w:w w:val="105"/>
        </w:rPr>
        <w:t> </w:t>
      </w:r>
      <w:r>
        <w:rPr>
          <w:w w:val="105"/>
        </w:rPr>
        <w:t>en</w:t>
      </w:r>
      <w:r>
        <w:rPr>
          <w:spacing w:val="-3"/>
          <w:w w:val="105"/>
        </w:rPr>
        <w:t> </w:t>
      </w:r>
      <w:r>
        <w:rPr>
          <w:w w:val="105"/>
        </w:rPr>
        <w:t>sus</w:t>
      </w:r>
      <w:r>
        <w:rPr>
          <w:spacing w:val="-3"/>
          <w:w w:val="105"/>
        </w:rPr>
        <w:t> </w:t>
      </w:r>
      <w:r>
        <w:rPr>
          <w:w w:val="105"/>
        </w:rPr>
        <w:t>fichas técnicas,</w:t>
      </w:r>
      <w:r>
        <w:rPr>
          <w:spacing w:val="-9"/>
          <w:w w:val="105"/>
        </w:rPr>
        <w:t> </w:t>
      </w:r>
      <w:r>
        <w:rPr>
          <w:w w:val="105"/>
        </w:rPr>
        <w:t>para</w:t>
      </w:r>
      <w:r>
        <w:rPr>
          <w:spacing w:val="-11"/>
          <w:w w:val="105"/>
        </w:rPr>
        <w:t> </w:t>
      </w:r>
      <w:r>
        <w:rPr>
          <w:w w:val="105"/>
        </w:rPr>
        <w:t>considerar</w:t>
      </w:r>
      <w:r>
        <w:rPr>
          <w:spacing w:val="-11"/>
          <w:w w:val="105"/>
        </w:rPr>
        <w:t> </w:t>
      </w:r>
      <w:r>
        <w:rPr>
          <w:w w:val="105"/>
        </w:rPr>
        <w:t>que</w:t>
      </w:r>
      <w:r>
        <w:rPr>
          <w:spacing w:val="-11"/>
          <w:w w:val="105"/>
        </w:rPr>
        <w:t> </w:t>
      </w:r>
      <w:r>
        <w:rPr>
          <w:w w:val="105"/>
        </w:rPr>
        <w:t>el</w:t>
      </w:r>
      <w:r>
        <w:rPr>
          <w:spacing w:val="-12"/>
          <w:w w:val="105"/>
        </w:rPr>
        <w:t> </w:t>
      </w:r>
      <w:r>
        <w:rPr>
          <w:w w:val="105"/>
        </w:rPr>
        <w:t>servicio</w:t>
      </w:r>
      <w:r>
        <w:rPr>
          <w:spacing w:val="-7"/>
          <w:w w:val="105"/>
        </w:rPr>
        <w:t> </w:t>
      </w:r>
      <w:r>
        <w:rPr>
          <w:w w:val="105"/>
        </w:rPr>
        <w:t>realizó</w:t>
      </w:r>
      <w:r>
        <w:rPr>
          <w:spacing w:val="-9"/>
          <w:w w:val="105"/>
        </w:rPr>
        <w:t> </w:t>
      </w:r>
      <w:r>
        <w:rPr>
          <w:w w:val="105"/>
        </w:rPr>
        <w:t>las</w:t>
      </w:r>
      <w:r>
        <w:rPr>
          <w:spacing w:val="-10"/>
          <w:w w:val="105"/>
        </w:rPr>
        <w:t> </w:t>
      </w:r>
      <w:r>
        <w:rPr>
          <w:w w:val="105"/>
        </w:rPr>
        <w:t>actividades</w:t>
      </w:r>
      <w:r>
        <w:rPr>
          <w:spacing w:val="-12"/>
          <w:w w:val="105"/>
        </w:rPr>
        <w:t> </w:t>
      </w:r>
      <w:r>
        <w:rPr>
          <w:w w:val="105"/>
        </w:rPr>
        <w:t>de</w:t>
      </w:r>
      <w:r>
        <w:rPr>
          <w:spacing w:val="-12"/>
          <w:w w:val="105"/>
        </w:rPr>
        <w:t> </w:t>
      </w:r>
      <w:r>
        <w:rPr>
          <w:w w:val="105"/>
        </w:rPr>
        <w:t>monitoreo </w:t>
      </w:r>
      <w:r>
        <w:rPr/>
        <w:t>para verificar el funcionamiento de los lactarios, estos debían emitir un informe </w:t>
      </w:r>
      <w:r>
        <w:rPr>
          <w:w w:val="105"/>
        </w:rPr>
        <w:t>técnico</w:t>
      </w:r>
      <w:r>
        <w:rPr>
          <w:spacing w:val="-18"/>
          <w:w w:val="105"/>
        </w:rPr>
        <w:t> </w:t>
      </w:r>
      <w:r>
        <w:rPr>
          <w:w w:val="105"/>
        </w:rPr>
        <w:t>posterior</w:t>
      </w:r>
      <w:r>
        <w:rPr>
          <w:spacing w:val="-17"/>
          <w:w w:val="105"/>
        </w:rPr>
        <w:t> </w:t>
      </w:r>
      <w:r>
        <w:rPr>
          <w:w w:val="105"/>
        </w:rPr>
        <w:t>a</w:t>
      </w:r>
      <w:r>
        <w:rPr>
          <w:spacing w:val="-18"/>
          <w:w w:val="105"/>
        </w:rPr>
        <w:t> </w:t>
      </w:r>
      <w:r>
        <w:rPr>
          <w:w w:val="105"/>
        </w:rPr>
        <w:t>la</w:t>
      </w:r>
      <w:r>
        <w:rPr>
          <w:spacing w:val="-18"/>
          <w:w w:val="105"/>
        </w:rPr>
        <w:t> </w:t>
      </w:r>
      <w:r>
        <w:rPr>
          <w:w w:val="105"/>
        </w:rPr>
        <w:t>visita</w:t>
      </w:r>
      <w:r>
        <w:rPr>
          <w:spacing w:val="-17"/>
          <w:w w:val="105"/>
        </w:rPr>
        <w:t> </w:t>
      </w:r>
      <w:r>
        <w:rPr>
          <w:w w:val="105"/>
        </w:rPr>
        <w:t>al</w:t>
      </w:r>
      <w:r>
        <w:rPr>
          <w:spacing w:val="-18"/>
          <w:w w:val="105"/>
        </w:rPr>
        <w:t> </w:t>
      </w:r>
      <w:r>
        <w:rPr>
          <w:w w:val="105"/>
        </w:rPr>
        <w:t>centro</w:t>
      </w:r>
      <w:r>
        <w:rPr>
          <w:spacing w:val="-17"/>
          <w:w w:val="105"/>
        </w:rPr>
        <w:t> </w:t>
      </w:r>
      <w:r>
        <w:rPr>
          <w:w w:val="105"/>
        </w:rPr>
        <w:t>de</w:t>
      </w:r>
      <w:r>
        <w:rPr>
          <w:spacing w:val="-18"/>
          <w:w w:val="105"/>
        </w:rPr>
        <w:t> </w:t>
      </w:r>
      <w:r>
        <w:rPr>
          <w:w w:val="105"/>
        </w:rPr>
        <w:t>trabajo.</w:t>
      </w:r>
      <w:r>
        <w:rPr>
          <w:spacing w:val="-17"/>
          <w:w w:val="105"/>
        </w:rPr>
        <w:t> </w:t>
      </w:r>
      <w:r>
        <w:rPr>
          <w:w w:val="105"/>
        </w:rPr>
        <w:t>No</w:t>
      </w:r>
      <w:r>
        <w:rPr>
          <w:spacing w:val="-18"/>
          <w:w w:val="105"/>
        </w:rPr>
        <w:t> </w:t>
      </w:r>
      <w:r>
        <w:rPr>
          <w:w w:val="105"/>
        </w:rPr>
        <w:t>obstante,</w:t>
      </w:r>
      <w:r>
        <w:rPr>
          <w:spacing w:val="-17"/>
          <w:w w:val="105"/>
        </w:rPr>
        <w:t> </w:t>
      </w:r>
      <w:r>
        <w:rPr>
          <w:w w:val="105"/>
        </w:rPr>
        <w:t>según</w:t>
      </w:r>
      <w:r>
        <w:rPr>
          <w:spacing w:val="-18"/>
          <w:w w:val="105"/>
        </w:rPr>
        <w:t> </w:t>
      </w:r>
      <w:r>
        <w:rPr>
          <w:w w:val="105"/>
        </w:rPr>
        <w:t>el</w:t>
      </w:r>
      <w:r>
        <w:rPr>
          <w:spacing w:val="-15"/>
          <w:w w:val="105"/>
        </w:rPr>
        <w:t> </w:t>
      </w:r>
      <w:r>
        <w:rPr>
          <w:w w:val="105"/>
        </w:rPr>
        <w:t>informe de</w:t>
      </w:r>
      <w:r>
        <w:rPr>
          <w:spacing w:val="-12"/>
          <w:w w:val="105"/>
        </w:rPr>
        <w:t> </w:t>
      </w:r>
      <w:r>
        <w:rPr>
          <w:w w:val="105"/>
        </w:rPr>
        <w:t>Lactarios</w:t>
      </w:r>
      <w:r>
        <w:rPr>
          <w:spacing w:val="-11"/>
          <w:w w:val="105"/>
        </w:rPr>
        <w:t> </w:t>
      </w:r>
      <w:r>
        <w:rPr>
          <w:w w:val="105"/>
        </w:rPr>
        <w:t>2022,</w:t>
      </w:r>
      <w:r>
        <w:rPr>
          <w:spacing w:val="-13"/>
          <w:w w:val="105"/>
        </w:rPr>
        <w:t> </w:t>
      </w:r>
      <w:r>
        <w:rPr>
          <w:w w:val="105"/>
        </w:rPr>
        <w:t>este</w:t>
      </w:r>
      <w:r>
        <w:rPr>
          <w:spacing w:val="-12"/>
          <w:w w:val="105"/>
        </w:rPr>
        <w:t> </w:t>
      </w:r>
      <w:r>
        <w:rPr>
          <w:w w:val="105"/>
        </w:rPr>
        <w:t>procedimiento</w:t>
      </w:r>
      <w:r>
        <w:rPr>
          <w:spacing w:val="-9"/>
          <w:w w:val="105"/>
        </w:rPr>
        <w:t> </w:t>
      </w:r>
      <w:r>
        <w:rPr>
          <w:w w:val="105"/>
        </w:rPr>
        <w:t>ha</w:t>
      </w:r>
      <w:r>
        <w:rPr>
          <w:spacing w:val="-13"/>
          <w:w w:val="105"/>
        </w:rPr>
        <w:t> </w:t>
      </w:r>
      <w:r>
        <w:rPr>
          <w:w w:val="105"/>
        </w:rPr>
        <w:t>sido</w:t>
      </w:r>
      <w:r>
        <w:rPr>
          <w:spacing w:val="-11"/>
          <w:w w:val="105"/>
        </w:rPr>
        <w:t> </w:t>
      </w:r>
      <w:r>
        <w:rPr>
          <w:w w:val="105"/>
        </w:rPr>
        <w:t>reemplazado</w:t>
      </w:r>
      <w:r>
        <w:rPr>
          <w:spacing w:val="-13"/>
          <w:w w:val="105"/>
        </w:rPr>
        <w:t> </w:t>
      </w:r>
      <w:r>
        <w:rPr>
          <w:w w:val="105"/>
        </w:rPr>
        <w:t>por</w:t>
      </w:r>
      <w:r>
        <w:rPr>
          <w:spacing w:val="-13"/>
          <w:w w:val="105"/>
        </w:rPr>
        <w:t> </w:t>
      </w:r>
      <w:r>
        <w:rPr>
          <w:w w:val="105"/>
        </w:rPr>
        <w:t>una</w:t>
      </w:r>
      <w:r>
        <w:rPr>
          <w:spacing w:val="-12"/>
          <w:w w:val="105"/>
        </w:rPr>
        <w:t> </w:t>
      </w:r>
      <w:r>
        <w:rPr>
          <w:w w:val="105"/>
        </w:rPr>
        <w:t>solicitud de</w:t>
      </w:r>
      <w:r>
        <w:rPr>
          <w:w w:val="105"/>
        </w:rPr>
        <w:t> información</w:t>
      </w:r>
      <w:r>
        <w:rPr>
          <w:w w:val="105"/>
        </w:rPr>
        <w:t> por</w:t>
      </w:r>
      <w:r>
        <w:rPr>
          <w:w w:val="105"/>
        </w:rPr>
        <w:t> medios</w:t>
      </w:r>
      <w:r>
        <w:rPr>
          <w:w w:val="105"/>
        </w:rPr>
        <w:t> digitales.</w:t>
      </w:r>
      <w:r>
        <w:rPr>
          <w:w w:val="105"/>
        </w:rPr>
        <w:t> Además,</w:t>
      </w:r>
      <w:r>
        <w:rPr>
          <w:w w:val="105"/>
        </w:rPr>
        <w:t> la</w:t>
      </w:r>
      <w:r>
        <w:rPr>
          <w:w w:val="105"/>
        </w:rPr>
        <w:t> Directiva</w:t>
      </w:r>
      <w:r>
        <w:rPr>
          <w:w w:val="105"/>
        </w:rPr>
        <w:t> No</w:t>
      </w:r>
      <w:r>
        <w:rPr>
          <w:w w:val="105"/>
        </w:rPr>
        <w:t> 002-2022- MIMP/DGFC,</w:t>
      </w:r>
      <w:r>
        <w:rPr>
          <w:spacing w:val="-12"/>
          <w:w w:val="105"/>
        </w:rPr>
        <w:t> </w:t>
      </w:r>
      <w:r>
        <w:rPr>
          <w:w w:val="105"/>
        </w:rPr>
        <w:t>especifica</w:t>
      </w:r>
      <w:r>
        <w:rPr>
          <w:spacing w:val="-12"/>
          <w:w w:val="105"/>
        </w:rPr>
        <w:t> </w:t>
      </w:r>
      <w:r>
        <w:rPr>
          <w:w w:val="105"/>
        </w:rPr>
        <w:t>que</w:t>
      </w:r>
      <w:r>
        <w:rPr>
          <w:spacing w:val="-14"/>
          <w:w w:val="105"/>
        </w:rPr>
        <w:t> </w:t>
      </w:r>
      <w:r>
        <w:rPr>
          <w:w w:val="105"/>
        </w:rPr>
        <w:t>las</w:t>
      </w:r>
      <w:r>
        <w:rPr>
          <w:spacing w:val="-13"/>
          <w:w w:val="105"/>
        </w:rPr>
        <w:t> </w:t>
      </w:r>
      <w:r>
        <w:rPr>
          <w:w w:val="105"/>
        </w:rPr>
        <w:t>visitas</w:t>
      </w:r>
      <w:r>
        <w:rPr>
          <w:spacing w:val="-13"/>
          <w:w w:val="105"/>
        </w:rPr>
        <w:t> </w:t>
      </w:r>
      <w:r>
        <w:rPr>
          <w:w w:val="105"/>
        </w:rPr>
        <w:t>de</w:t>
      </w:r>
      <w:r>
        <w:rPr>
          <w:spacing w:val="-12"/>
          <w:w w:val="105"/>
        </w:rPr>
        <w:t> </w:t>
      </w:r>
      <w:r>
        <w:rPr>
          <w:w w:val="105"/>
        </w:rPr>
        <w:t>seguimiento/monitoreo</w:t>
      </w:r>
      <w:r>
        <w:rPr>
          <w:spacing w:val="-13"/>
          <w:w w:val="105"/>
        </w:rPr>
        <w:t> </w:t>
      </w:r>
      <w:r>
        <w:rPr>
          <w:w w:val="105"/>
        </w:rPr>
        <w:t>se</w:t>
      </w:r>
      <w:r>
        <w:rPr>
          <w:spacing w:val="-14"/>
          <w:w w:val="105"/>
        </w:rPr>
        <w:t> </w:t>
      </w:r>
      <w:r>
        <w:rPr>
          <w:w w:val="105"/>
        </w:rPr>
        <w:t>pueden realizar</w:t>
      </w:r>
      <w:r>
        <w:rPr>
          <w:w w:val="105"/>
        </w:rPr>
        <w:t> en</w:t>
      </w:r>
      <w:r>
        <w:rPr>
          <w:w w:val="105"/>
        </w:rPr>
        <w:t> modalidad</w:t>
      </w:r>
      <w:r>
        <w:rPr>
          <w:w w:val="105"/>
        </w:rPr>
        <w:t> virtual</w:t>
      </w:r>
      <w:r>
        <w:rPr>
          <w:w w:val="105"/>
        </w:rPr>
        <w:t> a</w:t>
      </w:r>
      <w:r>
        <w:rPr>
          <w:w w:val="105"/>
        </w:rPr>
        <w:t> través</w:t>
      </w:r>
      <w:r>
        <w:rPr>
          <w:w w:val="105"/>
        </w:rPr>
        <w:t> de</w:t>
      </w:r>
      <w:r>
        <w:rPr>
          <w:w w:val="105"/>
        </w:rPr>
        <w:t> herramientas</w:t>
      </w:r>
      <w:r>
        <w:rPr>
          <w:w w:val="105"/>
        </w:rPr>
        <w:t> tecnológicas.</w:t>
      </w:r>
      <w:r>
        <w:rPr>
          <w:w w:val="105"/>
        </w:rPr>
        <w:t> En</w:t>
      </w:r>
      <w:r>
        <w:rPr>
          <w:w w:val="105"/>
        </w:rPr>
        <w:t> ese sentido,</w:t>
      </w:r>
      <w:r>
        <w:rPr>
          <w:w w:val="105"/>
        </w:rPr>
        <w:t> las</w:t>
      </w:r>
      <w:r>
        <w:rPr>
          <w:w w:val="105"/>
        </w:rPr>
        <w:t> acciones de</w:t>
      </w:r>
      <w:r>
        <w:rPr>
          <w:w w:val="105"/>
        </w:rPr>
        <w:t> monitoreo</w:t>
      </w:r>
      <w:r>
        <w:rPr>
          <w:w w:val="105"/>
        </w:rPr>
        <w:t> realizadas</w:t>
      </w:r>
      <w:r>
        <w:rPr>
          <w:w w:val="105"/>
        </w:rPr>
        <w:t> por el servicio</w:t>
      </w:r>
      <w:r>
        <w:rPr>
          <w:w w:val="105"/>
        </w:rPr>
        <w:t> no pueden ser </w:t>
      </w:r>
      <w:r>
        <w:rPr/>
        <w:t>contabilizadas bajo las características actuales del indicador.</w:t>
      </w:r>
    </w:p>
    <w:p>
      <w:pPr>
        <w:pStyle w:val="BodyText"/>
        <w:spacing w:line="307" w:lineRule="auto" w:before="154"/>
        <w:ind w:left="143" w:right="704"/>
        <w:jc w:val="both"/>
      </w:pPr>
      <w:r>
        <w:rPr>
          <w:w w:val="105"/>
        </w:rPr>
        <w:t>Asimismo,</w:t>
      </w:r>
      <w:r>
        <w:rPr>
          <w:w w:val="105"/>
        </w:rPr>
        <w:t> una</w:t>
      </w:r>
      <w:r>
        <w:rPr>
          <w:spacing w:val="-2"/>
          <w:w w:val="105"/>
        </w:rPr>
        <w:t> </w:t>
      </w:r>
      <w:r>
        <w:rPr>
          <w:w w:val="105"/>
        </w:rPr>
        <w:t>condición</w:t>
      </w:r>
      <w:r>
        <w:rPr>
          <w:w w:val="105"/>
        </w:rPr>
        <w:t> necesaria</w:t>
      </w:r>
      <w:r>
        <w:rPr>
          <w:w w:val="105"/>
        </w:rPr>
        <w:t> para</w:t>
      </w:r>
      <w:r>
        <w:rPr>
          <w:spacing w:val="-1"/>
          <w:w w:val="105"/>
        </w:rPr>
        <w:t> </w:t>
      </w:r>
      <w:r>
        <w:rPr>
          <w:w w:val="105"/>
        </w:rPr>
        <w:t>el</w:t>
      </w:r>
      <w:r>
        <w:rPr>
          <w:spacing w:val="-2"/>
          <w:w w:val="105"/>
        </w:rPr>
        <w:t> </w:t>
      </w:r>
      <w:r>
        <w:rPr>
          <w:w w:val="105"/>
        </w:rPr>
        <w:t>cálculo</w:t>
      </w:r>
      <w:r>
        <w:rPr>
          <w:spacing w:val="-2"/>
          <w:w w:val="105"/>
        </w:rPr>
        <w:t> </w:t>
      </w:r>
      <w:r>
        <w:rPr>
          <w:w w:val="105"/>
        </w:rPr>
        <w:t>del</w:t>
      </w:r>
      <w:r>
        <w:rPr>
          <w:w w:val="105"/>
        </w:rPr>
        <w:t> indicador</w:t>
      </w:r>
      <w:r>
        <w:rPr>
          <w:w w:val="105"/>
        </w:rPr>
        <w:t> eficacia,</w:t>
      </w:r>
      <w:r>
        <w:rPr>
          <w:w w:val="105"/>
        </w:rPr>
        <w:t> es </w:t>
      </w:r>
      <w:r>
        <w:rPr/>
        <w:t>acceder</w:t>
      </w:r>
      <w:r>
        <w:rPr>
          <w:spacing w:val="-3"/>
        </w:rPr>
        <w:t> </w:t>
      </w:r>
      <w:r>
        <w:rPr/>
        <w:t>a</w:t>
      </w:r>
      <w:r>
        <w:rPr>
          <w:spacing w:val="-3"/>
        </w:rPr>
        <w:t> </w:t>
      </w:r>
      <w:r>
        <w:rPr/>
        <w:t>una</w:t>
      </w:r>
      <w:r>
        <w:rPr>
          <w:spacing w:val="-5"/>
        </w:rPr>
        <w:t> </w:t>
      </w:r>
      <w:r>
        <w:rPr/>
        <w:t>base</w:t>
      </w:r>
      <w:r>
        <w:rPr>
          <w:spacing w:val="-5"/>
        </w:rPr>
        <w:t> </w:t>
      </w:r>
      <w:r>
        <w:rPr/>
        <w:t>de</w:t>
      </w:r>
      <w:r>
        <w:rPr>
          <w:spacing w:val="-3"/>
        </w:rPr>
        <w:t> </w:t>
      </w:r>
      <w:r>
        <w:rPr/>
        <w:t>datos</w:t>
      </w:r>
      <w:r>
        <w:rPr>
          <w:spacing w:val="-5"/>
        </w:rPr>
        <w:t> </w:t>
      </w:r>
      <w:r>
        <w:rPr/>
        <w:t>donde</w:t>
      </w:r>
      <w:r>
        <w:rPr>
          <w:spacing w:val="-3"/>
        </w:rPr>
        <w:t> </w:t>
      </w:r>
      <w:r>
        <w:rPr/>
        <w:t>se</w:t>
      </w:r>
      <w:r>
        <w:rPr>
          <w:spacing w:val="-5"/>
        </w:rPr>
        <w:t> </w:t>
      </w:r>
      <w:r>
        <w:rPr/>
        <w:t>especifique</w:t>
      </w:r>
      <w:r>
        <w:rPr>
          <w:spacing w:val="-5"/>
        </w:rPr>
        <w:t> </w:t>
      </w:r>
      <w:r>
        <w:rPr/>
        <w:t>la</w:t>
      </w:r>
      <w:r>
        <w:rPr>
          <w:spacing w:val="-5"/>
        </w:rPr>
        <w:t> </w:t>
      </w:r>
      <w:r>
        <w:rPr/>
        <w:t>cantidad</w:t>
      </w:r>
      <w:r>
        <w:rPr>
          <w:spacing w:val="-4"/>
        </w:rPr>
        <w:t> </w:t>
      </w:r>
      <w:r>
        <w:rPr/>
        <w:t>de</w:t>
      </w:r>
      <w:r>
        <w:rPr>
          <w:spacing w:val="-5"/>
        </w:rPr>
        <w:t> </w:t>
      </w:r>
      <w:r>
        <w:rPr/>
        <w:t>mujeres</w:t>
      </w:r>
      <w:r>
        <w:rPr>
          <w:spacing w:val="-5"/>
        </w:rPr>
        <w:t> </w:t>
      </w:r>
      <w:r>
        <w:rPr/>
        <w:t>entre </w:t>
      </w:r>
      <w:r>
        <w:rPr>
          <w:w w:val="105"/>
        </w:rPr>
        <w:t>15</w:t>
      </w:r>
      <w:r>
        <w:rPr>
          <w:spacing w:val="-18"/>
          <w:w w:val="105"/>
        </w:rPr>
        <w:t> </w:t>
      </w:r>
      <w:r>
        <w:rPr>
          <w:w w:val="105"/>
        </w:rPr>
        <w:t>y</w:t>
      </w:r>
      <w:r>
        <w:rPr>
          <w:spacing w:val="-17"/>
          <w:w w:val="105"/>
        </w:rPr>
        <w:t> </w:t>
      </w:r>
      <w:r>
        <w:rPr>
          <w:w w:val="105"/>
        </w:rPr>
        <w:t>49</w:t>
      </w:r>
      <w:r>
        <w:rPr>
          <w:spacing w:val="-18"/>
          <w:w w:val="105"/>
        </w:rPr>
        <w:t> </w:t>
      </w:r>
      <w:r>
        <w:rPr>
          <w:w w:val="105"/>
        </w:rPr>
        <w:t>años</w:t>
      </w:r>
      <w:r>
        <w:rPr>
          <w:spacing w:val="-18"/>
          <w:w w:val="105"/>
        </w:rPr>
        <w:t> </w:t>
      </w:r>
      <w:r>
        <w:rPr>
          <w:w w:val="105"/>
        </w:rPr>
        <w:t>por</w:t>
      </w:r>
      <w:r>
        <w:rPr>
          <w:spacing w:val="-17"/>
          <w:w w:val="105"/>
        </w:rPr>
        <w:t> </w:t>
      </w:r>
      <w:r>
        <w:rPr>
          <w:w w:val="105"/>
        </w:rPr>
        <w:t>cada</w:t>
      </w:r>
      <w:r>
        <w:rPr>
          <w:spacing w:val="-18"/>
          <w:w w:val="105"/>
        </w:rPr>
        <w:t> </w:t>
      </w:r>
      <w:r>
        <w:rPr>
          <w:w w:val="105"/>
        </w:rPr>
        <w:t>centro</w:t>
      </w:r>
      <w:r>
        <w:rPr>
          <w:spacing w:val="-17"/>
          <w:w w:val="105"/>
        </w:rPr>
        <w:t> </w:t>
      </w:r>
      <w:r>
        <w:rPr>
          <w:w w:val="105"/>
        </w:rPr>
        <w:t>de</w:t>
      </w:r>
      <w:r>
        <w:rPr>
          <w:spacing w:val="-18"/>
          <w:w w:val="105"/>
        </w:rPr>
        <w:t> </w:t>
      </w:r>
      <w:r>
        <w:rPr>
          <w:w w:val="105"/>
        </w:rPr>
        <w:t>trabajo;</w:t>
      </w:r>
      <w:r>
        <w:rPr>
          <w:spacing w:val="-17"/>
          <w:w w:val="105"/>
        </w:rPr>
        <w:t> </w:t>
      </w:r>
      <w:r>
        <w:rPr>
          <w:w w:val="105"/>
        </w:rPr>
        <w:t>sin</w:t>
      </w:r>
      <w:r>
        <w:rPr>
          <w:spacing w:val="-18"/>
          <w:w w:val="105"/>
        </w:rPr>
        <w:t> </w:t>
      </w:r>
      <w:r>
        <w:rPr>
          <w:w w:val="105"/>
        </w:rPr>
        <w:t>embargo,</w:t>
      </w:r>
      <w:r>
        <w:rPr>
          <w:spacing w:val="-17"/>
          <w:w w:val="105"/>
        </w:rPr>
        <w:t> </w:t>
      </w:r>
      <w:r>
        <w:rPr>
          <w:w w:val="105"/>
        </w:rPr>
        <w:t>desde</w:t>
      </w:r>
      <w:r>
        <w:rPr>
          <w:spacing w:val="-18"/>
          <w:w w:val="105"/>
        </w:rPr>
        <w:t> </w:t>
      </w:r>
      <w:r>
        <w:rPr>
          <w:w w:val="105"/>
        </w:rPr>
        <w:t>el</w:t>
      </w:r>
      <w:r>
        <w:rPr>
          <w:spacing w:val="-17"/>
          <w:w w:val="105"/>
        </w:rPr>
        <w:t> </w:t>
      </w:r>
      <w:r>
        <w:rPr>
          <w:w w:val="105"/>
        </w:rPr>
        <w:t>año</w:t>
      </w:r>
      <w:r>
        <w:rPr>
          <w:spacing w:val="-18"/>
          <w:w w:val="105"/>
        </w:rPr>
        <w:t> </w:t>
      </w:r>
      <w:r>
        <w:rPr>
          <w:w w:val="105"/>
        </w:rPr>
        <w:t>2021</w:t>
      </w:r>
      <w:r>
        <w:rPr>
          <w:spacing w:val="-17"/>
          <w:w w:val="105"/>
        </w:rPr>
        <w:t> </w:t>
      </w:r>
      <w:r>
        <w:rPr>
          <w:w w:val="105"/>
        </w:rPr>
        <w:t>esta información</w:t>
      </w:r>
      <w:r>
        <w:rPr>
          <w:spacing w:val="-12"/>
          <w:w w:val="105"/>
        </w:rPr>
        <w:t> </w:t>
      </w:r>
      <w:r>
        <w:rPr>
          <w:w w:val="105"/>
        </w:rPr>
        <w:t>no</w:t>
      </w:r>
      <w:r>
        <w:rPr>
          <w:spacing w:val="-12"/>
          <w:w w:val="105"/>
        </w:rPr>
        <w:t> </w:t>
      </w:r>
      <w:r>
        <w:rPr>
          <w:w w:val="105"/>
        </w:rPr>
        <w:t>es</w:t>
      </w:r>
      <w:r>
        <w:rPr>
          <w:spacing w:val="-14"/>
          <w:w w:val="105"/>
        </w:rPr>
        <w:t> </w:t>
      </w:r>
      <w:r>
        <w:rPr>
          <w:w w:val="105"/>
        </w:rPr>
        <w:t>proporcionada</w:t>
      </w:r>
      <w:r>
        <w:rPr>
          <w:spacing w:val="-14"/>
          <w:w w:val="105"/>
        </w:rPr>
        <w:t> </w:t>
      </w:r>
      <w:r>
        <w:rPr>
          <w:w w:val="105"/>
        </w:rPr>
        <w:t>por</w:t>
      </w:r>
      <w:r>
        <w:rPr>
          <w:spacing w:val="-14"/>
          <w:w w:val="105"/>
        </w:rPr>
        <w:t> </w:t>
      </w:r>
      <w:r>
        <w:rPr>
          <w:w w:val="105"/>
        </w:rPr>
        <w:t>el</w:t>
      </w:r>
      <w:r>
        <w:rPr>
          <w:spacing w:val="-14"/>
          <w:w w:val="105"/>
        </w:rPr>
        <w:t> </w:t>
      </w:r>
      <w:r>
        <w:rPr>
          <w:w w:val="105"/>
        </w:rPr>
        <w:t>Ministerio</w:t>
      </w:r>
      <w:r>
        <w:rPr>
          <w:spacing w:val="-14"/>
          <w:w w:val="105"/>
        </w:rPr>
        <w:t> </w:t>
      </w:r>
      <w:r>
        <w:rPr>
          <w:w w:val="105"/>
        </w:rPr>
        <w:t>de</w:t>
      </w:r>
      <w:r>
        <w:rPr>
          <w:spacing w:val="-14"/>
          <w:w w:val="105"/>
        </w:rPr>
        <w:t> </w:t>
      </w:r>
      <w:r>
        <w:rPr>
          <w:w w:val="105"/>
        </w:rPr>
        <w:t>Trabajo</w:t>
      </w:r>
      <w:r>
        <w:rPr>
          <w:spacing w:val="-12"/>
          <w:w w:val="105"/>
        </w:rPr>
        <w:t> </w:t>
      </w:r>
      <w:r>
        <w:rPr>
          <w:w w:val="105"/>
        </w:rPr>
        <w:t>y</w:t>
      </w:r>
      <w:r>
        <w:rPr>
          <w:spacing w:val="-14"/>
          <w:w w:val="105"/>
        </w:rPr>
        <w:t> </w:t>
      </w:r>
      <w:r>
        <w:rPr>
          <w:w w:val="105"/>
        </w:rPr>
        <w:t>Promoción</w:t>
      </w:r>
      <w:r>
        <w:rPr>
          <w:spacing w:val="-14"/>
          <w:w w:val="105"/>
        </w:rPr>
        <w:t> </w:t>
      </w:r>
      <w:r>
        <w:rPr>
          <w:w w:val="105"/>
        </w:rPr>
        <w:t>de Empleo</w:t>
      </w:r>
      <w:r>
        <w:rPr>
          <w:spacing w:val="-12"/>
          <w:w w:val="105"/>
        </w:rPr>
        <w:t> </w:t>
      </w:r>
      <w:r>
        <w:rPr>
          <w:w w:val="105"/>
        </w:rPr>
        <w:t>(MTPE)</w:t>
      </w:r>
      <w:r>
        <w:rPr>
          <w:spacing w:val="-13"/>
          <w:w w:val="105"/>
        </w:rPr>
        <w:t> </w:t>
      </w:r>
      <w:r>
        <w:rPr>
          <w:w w:val="105"/>
        </w:rPr>
        <w:t>debido</w:t>
      </w:r>
      <w:r>
        <w:rPr>
          <w:spacing w:val="-13"/>
          <w:w w:val="105"/>
        </w:rPr>
        <w:t> </w:t>
      </w:r>
      <w:r>
        <w:rPr>
          <w:w w:val="105"/>
        </w:rPr>
        <w:t>a</w:t>
      </w:r>
      <w:r>
        <w:rPr>
          <w:spacing w:val="-13"/>
          <w:w w:val="105"/>
        </w:rPr>
        <w:t> </w:t>
      </w:r>
      <w:r>
        <w:rPr>
          <w:w w:val="105"/>
        </w:rPr>
        <w:t>sus</w:t>
      </w:r>
      <w:r>
        <w:rPr>
          <w:spacing w:val="-14"/>
          <w:w w:val="105"/>
        </w:rPr>
        <w:t> </w:t>
      </w:r>
      <w:r>
        <w:rPr>
          <w:w w:val="105"/>
        </w:rPr>
        <w:t>políticas</w:t>
      </w:r>
      <w:r>
        <w:rPr>
          <w:spacing w:val="-14"/>
          <w:w w:val="105"/>
        </w:rPr>
        <w:t> </w:t>
      </w:r>
      <w:r>
        <w:rPr>
          <w:w w:val="105"/>
        </w:rPr>
        <w:t>de</w:t>
      </w:r>
      <w:r>
        <w:rPr>
          <w:spacing w:val="-13"/>
          <w:w w:val="105"/>
        </w:rPr>
        <w:t> </w:t>
      </w:r>
      <w:r>
        <w:rPr>
          <w:w w:val="105"/>
        </w:rPr>
        <w:t>protección</w:t>
      </w:r>
      <w:r>
        <w:rPr>
          <w:spacing w:val="-15"/>
          <w:w w:val="105"/>
        </w:rPr>
        <w:t> </w:t>
      </w:r>
      <w:r>
        <w:rPr>
          <w:w w:val="105"/>
        </w:rPr>
        <w:t>de</w:t>
      </w:r>
      <w:r>
        <w:rPr>
          <w:spacing w:val="-15"/>
          <w:w w:val="105"/>
        </w:rPr>
        <w:t> </w:t>
      </w:r>
      <w:r>
        <w:rPr>
          <w:w w:val="105"/>
        </w:rPr>
        <w:t>datos.</w:t>
      </w:r>
      <w:r>
        <w:rPr>
          <w:spacing w:val="-13"/>
          <w:w w:val="105"/>
        </w:rPr>
        <w:t> </w:t>
      </w:r>
      <w:r>
        <w:rPr>
          <w:w w:val="105"/>
        </w:rPr>
        <w:t>Esta</w:t>
      </w:r>
      <w:r>
        <w:rPr>
          <w:spacing w:val="-15"/>
          <w:w w:val="105"/>
        </w:rPr>
        <w:t> </w:t>
      </w:r>
      <w:r>
        <w:rPr>
          <w:w w:val="105"/>
        </w:rPr>
        <w:t>situación impide tener</w:t>
      </w:r>
      <w:r>
        <w:rPr>
          <w:spacing w:val="-2"/>
          <w:w w:val="105"/>
        </w:rPr>
        <w:t> </w:t>
      </w:r>
      <w:r>
        <w:rPr>
          <w:w w:val="105"/>
        </w:rPr>
        <w:t>información sobre el</w:t>
      </w:r>
      <w:r>
        <w:rPr>
          <w:spacing w:val="-1"/>
          <w:w w:val="105"/>
        </w:rPr>
        <w:t> </w:t>
      </w:r>
      <w:r>
        <w:rPr>
          <w:w w:val="105"/>
        </w:rPr>
        <w:t>denominador del indicador.</w:t>
      </w:r>
    </w:p>
    <w:p>
      <w:pPr>
        <w:pStyle w:val="BodyText"/>
        <w:spacing w:line="307" w:lineRule="auto" w:before="157"/>
        <w:ind w:left="143" w:right="707"/>
        <w:jc w:val="both"/>
      </w:pPr>
      <w:r>
        <w:rPr/>
        <w:t>Asimismo, en el protocolo del servicio se designó la responsabilidad de implementación a la Comisión Multisectorial de Lactarios, entidad compuesta por representantes involucrados en la provisión del servicio (MINSA, MTPE, SERVIR y MIMP). Esta composición facilitaba la articulación y realización de planes de trabajo para la implementación adecuada del servicio.</w:t>
      </w:r>
    </w:p>
    <w:p>
      <w:pPr>
        <w:pStyle w:val="BodyText"/>
        <w:spacing w:line="307" w:lineRule="auto" w:before="158"/>
        <w:ind w:left="143" w:right="704"/>
        <w:jc w:val="both"/>
      </w:pPr>
      <w:r>
        <w:rPr/>
        <w:t>No</w:t>
      </w:r>
      <w:r>
        <w:rPr>
          <w:spacing w:val="-9"/>
        </w:rPr>
        <w:t> </w:t>
      </w:r>
      <w:r>
        <w:rPr/>
        <w:t>obstante,</w:t>
      </w:r>
      <w:r>
        <w:rPr>
          <w:spacing w:val="-11"/>
        </w:rPr>
        <w:t> </w:t>
      </w:r>
      <w:r>
        <w:rPr/>
        <w:t>el</w:t>
      </w:r>
      <w:r>
        <w:rPr>
          <w:spacing w:val="-9"/>
        </w:rPr>
        <w:t> </w:t>
      </w:r>
      <w:r>
        <w:rPr/>
        <w:t>26</w:t>
      </w:r>
      <w:r>
        <w:rPr>
          <w:spacing w:val="-12"/>
        </w:rPr>
        <w:t> </w:t>
      </w:r>
      <w:r>
        <w:rPr/>
        <w:t>de</w:t>
      </w:r>
      <w:r>
        <w:rPr>
          <w:spacing w:val="-9"/>
        </w:rPr>
        <w:t> </w:t>
      </w:r>
      <w:r>
        <w:rPr/>
        <w:t>julio</w:t>
      </w:r>
      <w:r>
        <w:rPr>
          <w:spacing w:val="-11"/>
        </w:rPr>
        <w:t> </w:t>
      </w:r>
      <w:r>
        <w:rPr/>
        <w:t>del</w:t>
      </w:r>
      <w:r>
        <w:rPr>
          <w:spacing w:val="-8"/>
        </w:rPr>
        <w:t> </w:t>
      </w:r>
      <w:r>
        <w:rPr/>
        <w:t>2021</w:t>
      </w:r>
      <w:r>
        <w:rPr>
          <w:spacing w:val="-14"/>
        </w:rPr>
        <w:t> </w:t>
      </w:r>
      <w:r>
        <w:rPr/>
        <w:t>se</w:t>
      </w:r>
      <w:r>
        <w:rPr>
          <w:spacing w:val="-9"/>
        </w:rPr>
        <w:t> </w:t>
      </w:r>
      <w:r>
        <w:rPr/>
        <w:t>aprobó</w:t>
      </w:r>
      <w:r>
        <w:rPr>
          <w:spacing w:val="-9"/>
        </w:rPr>
        <w:t> </w:t>
      </w:r>
      <w:r>
        <w:rPr/>
        <w:t>el</w:t>
      </w:r>
      <w:r>
        <w:rPr>
          <w:spacing w:val="-8"/>
        </w:rPr>
        <w:t> </w:t>
      </w:r>
      <w:r>
        <w:rPr/>
        <w:t>Reglamento</w:t>
      </w:r>
      <w:r>
        <w:rPr>
          <w:spacing w:val="-9"/>
        </w:rPr>
        <w:t> </w:t>
      </w:r>
      <w:r>
        <w:rPr/>
        <w:t>de</w:t>
      </w:r>
      <w:r>
        <w:rPr>
          <w:spacing w:val="-11"/>
        </w:rPr>
        <w:t> </w:t>
      </w:r>
      <w:r>
        <w:rPr/>
        <w:t>la</w:t>
      </w:r>
      <w:r>
        <w:rPr>
          <w:spacing w:val="-9"/>
        </w:rPr>
        <w:t> </w:t>
      </w:r>
      <w:r>
        <w:rPr/>
        <w:t>Ley</w:t>
      </w:r>
      <w:r>
        <w:rPr>
          <w:spacing w:val="-9"/>
        </w:rPr>
        <w:t> </w:t>
      </w:r>
      <w:r>
        <w:rPr/>
        <w:t>N°</w:t>
      </w:r>
      <w:r>
        <w:rPr>
          <w:spacing w:val="-9"/>
        </w:rPr>
        <w:t> </w:t>
      </w:r>
      <w:r>
        <w:rPr/>
        <w:t>29896 (Decreto Supremo N° 023-2021-MIMP) que deroga parcialmente el Decreto Supremo N° 001-2016-MIMP y, en consecuencia, deja sin efecto las funciones de</w:t>
      </w:r>
      <w:r>
        <w:rPr>
          <w:spacing w:val="-17"/>
        </w:rPr>
        <w:t> </w:t>
      </w:r>
      <w:r>
        <w:rPr/>
        <w:t>la</w:t>
      </w:r>
      <w:r>
        <w:rPr>
          <w:spacing w:val="-17"/>
        </w:rPr>
        <w:t> </w:t>
      </w:r>
      <w:r>
        <w:rPr/>
        <w:t>Comisión</w:t>
      </w:r>
      <w:r>
        <w:rPr>
          <w:spacing w:val="-16"/>
        </w:rPr>
        <w:t> </w:t>
      </w:r>
      <w:r>
        <w:rPr/>
        <w:t>Multisectorial</w:t>
      </w:r>
      <w:r>
        <w:rPr>
          <w:spacing w:val="-17"/>
        </w:rPr>
        <w:t> </w:t>
      </w:r>
      <w:r>
        <w:rPr/>
        <w:t>de</w:t>
      </w:r>
      <w:r>
        <w:rPr>
          <w:spacing w:val="-17"/>
        </w:rPr>
        <w:t> </w:t>
      </w:r>
      <w:r>
        <w:rPr/>
        <w:t>Lactarios</w:t>
      </w:r>
      <w:r>
        <w:rPr>
          <w:spacing w:val="-17"/>
        </w:rPr>
        <w:t> </w:t>
      </w:r>
      <w:r>
        <w:rPr/>
        <w:t>y</w:t>
      </w:r>
      <w:r>
        <w:rPr>
          <w:spacing w:val="-16"/>
        </w:rPr>
        <w:t> </w:t>
      </w:r>
      <w:r>
        <w:rPr/>
        <w:t>asigna</w:t>
      </w:r>
      <w:r>
        <w:rPr>
          <w:spacing w:val="-17"/>
        </w:rPr>
        <w:t> </w:t>
      </w:r>
      <w:r>
        <w:rPr/>
        <w:t>la</w:t>
      </w:r>
      <w:r>
        <w:rPr>
          <w:spacing w:val="-17"/>
        </w:rPr>
        <w:t> </w:t>
      </w:r>
      <w:r>
        <w:rPr/>
        <w:t>responsabilidad</w:t>
      </w:r>
      <w:r>
        <w:rPr>
          <w:spacing w:val="-16"/>
        </w:rPr>
        <w:t> </w:t>
      </w:r>
      <w:r>
        <w:rPr/>
        <w:t>del</w:t>
      </w:r>
      <w:r>
        <w:rPr>
          <w:spacing w:val="-17"/>
        </w:rPr>
        <w:t> </w:t>
      </w:r>
      <w:r>
        <w:rPr/>
        <w:t>servicio al MIMP, a través de la Dirección de Fortalecimiento de las Familias. Esto disminuyó la capacidad de articulación que existían anteriormente.</w:t>
      </w:r>
    </w:p>
    <w:p>
      <w:pPr>
        <w:pStyle w:val="BodyText"/>
        <w:spacing w:line="307" w:lineRule="auto" w:before="156"/>
        <w:ind w:left="143" w:right="707"/>
        <w:jc w:val="both"/>
      </w:pPr>
      <w:r>
        <w:rPr/>
        <w:t>Respecto al indicador de calidad, la única fuente de información son los registros administrativos de la DFF. La limitación que se presentó para el período de información 2022 y 2023, se debe a que muchos centros de trabajo</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4"/>
        <w:jc w:val="both"/>
      </w:pPr>
      <w:r>
        <w:rPr/>
        <w:t>no brindaron información sobre el número de mujeres que hicieron uso del lactario, y otros brindaron información inconsistente, lo cual no permitió contar con la información del numerador “número de mujeres en período de lactancia de los centros de trabajo monitoreados que hacen uso del servicio”.</w:t>
      </w:r>
    </w:p>
    <w:p>
      <w:pPr>
        <w:pStyle w:val="BodyText"/>
        <w:spacing w:line="307" w:lineRule="auto" w:before="157"/>
        <w:ind w:left="143" w:right="705"/>
        <w:jc w:val="both"/>
      </w:pPr>
      <w:r>
        <w:rPr/>
        <w:t>A partir de esta información se llevaron a cabo coordinaciones entre la DIFF y OMEP para conocer las medidas a implementar por el proveedor del servicio. Como resultado de este proceso, mediante el Acta de validación N° 002-2023- OMEP-PNIG, la DIFF se comprometió a elaborar un plan de trabajo con actividades y plazos, que conduzca a la evaluación y mejora, de corresponder, de la forma de proveer el servicio, así como a la generación de las condiciones necesarias para contar con información que permita la medición oportuna de sus indicadores de cobertura y calidad, orientados a visibilizar el aporte del servicio 4.3.7. al objetivo prioritario 4 de la PNIG, a partir del período 2024.</w:t>
      </w:r>
    </w:p>
    <w:p>
      <w:pPr>
        <w:pStyle w:val="ListParagraph"/>
        <w:numPr>
          <w:ilvl w:val="2"/>
          <w:numId w:val="3"/>
        </w:numPr>
        <w:tabs>
          <w:tab w:pos="1220" w:val="left" w:leader="none"/>
          <w:tab w:pos="1222" w:val="left" w:leader="none"/>
        </w:tabs>
        <w:spacing w:line="307" w:lineRule="auto" w:before="155" w:after="0"/>
        <w:ind w:left="1222" w:right="706" w:hanging="720"/>
        <w:jc w:val="both"/>
        <w:rPr>
          <w:sz w:val="24"/>
        </w:rPr>
      </w:pPr>
      <w:r>
        <w:rPr>
          <w:color w:val="2E5395"/>
          <w:sz w:val="24"/>
        </w:rPr>
        <w:t>Servicio 06.03.01: Producción de información estadística sobre relaciones sociales, periódica y accesible - Encuesta Nacional de Relaciones Sociales.</w:t>
      </w:r>
    </w:p>
    <w:p>
      <w:pPr>
        <w:pStyle w:val="BodyText"/>
        <w:spacing w:before="173"/>
      </w:pPr>
    </w:p>
    <w:p>
      <w:pPr>
        <w:pStyle w:val="ListParagraph"/>
        <w:numPr>
          <w:ilvl w:val="3"/>
          <w:numId w:val="3"/>
        </w:numPr>
        <w:tabs>
          <w:tab w:pos="862" w:val="left" w:leader="none"/>
        </w:tabs>
        <w:spacing w:line="240" w:lineRule="auto" w:before="1" w:after="0"/>
        <w:ind w:left="862" w:right="0" w:hanging="360"/>
        <w:jc w:val="left"/>
        <w:rPr>
          <w:rFonts w:ascii="Arial" w:hAnsi="Arial"/>
          <w:i/>
          <w:sz w:val="24"/>
        </w:rPr>
      </w:pPr>
      <w:r>
        <w:rPr>
          <w:rFonts w:ascii="Arial" w:hAnsi="Arial"/>
          <w:i/>
          <w:w w:val="90"/>
          <w:sz w:val="24"/>
        </w:rPr>
        <w:t>Descripción</w:t>
      </w:r>
      <w:r>
        <w:rPr>
          <w:rFonts w:ascii="Arial" w:hAnsi="Arial"/>
          <w:i/>
          <w:spacing w:val="16"/>
          <w:sz w:val="24"/>
        </w:rPr>
        <w:t> </w:t>
      </w:r>
      <w:r>
        <w:rPr>
          <w:rFonts w:ascii="Arial" w:hAnsi="Arial"/>
          <w:i/>
          <w:w w:val="90"/>
          <w:sz w:val="24"/>
        </w:rPr>
        <w:t>del</w:t>
      </w:r>
      <w:r>
        <w:rPr>
          <w:rFonts w:ascii="Arial" w:hAnsi="Arial"/>
          <w:i/>
          <w:spacing w:val="16"/>
          <w:sz w:val="24"/>
        </w:rPr>
        <w:t> </w:t>
      </w:r>
      <w:r>
        <w:rPr>
          <w:rFonts w:ascii="Arial" w:hAnsi="Arial"/>
          <w:i/>
          <w:spacing w:val="-2"/>
          <w:w w:val="90"/>
          <w:sz w:val="24"/>
        </w:rPr>
        <w:t>servicio</w:t>
      </w:r>
    </w:p>
    <w:p>
      <w:pPr>
        <w:pStyle w:val="BodyText"/>
        <w:spacing w:before="39"/>
        <w:rPr>
          <w:rFonts w:ascii="Arial"/>
          <w:i/>
        </w:rPr>
      </w:pPr>
    </w:p>
    <w:p>
      <w:pPr>
        <w:pStyle w:val="BodyText"/>
        <w:spacing w:line="307" w:lineRule="auto"/>
        <w:ind w:left="143" w:right="711"/>
        <w:jc w:val="both"/>
      </w:pPr>
      <w:r>
        <w:rPr/>
        <w:t>El</w:t>
      </w:r>
      <w:r>
        <w:rPr>
          <w:spacing w:val="-3"/>
        </w:rPr>
        <w:t> </w:t>
      </w:r>
      <w:r>
        <w:rPr/>
        <w:t>servicio</w:t>
      </w:r>
      <w:r>
        <w:rPr>
          <w:spacing w:val="-4"/>
        </w:rPr>
        <w:t> </w:t>
      </w:r>
      <w:r>
        <w:rPr/>
        <w:t>consiste</w:t>
      </w:r>
      <w:r>
        <w:rPr>
          <w:spacing w:val="-3"/>
        </w:rPr>
        <w:t> </w:t>
      </w:r>
      <w:r>
        <w:rPr/>
        <w:t>en</w:t>
      </w:r>
      <w:r>
        <w:rPr>
          <w:spacing w:val="-9"/>
        </w:rPr>
        <w:t> </w:t>
      </w:r>
      <w:r>
        <w:rPr/>
        <w:t>brindar</w:t>
      </w:r>
      <w:r>
        <w:rPr>
          <w:spacing w:val="-3"/>
        </w:rPr>
        <w:t> </w:t>
      </w:r>
      <w:r>
        <w:rPr/>
        <w:t>información</w:t>
      </w:r>
      <w:r>
        <w:rPr>
          <w:spacing w:val="-3"/>
        </w:rPr>
        <w:t> </w:t>
      </w:r>
      <w:r>
        <w:rPr/>
        <w:t>estadística</w:t>
      </w:r>
      <w:r>
        <w:rPr>
          <w:spacing w:val="-6"/>
        </w:rPr>
        <w:t> </w:t>
      </w:r>
      <w:r>
        <w:rPr/>
        <w:t>comparable,</w:t>
      </w:r>
      <w:r>
        <w:rPr>
          <w:spacing w:val="-5"/>
        </w:rPr>
        <w:t> </w:t>
      </w:r>
      <w:r>
        <w:rPr/>
        <w:t>que</w:t>
      </w:r>
      <w:r>
        <w:rPr>
          <w:spacing w:val="-3"/>
        </w:rPr>
        <w:t> </w:t>
      </w:r>
      <w:r>
        <w:rPr/>
        <w:t>muestre la evolución de indicadores vinculados a la violencia contra las mujeres y los integrantes del grupo familiar, así como la igualdad y no discriminación entre hombres y mujeres.</w:t>
      </w:r>
    </w:p>
    <w:p>
      <w:pPr>
        <w:spacing w:line="307" w:lineRule="auto" w:before="157"/>
        <w:ind w:left="143" w:right="710" w:firstLine="0"/>
        <w:jc w:val="both"/>
        <w:rPr>
          <w:rFonts w:ascii="Arial" w:hAnsi="Arial"/>
          <w:i/>
          <w:sz w:val="24"/>
        </w:rPr>
      </w:pPr>
      <w:r>
        <w:rPr>
          <w:sz w:val="24"/>
        </w:rPr>
        <w:t>El sector responsable del servicio es el Instituto Nacional de Estadística e Informática</w:t>
      </w:r>
      <w:r>
        <w:rPr>
          <w:spacing w:val="-16"/>
          <w:sz w:val="24"/>
        </w:rPr>
        <w:t> </w:t>
      </w:r>
      <w:r>
        <w:rPr>
          <w:sz w:val="24"/>
        </w:rPr>
        <w:t>(INEI).</w:t>
      </w:r>
      <w:r>
        <w:rPr>
          <w:spacing w:val="-14"/>
          <w:sz w:val="24"/>
        </w:rPr>
        <w:t> </w:t>
      </w:r>
      <w:r>
        <w:rPr>
          <w:sz w:val="24"/>
        </w:rPr>
        <w:t>Así,</w:t>
      </w:r>
      <w:r>
        <w:rPr>
          <w:spacing w:val="-17"/>
          <w:sz w:val="24"/>
        </w:rPr>
        <w:t> </w:t>
      </w:r>
      <w:r>
        <w:rPr>
          <w:sz w:val="24"/>
        </w:rPr>
        <w:t>en</w:t>
      </w:r>
      <w:r>
        <w:rPr>
          <w:spacing w:val="-14"/>
          <w:sz w:val="24"/>
        </w:rPr>
        <w:t> </w:t>
      </w:r>
      <w:r>
        <w:rPr>
          <w:sz w:val="24"/>
        </w:rPr>
        <w:t>el</w:t>
      </w:r>
      <w:r>
        <w:rPr>
          <w:spacing w:val="-13"/>
          <w:sz w:val="24"/>
        </w:rPr>
        <w:t> </w:t>
      </w:r>
      <w:r>
        <w:rPr>
          <w:sz w:val="24"/>
        </w:rPr>
        <w:t>marco</w:t>
      </w:r>
      <w:r>
        <w:rPr>
          <w:spacing w:val="-16"/>
          <w:sz w:val="24"/>
        </w:rPr>
        <w:t> </w:t>
      </w:r>
      <w:r>
        <w:rPr>
          <w:sz w:val="24"/>
        </w:rPr>
        <w:t>de</w:t>
      </w:r>
      <w:r>
        <w:rPr>
          <w:spacing w:val="-14"/>
          <w:sz w:val="24"/>
        </w:rPr>
        <w:t> </w:t>
      </w:r>
      <w:r>
        <w:rPr>
          <w:sz w:val="24"/>
        </w:rPr>
        <w:t>la</w:t>
      </w:r>
      <w:r>
        <w:rPr>
          <w:spacing w:val="-17"/>
          <w:sz w:val="24"/>
        </w:rPr>
        <w:t> </w:t>
      </w:r>
      <w:r>
        <w:rPr>
          <w:sz w:val="24"/>
        </w:rPr>
        <w:t>política,</w:t>
      </w:r>
      <w:r>
        <w:rPr>
          <w:spacing w:val="-16"/>
          <w:sz w:val="24"/>
        </w:rPr>
        <w:t> </w:t>
      </w:r>
      <w:r>
        <w:rPr>
          <w:sz w:val="24"/>
        </w:rPr>
        <w:t>la</w:t>
      </w:r>
      <w:r>
        <w:rPr>
          <w:spacing w:val="-14"/>
          <w:sz w:val="24"/>
        </w:rPr>
        <w:t> </w:t>
      </w:r>
      <w:r>
        <w:rPr>
          <w:sz w:val="24"/>
        </w:rPr>
        <w:t>calidad</w:t>
      </w:r>
      <w:r>
        <w:rPr>
          <w:spacing w:val="-15"/>
          <w:sz w:val="24"/>
        </w:rPr>
        <w:t> </w:t>
      </w:r>
      <w:r>
        <w:rPr>
          <w:sz w:val="24"/>
        </w:rPr>
        <w:t>del</w:t>
      </w:r>
      <w:r>
        <w:rPr>
          <w:spacing w:val="-13"/>
          <w:sz w:val="24"/>
        </w:rPr>
        <w:t> </w:t>
      </w:r>
      <w:r>
        <w:rPr>
          <w:sz w:val="24"/>
        </w:rPr>
        <w:t>servicio</w:t>
      </w:r>
      <w:r>
        <w:rPr>
          <w:spacing w:val="-13"/>
          <w:sz w:val="24"/>
        </w:rPr>
        <w:t> </w:t>
      </w:r>
      <w:r>
        <w:rPr>
          <w:sz w:val="24"/>
        </w:rPr>
        <w:t>se</w:t>
      </w:r>
      <w:r>
        <w:rPr>
          <w:spacing w:val="-14"/>
          <w:sz w:val="24"/>
        </w:rPr>
        <w:t> </w:t>
      </w:r>
      <w:r>
        <w:rPr>
          <w:sz w:val="24"/>
        </w:rPr>
        <w:t>mide</w:t>
      </w:r>
      <w:r>
        <w:rPr>
          <w:spacing w:val="-16"/>
          <w:sz w:val="24"/>
        </w:rPr>
        <w:t> </w:t>
      </w:r>
      <w:r>
        <w:rPr>
          <w:sz w:val="24"/>
        </w:rPr>
        <w:t>a través del indicador “</w:t>
      </w:r>
      <w:r>
        <w:rPr>
          <w:rFonts w:ascii="Arial" w:hAnsi="Arial"/>
          <w:i/>
          <w:sz w:val="24"/>
        </w:rPr>
        <w:t>Porcentaje de variables de desagregación interseccional incluidas</w:t>
      </w:r>
      <w:r>
        <w:rPr>
          <w:rFonts w:ascii="Arial" w:hAnsi="Arial"/>
          <w:i/>
          <w:spacing w:val="-8"/>
          <w:sz w:val="24"/>
        </w:rPr>
        <w:t> </w:t>
      </w:r>
      <w:r>
        <w:rPr>
          <w:rFonts w:ascii="Arial" w:hAnsi="Arial"/>
          <w:i/>
          <w:sz w:val="24"/>
        </w:rPr>
        <w:t>en</w:t>
      </w:r>
      <w:r>
        <w:rPr>
          <w:rFonts w:ascii="Arial" w:hAnsi="Arial"/>
          <w:i/>
          <w:spacing w:val="-7"/>
          <w:sz w:val="24"/>
        </w:rPr>
        <w:t> </w:t>
      </w:r>
      <w:r>
        <w:rPr>
          <w:rFonts w:ascii="Arial" w:hAnsi="Arial"/>
          <w:i/>
          <w:sz w:val="24"/>
        </w:rPr>
        <w:t>la</w:t>
      </w:r>
      <w:r>
        <w:rPr>
          <w:rFonts w:ascii="Arial" w:hAnsi="Arial"/>
          <w:i/>
          <w:spacing w:val="-7"/>
          <w:sz w:val="24"/>
        </w:rPr>
        <w:t> </w:t>
      </w:r>
      <w:r>
        <w:rPr>
          <w:rFonts w:ascii="Arial" w:hAnsi="Arial"/>
          <w:i/>
          <w:sz w:val="24"/>
        </w:rPr>
        <w:t>encuesta”.</w:t>
      </w:r>
    </w:p>
    <w:p>
      <w:pPr>
        <w:pStyle w:val="ListParagraph"/>
        <w:numPr>
          <w:ilvl w:val="3"/>
          <w:numId w:val="3"/>
        </w:numPr>
        <w:tabs>
          <w:tab w:pos="862" w:val="left" w:leader="none"/>
        </w:tabs>
        <w:spacing w:line="240" w:lineRule="auto" w:before="162" w:after="0"/>
        <w:ind w:left="862" w:right="0" w:hanging="360"/>
        <w:jc w:val="left"/>
        <w:rPr>
          <w:rFonts w:ascii="Arial" w:hAnsi="Arial"/>
          <w:i/>
          <w:sz w:val="24"/>
        </w:rPr>
      </w:pPr>
      <w:r>
        <w:rPr>
          <w:rFonts w:ascii="Arial" w:hAnsi="Arial"/>
          <w:i/>
          <w:w w:val="90"/>
          <w:sz w:val="24"/>
        </w:rPr>
        <w:t>Análisis</w:t>
      </w:r>
      <w:r>
        <w:rPr>
          <w:rFonts w:ascii="Arial" w:hAnsi="Arial"/>
          <w:i/>
          <w:spacing w:val="-1"/>
          <w:w w:val="90"/>
          <w:sz w:val="24"/>
        </w:rPr>
        <w:t> </w:t>
      </w:r>
      <w:r>
        <w:rPr>
          <w:rFonts w:ascii="Arial" w:hAnsi="Arial"/>
          <w:i/>
          <w:spacing w:val="-2"/>
          <w:sz w:val="24"/>
        </w:rPr>
        <w:t>cualitativo</w:t>
      </w:r>
    </w:p>
    <w:p>
      <w:pPr>
        <w:pStyle w:val="BodyText"/>
        <w:spacing w:line="307" w:lineRule="auto" w:before="232"/>
        <w:ind w:left="143" w:right="708"/>
        <w:jc w:val="both"/>
      </w:pPr>
      <w:r>
        <w:rPr>
          <w:w w:val="105"/>
        </w:rPr>
        <w:t>El</w:t>
      </w:r>
      <w:r>
        <w:rPr>
          <w:spacing w:val="-9"/>
          <w:w w:val="105"/>
        </w:rPr>
        <w:t> </w:t>
      </w:r>
      <w:r>
        <w:rPr>
          <w:w w:val="105"/>
        </w:rPr>
        <w:t>indicador</w:t>
      </w:r>
      <w:r>
        <w:rPr>
          <w:spacing w:val="-10"/>
          <w:w w:val="105"/>
        </w:rPr>
        <w:t> </w:t>
      </w:r>
      <w:r>
        <w:rPr>
          <w:w w:val="105"/>
        </w:rPr>
        <w:t>de</w:t>
      </w:r>
      <w:r>
        <w:rPr>
          <w:spacing w:val="-9"/>
          <w:w w:val="105"/>
        </w:rPr>
        <w:t> </w:t>
      </w:r>
      <w:r>
        <w:rPr>
          <w:w w:val="105"/>
        </w:rPr>
        <w:t>este</w:t>
      </w:r>
      <w:r>
        <w:rPr>
          <w:spacing w:val="-10"/>
          <w:w w:val="105"/>
        </w:rPr>
        <w:t> </w:t>
      </w:r>
      <w:r>
        <w:rPr>
          <w:w w:val="105"/>
        </w:rPr>
        <w:t>servicio</w:t>
      </w:r>
      <w:r>
        <w:rPr>
          <w:spacing w:val="-10"/>
          <w:w w:val="105"/>
        </w:rPr>
        <w:t> </w:t>
      </w:r>
      <w:r>
        <w:rPr>
          <w:w w:val="105"/>
        </w:rPr>
        <w:t>tiene</w:t>
      </w:r>
      <w:r>
        <w:rPr>
          <w:spacing w:val="-10"/>
          <w:w w:val="105"/>
        </w:rPr>
        <w:t> </w:t>
      </w:r>
      <w:r>
        <w:rPr>
          <w:w w:val="105"/>
        </w:rPr>
        <w:t>como</w:t>
      </w:r>
      <w:r>
        <w:rPr>
          <w:spacing w:val="-8"/>
          <w:w w:val="105"/>
        </w:rPr>
        <w:t> </w:t>
      </w:r>
      <w:r>
        <w:rPr>
          <w:w w:val="105"/>
        </w:rPr>
        <w:t>fuente</w:t>
      </w:r>
      <w:r>
        <w:rPr>
          <w:spacing w:val="-9"/>
          <w:w w:val="105"/>
        </w:rPr>
        <w:t> </w:t>
      </w:r>
      <w:r>
        <w:rPr>
          <w:w w:val="105"/>
        </w:rPr>
        <w:t>el</w:t>
      </w:r>
      <w:r>
        <w:rPr>
          <w:spacing w:val="-10"/>
          <w:w w:val="105"/>
        </w:rPr>
        <w:t> </w:t>
      </w:r>
      <w:r>
        <w:rPr>
          <w:w w:val="105"/>
        </w:rPr>
        <w:t>informe</w:t>
      </w:r>
      <w:r>
        <w:rPr>
          <w:spacing w:val="-11"/>
          <w:w w:val="105"/>
        </w:rPr>
        <w:t> </w:t>
      </w:r>
      <w:r>
        <w:rPr>
          <w:w w:val="105"/>
        </w:rPr>
        <w:t>de</w:t>
      </w:r>
      <w:r>
        <w:rPr>
          <w:spacing w:val="-9"/>
          <w:w w:val="105"/>
        </w:rPr>
        <w:t> </w:t>
      </w:r>
      <w:r>
        <w:rPr>
          <w:w w:val="105"/>
        </w:rPr>
        <w:t>resultados</w:t>
      </w:r>
      <w:r>
        <w:rPr>
          <w:spacing w:val="-10"/>
          <w:w w:val="105"/>
        </w:rPr>
        <w:t> </w:t>
      </w:r>
      <w:r>
        <w:rPr>
          <w:w w:val="105"/>
        </w:rPr>
        <w:t>de</w:t>
      </w:r>
      <w:r>
        <w:rPr>
          <w:spacing w:val="-10"/>
          <w:w w:val="105"/>
        </w:rPr>
        <w:t> </w:t>
      </w:r>
      <w:r>
        <w:rPr>
          <w:w w:val="105"/>
        </w:rPr>
        <w:t>la </w:t>
      </w:r>
      <w:r>
        <w:rPr>
          <w:spacing w:val="-4"/>
        </w:rPr>
        <w:t>Encuesta</w:t>
      </w:r>
      <w:r>
        <w:rPr>
          <w:spacing w:val="-11"/>
        </w:rPr>
        <w:t> </w:t>
      </w:r>
      <w:r>
        <w:rPr>
          <w:spacing w:val="-4"/>
        </w:rPr>
        <w:t>Nacional</w:t>
      </w:r>
      <w:r>
        <w:rPr>
          <w:spacing w:val="-10"/>
        </w:rPr>
        <w:t> </w:t>
      </w:r>
      <w:r>
        <w:rPr>
          <w:spacing w:val="-4"/>
        </w:rPr>
        <w:t>de</w:t>
      </w:r>
      <w:r>
        <w:rPr>
          <w:spacing w:val="-10"/>
        </w:rPr>
        <w:t> </w:t>
      </w:r>
      <w:r>
        <w:rPr>
          <w:spacing w:val="-4"/>
        </w:rPr>
        <w:t>Relaciones</w:t>
      </w:r>
      <w:r>
        <w:rPr>
          <w:spacing w:val="-10"/>
        </w:rPr>
        <w:t> </w:t>
      </w:r>
      <w:r>
        <w:rPr>
          <w:spacing w:val="-4"/>
        </w:rPr>
        <w:t>Sociales</w:t>
      </w:r>
      <w:r>
        <w:rPr>
          <w:spacing w:val="-5"/>
        </w:rPr>
        <w:t> </w:t>
      </w:r>
      <w:r>
        <w:rPr>
          <w:spacing w:val="-4"/>
        </w:rPr>
        <w:t>(ENARES)</w:t>
      </w:r>
      <w:r>
        <w:rPr>
          <w:spacing w:val="-11"/>
        </w:rPr>
        <w:t> </w:t>
      </w:r>
      <w:r>
        <w:rPr>
          <w:spacing w:val="-4"/>
        </w:rPr>
        <w:t>y</w:t>
      </w:r>
      <w:r>
        <w:rPr>
          <w:spacing w:val="-10"/>
        </w:rPr>
        <w:t> </w:t>
      </w:r>
      <w:r>
        <w:rPr>
          <w:spacing w:val="-4"/>
        </w:rPr>
        <w:t>su</w:t>
      </w:r>
      <w:r>
        <w:rPr>
          <w:spacing w:val="-11"/>
        </w:rPr>
        <w:t> </w:t>
      </w:r>
      <w:r>
        <w:rPr>
          <w:spacing w:val="-4"/>
        </w:rPr>
        <w:t>ficha</w:t>
      </w:r>
      <w:r>
        <w:rPr>
          <w:spacing w:val="-11"/>
        </w:rPr>
        <w:t> </w:t>
      </w:r>
      <w:r>
        <w:rPr>
          <w:spacing w:val="-4"/>
        </w:rPr>
        <w:t>técnica</w:t>
      </w:r>
      <w:r>
        <w:rPr>
          <w:spacing w:val="-11"/>
        </w:rPr>
        <w:t> </w:t>
      </w:r>
      <w:r>
        <w:rPr>
          <w:spacing w:val="-4"/>
        </w:rPr>
        <w:t>aprobada, </w:t>
      </w:r>
      <w:r>
        <w:rPr>
          <w:w w:val="105"/>
        </w:rPr>
        <w:t>por</w:t>
      </w:r>
      <w:r>
        <w:rPr>
          <w:spacing w:val="-16"/>
          <w:w w:val="105"/>
        </w:rPr>
        <w:t> </w:t>
      </w:r>
      <w:r>
        <w:rPr>
          <w:w w:val="105"/>
        </w:rPr>
        <w:t>lo</w:t>
      </w:r>
      <w:r>
        <w:rPr>
          <w:spacing w:val="-17"/>
          <w:w w:val="105"/>
        </w:rPr>
        <w:t> </w:t>
      </w:r>
      <w:r>
        <w:rPr>
          <w:w w:val="105"/>
        </w:rPr>
        <w:t>que</w:t>
      </w:r>
      <w:r>
        <w:rPr>
          <w:spacing w:val="-16"/>
          <w:w w:val="105"/>
        </w:rPr>
        <w:t> </w:t>
      </w:r>
      <w:r>
        <w:rPr>
          <w:w w:val="105"/>
        </w:rPr>
        <w:t>para</w:t>
      </w:r>
      <w:r>
        <w:rPr>
          <w:spacing w:val="-16"/>
          <w:w w:val="105"/>
        </w:rPr>
        <w:t> </w:t>
      </w:r>
      <w:r>
        <w:rPr>
          <w:w w:val="105"/>
        </w:rPr>
        <w:t>su</w:t>
      </w:r>
      <w:r>
        <w:rPr>
          <w:spacing w:val="-16"/>
          <w:w w:val="105"/>
        </w:rPr>
        <w:t> </w:t>
      </w:r>
      <w:r>
        <w:rPr>
          <w:w w:val="105"/>
        </w:rPr>
        <w:t>reporte</w:t>
      </w:r>
      <w:r>
        <w:rPr>
          <w:spacing w:val="-16"/>
          <w:w w:val="105"/>
        </w:rPr>
        <w:t> </w:t>
      </w:r>
      <w:r>
        <w:rPr>
          <w:w w:val="105"/>
        </w:rPr>
        <w:t>requería</w:t>
      </w:r>
      <w:r>
        <w:rPr>
          <w:spacing w:val="-16"/>
          <w:w w:val="105"/>
        </w:rPr>
        <w:t> </w:t>
      </w:r>
      <w:r>
        <w:rPr>
          <w:w w:val="105"/>
        </w:rPr>
        <w:t>que</w:t>
      </w:r>
      <w:r>
        <w:rPr>
          <w:spacing w:val="-16"/>
          <w:w w:val="105"/>
        </w:rPr>
        <w:t> </w:t>
      </w:r>
      <w:r>
        <w:rPr>
          <w:w w:val="105"/>
        </w:rPr>
        <w:t>la</w:t>
      </w:r>
      <w:r>
        <w:rPr>
          <w:spacing w:val="-18"/>
          <w:w w:val="105"/>
        </w:rPr>
        <w:t> </w:t>
      </w:r>
      <w:r>
        <w:rPr>
          <w:w w:val="105"/>
        </w:rPr>
        <w:t>ENARES</w:t>
      </w:r>
      <w:r>
        <w:rPr>
          <w:spacing w:val="-15"/>
          <w:w w:val="105"/>
        </w:rPr>
        <w:t> </w:t>
      </w:r>
      <w:r>
        <w:rPr>
          <w:w w:val="105"/>
        </w:rPr>
        <w:t>se</w:t>
      </w:r>
      <w:r>
        <w:rPr>
          <w:spacing w:val="-16"/>
          <w:w w:val="105"/>
        </w:rPr>
        <w:t> </w:t>
      </w:r>
      <w:r>
        <w:rPr>
          <w:w w:val="105"/>
        </w:rPr>
        <w:t>implemente</w:t>
      </w:r>
      <w:r>
        <w:rPr>
          <w:spacing w:val="-16"/>
          <w:w w:val="105"/>
        </w:rPr>
        <w:t> </w:t>
      </w:r>
      <w:r>
        <w:rPr>
          <w:w w:val="105"/>
        </w:rPr>
        <w:t>durante</w:t>
      </w:r>
      <w:r>
        <w:rPr>
          <w:spacing w:val="-16"/>
          <w:w w:val="105"/>
        </w:rPr>
        <w:t> </w:t>
      </w:r>
      <w:r>
        <w:rPr>
          <w:w w:val="105"/>
        </w:rPr>
        <w:t>el año de medición.</w:t>
      </w:r>
    </w:p>
    <w:p>
      <w:pPr>
        <w:pStyle w:val="BodyText"/>
        <w:spacing w:line="307" w:lineRule="auto" w:before="159"/>
        <w:ind w:left="143" w:right="704"/>
        <w:jc w:val="both"/>
      </w:pPr>
      <w:r>
        <w:rPr/>
        <w:t>Al</w:t>
      </w:r>
      <w:r>
        <w:rPr>
          <w:spacing w:val="-9"/>
        </w:rPr>
        <w:t> </w:t>
      </w:r>
      <w:r>
        <w:rPr/>
        <w:t>respecto,</w:t>
      </w:r>
      <w:r>
        <w:rPr>
          <w:spacing w:val="-11"/>
        </w:rPr>
        <w:t> </w:t>
      </w:r>
      <w:r>
        <w:rPr/>
        <w:t>durante</w:t>
      </w:r>
      <w:r>
        <w:rPr>
          <w:spacing w:val="-9"/>
        </w:rPr>
        <w:t> </w:t>
      </w:r>
      <w:r>
        <w:rPr/>
        <w:t>el</w:t>
      </w:r>
      <w:r>
        <w:rPr>
          <w:spacing w:val="-11"/>
        </w:rPr>
        <w:t> </w:t>
      </w:r>
      <w:r>
        <w:rPr/>
        <w:t>año</w:t>
      </w:r>
      <w:r>
        <w:rPr>
          <w:spacing w:val="-9"/>
        </w:rPr>
        <w:t> </w:t>
      </w:r>
      <w:r>
        <w:rPr/>
        <w:t>2023</w:t>
      </w:r>
      <w:r>
        <w:rPr>
          <w:spacing w:val="-13"/>
        </w:rPr>
        <w:t> </w:t>
      </w:r>
      <w:r>
        <w:rPr/>
        <w:t>no</w:t>
      </w:r>
      <w:r>
        <w:rPr>
          <w:spacing w:val="-11"/>
        </w:rPr>
        <w:t> </w:t>
      </w:r>
      <w:r>
        <w:rPr/>
        <w:t>se</w:t>
      </w:r>
      <w:r>
        <w:rPr>
          <w:spacing w:val="-12"/>
        </w:rPr>
        <w:t> </w:t>
      </w:r>
      <w:r>
        <w:rPr/>
        <w:t>realizó</w:t>
      </w:r>
      <w:r>
        <w:rPr>
          <w:spacing w:val="-9"/>
        </w:rPr>
        <w:t> </w:t>
      </w:r>
      <w:r>
        <w:rPr/>
        <w:t>la</w:t>
      </w:r>
      <w:r>
        <w:rPr>
          <w:spacing w:val="-12"/>
        </w:rPr>
        <w:t> </w:t>
      </w:r>
      <w:r>
        <w:rPr/>
        <w:t>ENARES</w:t>
      </w:r>
      <w:r>
        <w:rPr>
          <w:spacing w:val="-9"/>
        </w:rPr>
        <w:t> </w:t>
      </w:r>
      <w:r>
        <w:rPr/>
        <w:t>por</w:t>
      </w:r>
      <w:r>
        <w:rPr>
          <w:spacing w:val="-12"/>
        </w:rPr>
        <w:t> </w:t>
      </w:r>
      <w:r>
        <w:rPr/>
        <w:t>lo</w:t>
      </w:r>
      <w:r>
        <w:rPr>
          <w:spacing w:val="-11"/>
        </w:rPr>
        <w:t> </w:t>
      </w:r>
      <w:r>
        <w:rPr/>
        <w:t>que</w:t>
      </w:r>
      <w:r>
        <w:rPr>
          <w:spacing w:val="-12"/>
        </w:rPr>
        <w:t> </w:t>
      </w:r>
      <w:r>
        <w:rPr/>
        <w:t>el</w:t>
      </w:r>
      <w:r>
        <w:rPr>
          <w:spacing w:val="-11"/>
        </w:rPr>
        <w:t> </w:t>
      </w:r>
      <w:r>
        <w:rPr/>
        <w:t>indicador no contó con los insumos para ser calculado; sin embargo, en el presente año 2024 se viene ejecutando, por lo que se espera contar con información para el proceso de seguimiento 2024.</w:t>
      </w:r>
    </w:p>
    <w:p>
      <w:pPr>
        <w:pStyle w:val="BodyText"/>
        <w:spacing w:after="0" w:line="307" w:lineRule="auto"/>
        <w:jc w:val="both"/>
        <w:sectPr>
          <w:pgSz w:w="11910" w:h="16840"/>
          <w:pgMar w:header="713" w:footer="1000" w:top="1420" w:bottom="1200" w:left="1559" w:right="992"/>
        </w:sectPr>
      </w:pPr>
    </w:p>
    <w:p>
      <w:pPr>
        <w:pStyle w:val="BodyText"/>
        <w:rPr>
          <w:sz w:val="26"/>
        </w:rPr>
      </w:pPr>
    </w:p>
    <w:p>
      <w:pPr>
        <w:pStyle w:val="BodyText"/>
        <w:spacing w:before="39"/>
        <w:rPr>
          <w:sz w:val="26"/>
        </w:rPr>
      </w:pPr>
    </w:p>
    <w:p>
      <w:pPr>
        <w:pStyle w:val="Heading2"/>
        <w:numPr>
          <w:ilvl w:val="1"/>
          <w:numId w:val="16"/>
        </w:numPr>
        <w:tabs>
          <w:tab w:pos="568" w:val="left" w:leader="none"/>
        </w:tabs>
        <w:spacing w:line="307" w:lineRule="auto" w:before="0" w:after="0"/>
        <w:ind w:left="143" w:right="1313" w:firstLine="0"/>
        <w:jc w:val="left"/>
      </w:pPr>
      <w:bookmarkStart w:name="_bookmark20" w:id="21"/>
      <w:bookmarkEnd w:id="21"/>
      <w:r>
        <w:rPr/>
      </w:r>
      <w:r>
        <w:rPr>
          <w:color w:val="2E5395"/>
        </w:rPr>
        <w:t>Análisis de alineamiento de cumplimiento de metas de objetivos prioritarios y servicios</w:t>
      </w:r>
    </w:p>
    <w:p>
      <w:pPr>
        <w:pStyle w:val="BodyText"/>
        <w:spacing w:line="307" w:lineRule="auto" w:before="238"/>
        <w:ind w:left="143" w:right="714"/>
        <w:jc w:val="both"/>
      </w:pPr>
      <w:r>
        <w:rPr/>
        <w:t>Los objetivos prioritarios de una política están asociados a indicadores que permiten medir el cumplimiento de las metas planificadas. Estos indicadores reflejan el nivel de avance hacia los resultados esperados y facilitan el seguimiento de los objetivos establecidos.</w:t>
      </w:r>
    </w:p>
    <w:p>
      <w:pPr>
        <w:pStyle w:val="BodyText"/>
        <w:spacing w:line="307" w:lineRule="auto" w:before="156"/>
        <w:ind w:left="143" w:right="706"/>
        <w:jc w:val="both"/>
      </w:pPr>
      <w:r>
        <w:rPr/>
        <w:t>A su vez, cada indicador está vinculado a uno o más servicios, cuya implementación adecuada debe contribuir al logro de las metas de los objetivos prioritarios. Esto establece una relación positiva entre la calidad de la ejecución de los servicios y el cumplimiento de las metas planificadas.</w:t>
      </w:r>
    </w:p>
    <w:p>
      <w:pPr>
        <w:pStyle w:val="BodyText"/>
        <w:spacing w:line="307" w:lineRule="auto" w:before="160"/>
        <w:ind w:left="143" w:right="709"/>
        <w:jc w:val="both"/>
      </w:pPr>
      <w:r>
        <w:rPr/>
        <w:t>Un nivel alto de cumplimiento en los indicadores de servicios refleja una implementación eficiente de estos, lo que debería estar directamente relacionado con un alto cumplimiento de las metas asociadas a los objetivos prioritarios. De esta manera, la efectividad en la prestación de servicios se posiciona</w:t>
      </w:r>
      <w:r>
        <w:rPr>
          <w:spacing w:val="-2"/>
        </w:rPr>
        <w:t> </w:t>
      </w:r>
      <w:r>
        <w:rPr/>
        <w:t>como un factor</w:t>
      </w:r>
      <w:r>
        <w:rPr>
          <w:spacing w:val="-2"/>
        </w:rPr>
        <w:t> </w:t>
      </w:r>
      <w:r>
        <w:rPr/>
        <w:t>clave</w:t>
      </w:r>
      <w:r>
        <w:rPr>
          <w:spacing w:val="-2"/>
        </w:rPr>
        <w:t> </w:t>
      </w:r>
      <w:r>
        <w:rPr/>
        <w:t>para garantizar el éxito</w:t>
      </w:r>
      <w:r>
        <w:rPr>
          <w:spacing w:val="-1"/>
        </w:rPr>
        <w:t> </w:t>
      </w:r>
      <w:r>
        <w:rPr/>
        <w:t>de</w:t>
      </w:r>
      <w:r>
        <w:rPr>
          <w:spacing w:val="-2"/>
        </w:rPr>
        <w:t> </w:t>
      </w:r>
      <w:r>
        <w:rPr/>
        <w:t>las</w:t>
      </w:r>
      <w:r>
        <w:rPr>
          <w:spacing w:val="-1"/>
        </w:rPr>
        <w:t> </w:t>
      </w:r>
      <w:r>
        <w:rPr/>
        <w:t>políticas públicas.</w:t>
      </w:r>
    </w:p>
    <w:p>
      <w:pPr>
        <w:pStyle w:val="BodyText"/>
        <w:spacing w:line="307" w:lineRule="auto" w:before="156"/>
        <w:ind w:left="143" w:right="712"/>
        <w:jc w:val="both"/>
      </w:pPr>
      <w:r>
        <w:rPr/>
        <w:t>En</w:t>
      </w:r>
      <w:r>
        <w:rPr>
          <w:spacing w:val="-4"/>
        </w:rPr>
        <w:t> </w:t>
      </w:r>
      <w:r>
        <w:rPr/>
        <w:t>ese</w:t>
      </w:r>
      <w:r>
        <w:rPr>
          <w:spacing w:val="-3"/>
        </w:rPr>
        <w:t> </w:t>
      </w:r>
      <w:r>
        <w:rPr/>
        <w:t>sentido,</w:t>
      </w:r>
      <w:r>
        <w:rPr>
          <w:spacing w:val="-2"/>
        </w:rPr>
        <w:t> </w:t>
      </w:r>
      <w:r>
        <w:rPr/>
        <w:t>esta</w:t>
      </w:r>
      <w:r>
        <w:rPr>
          <w:spacing w:val="-3"/>
        </w:rPr>
        <w:t> </w:t>
      </w:r>
      <w:r>
        <w:rPr/>
        <w:t>sección</w:t>
      </w:r>
      <w:r>
        <w:rPr>
          <w:spacing w:val="-3"/>
        </w:rPr>
        <w:t> </w:t>
      </w:r>
      <w:r>
        <w:rPr/>
        <w:t>analizará</w:t>
      </w:r>
      <w:r>
        <w:rPr>
          <w:spacing w:val="-3"/>
        </w:rPr>
        <w:t> </w:t>
      </w:r>
      <w:r>
        <w:rPr/>
        <w:t>la</w:t>
      </w:r>
      <w:r>
        <w:rPr>
          <w:spacing w:val="-3"/>
        </w:rPr>
        <w:t> </w:t>
      </w:r>
      <w:r>
        <w:rPr/>
        <w:t>relación</w:t>
      </w:r>
      <w:r>
        <w:rPr>
          <w:spacing w:val="-3"/>
        </w:rPr>
        <w:t> </w:t>
      </w:r>
      <w:r>
        <w:rPr/>
        <w:t>entre</w:t>
      </w:r>
      <w:r>
        <w:rPr>
          <w:spacing w:val="-3"/>
        </w:rPr>
        <w:t> </w:t>
      </w:r>
      <w:r>
        <w:rPr/>
        <w:t>el</w:t>
      </w:r>
      <w:r>
        <w:rPr>
          <w:spacing w:val="-2"/>
        </w:rPr>
        <w:t> </w:t>
      </w:r>
      <w:r>
        <w:rPr/>
        <w:t>nivel</w:t>
      </w:r>
      <w:r>
        <w:rPr>
          <w:spacing w:val="-2"/>
        </w:rPr>
        <w:t> </w:t>
      </w:r>
      <w:r>
        <w:rPr/>
        <w:t>de</w:t>
      </w:r>
      <w:r>
        <w:rPr>
          <w:spacing w:val="-5"/>
        </w:rPr>
        <w:t> </w:t>
      </w:r>
      <w:r>
        <w:rPr/>
        <w:t>cumplimiento de</w:t>
      </w:r>
      <w:r>
        <w:rPr>
          <w:spacing w:val="-4"/>
        </w:rPr>
        <w:t> </w:t>
      </w:r>
      <w:r>
        <w:rPr/>
        <w:t>las</w:t>
      </w:r>
      <w:r>
        <w:rPr>
          <w:spacing w:val="-2"/>
        </w:rPr>
        <w:t> </w:t>
      </w:r>
      <w:r>
        <w:rPr/>
        <w:t>metas</w:t>
      </w:r>
      <w:r>
        <w:rPr>
          <w:spacing w:val="-2"/>
        </w:rPr>
        <w:t> </w:t>
      </w:r>
      <w:r>
        <w:rPr/>
        <w:t>de</w:t>
      </w:r>
      <w:r>
        <w:rPr>
          <w:spacing w:val="-6"/>
        </w:rPr>
        <w:t> </w:t>
      </w:r>
      <w:r>
        <w:rPr/>
        <w:t>los</w:t>
      </w:r>
      <w:r>
        <w:rPr>
          <w:spacing w:val="-2"/>
        </w:rPr>
        <w:t> </w:t>
      </w:r>
      <w:r>
        <w:rPr/>
        <w:t>servicios</w:t>
      </w:r>
      <w:r>
        <w:rPr>
          <w:spacing w:val="-2"/>
        </w:rPr>
        <w:t> </w:t>
      </w:r>
      <w:r>
        <w:rPr/>
        <w:t>y</w:t>
      </w:r>
      <w:r>
        <w:rPr>
          <w:spacing w:val="-6"/>
        </w:rPr>
        <w:t> </w:t>
      </w:r>
      <w:r>
        <w:rPr/>
        <w:t>los</w:t>
      </w:r>
      <w:r>
        <w:rPr>
          <w:spacing w:val="-5"/>
        </w:rPr>
        <w:t> </w:t>
      </w:r>
      <w:r>
        <w:rPr/>
        <w:t>objetivos</w:t>
      </w:r>
      <w:r>
        <w:rPr>
          <w:spacing w:val="-5"/>
        </w:rPr>
        <w:t> </w:t>
      </w:r>
      <w:r>
        <w:rPr/>
        <w:t>prioritarios.</w:t>
      </w:r>
      <w:r>
        <w:rPr>
          <w:spacing w:val="-6"/>
        </w:rPr>
        <w:t> </w:t>
      </w:r>
      <w:r>
        <w:rPr/>
        <w:t>Para</w:t>
      </w:r>
      <w:r>
        <w:rPr>
          <w:spacing w:val="-4"/>
        </w:rPr>
        <w:t> </w:t>
      </w:r>
      <w:r>
        <w:rPr/>
        <w:t>calcular</w:t>
      </w:r>
      <w:r>
        <w:rPr>
          <w:spacing w:val="-4"/>
        </w:rPr>
        <w:t> </w:t>
      </w:r>
      <w:r>
        <w:rPr/>
        <w:t>el</w:t>
      </w:r>
      <w:r>
        <w:rPr>
          <w:spacing w:val="-2"/>
        </w:rPr>
        <w:t> </w:t>
      </w:r>
      <w:r>
        <w:rPr/>
        <w:t>nivel</w:t>
      </w:r>
      <w:r>
        <w:rPr>
          <w:spacing w:val="-5"/>
        </w:rPr>
        <w:t> </w:t>
      </w:r>
      <w:r>
        <w:rPr/>
        <w:t>de cumplimiento de los servicios, se realizó un promedio de los valores reportados de los indicadores de servicios asociados a un mismo objetivo prioritario (OP). De manera similar, el cálculo del nivel de cumplimiento de los objetivos prioritarios también se basó en el promedio de los valores reportados de sus respectivos indicadores.</w:t>
      </w:r>
    </w:p>
    <w:p>
      <w:pPr>
        <w:pStyle w:val="BodyText"/>
        <w:spacing w:line="307" w:lineRule="auto" w:before="156"/>
        <w:ind w:left="143" w:right="703"/>
        <w:jc w:val="both"/>
      </w:pPr>
      <w:r>
        <w:rPr/>
        <w:t>Cabe precisar que realizar este análisis tiene limitaciones debido a que existen servicios que no tienen indicadores formulados y algunos no han sido reportados para todos los años. En este sentido, este análisis considera únicamente aquellos objetivos prioritarios que cuenten con reportes de indicadores de servicios y de indicadores de objetivos prioritarios durante al menos tres años consecutivos. Este criterio permite analizar de manera más precisa las tendencias en el nivel de cumplimiento, asegurando que los datos reflejen un comportamiento continuo y consistente en el tiempo. En ese</w:t>
      </w:r>
      <w:r>
        <w:rPr>
          <w:spacing w:val="80"/>
        </w:rPr>
        <w:t> </w:t>
      </w:r>
      <w:r>
        <w:rPr/>
        <w:t>sentido, solo se analiza 4 de 6 objetivos prioritarios (OP1, OP3, OP4, OP5) en tanto reúnen las condiciones necesarias señaladas.</w:t>
      </w:r>
    </w:p>
    <w:p>
      <w:pPr>
        <w:pStyle w:val="BodyText"/>
        <w:spacing w:line="307" w:lineRule="auto" w:before="157"/>
        <w:ind w:left="143" w:right="705"/>
        <w:jc w:val="both"/>
      </w:pPr>
      <w:r>
        <w:rPr/>
        <w:t>Respecto</w:t>
      </w:r>
      <w:r>
        <w:rPr>
          <w:spacing w:val="-5"/>
        </w:rPr>
        <w:t> </w:t>
      </w:r>
      <w:r>
        <w:rPr/>
        <w:t>al</w:t>
      </w:r>
      <w:r>
        <w:rPr>
          <w:spacing w:val="-8"/>
        </w:rPr>
        <w:t> </w:t>
      </w:r>
      <w:r>
        <w:rPr/>
        <w:t>Objetivo</w:t>
      </w:r>
      <w:r>
        <w:rPr>
          <w:spacing w:val="-5"/>
        </w:rPr>
        <w:t> </w:t>
      </w:r>
      <w:r>
        <w:rPr/>
        <w:t>Prioritario</w:t>
      </w:r>
      <w:r>
        <w:rPr>
          <w:spacing w:val="-6"/>
        </w:rPr>
        <w:t> </w:t>
      </w:r>
      <w:r>
        <w:rPr/>
        <w:t>1</w:t>
      </w:r>
      <w:r>
        <w:rPr>
          <w:spacing w:val="-10"/>
        </w:rPr>
        <w:t> </w:t>
      </w:r>
      <w:r>
        <w:rPr/>
        <w:t>(OP1),</w:t>
      </w:r>
      <w:r>
        <w:rPr>
          <w:spacing w:val="-8"/>
        </w:rPr>
        <w:t> </w:t>
      </w:r>
      <w:r>
        <w:rPr/>
        <w:t>se</w:t>
      </w:r>
      <w:r>
        <w:rPr>
          <w:spacing w:val="-9"/>
        </w:rPr>
        <w:t> </w:t>
      </w:r>
      <w:r>
        <w:rPr/>
        <w:t>observa</w:t>
      </w:r>
      <w:r>
        <w:rPr>
          <w:spacing w:val="-5"/>
        </w:rPr>
        <w:t> </w:t>
      </w:r>
      <w:r>
        <w:rPr/>
        <w:t>una</w:t>
      </w:r>
      <w:r>
        <w:rPr>
          <w:spacing w:val="-10"/>
        </w:rPr>
        <w:t> </w:t>
      </w:r>
      <w:r>
        <w:rPr/>
        <w:t>tendencia</w:t>
      </w:r>
      <w:r>
        <w:rPr>
          <w:spacing w:val="-8"/>
        </w:rPr>
        <w:t> </w:t>
      </w:r>
      <w:r>
        <w:rPr/>
        <w:t>descendente en su nivel de cumplimiento, pasando del 90% en 2019 al 79.5% en 2023. Este</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04"/>
        <w:jc w:val="both"/>
      </w:pPr>
      <w:r>
        <w:rPr/>
        <w:t>comportamiento contrasta significativamente con el nivel de cumplimiento de</w:t>
      </w:r>
      <w:r>
        <w:rPr>
          <w:spacing w:val="40"/>
        </w:rPr>
        <w:t> </w:t>
      </w:r>
      <w:r>
        <w:rPr>
          <w:spacing w:val="-2"/>
        </w:rPr>
        <w:t>los</w:t>
      </w:r>
      <w:r>
        <w:rPr>
          <w:spacing w:val="-15"/>
        </w:rPr>
        <w:t> </w:t>
      </w:r>
      <w:r>
        <w:rPr>
          <w:spacing w:val="-2"/>
        </w:rPr>
        <w:t>servicios</w:t>
      </w:r>
      <w:r>
        <w:rPr>
          <w:spacing w:val="-10"/>
        </w:rPr>
        <w:t> </w:t>
      </w:r>
      <w:r>
        <w:rPr>
          <w:spacing w:val="-2"/>
        </w:rPr>
        <w:t>asociados</w:t>
      </w:r>
      <w:r>
        <w:rPr>
          <w:spacing w:val="-13"/>
        </w:rPr>
        <w:t> </w:t>
      </w:r>
      <w:r>
        <w:rPr>
          <w:spacing w:val="-2"/>
        </w:rPr>
        <w:t>al</w:t>
      </w:r>
      <w:r>
        <w:rPr>
          <w:spacing w:val="-10"/>
        </w:rPr>
        <w:t> </w:t>
      </w:r>
      <w:r>
        <w:rPr>
          <w:spacing w:val="-2"/>
        </w:rPr>
        <w:t>OP1,</w:t>
      </w:r>
      <w:r>
        <w:rPr>
          <w:spacing w:val="-13"/>
        </w:rPr>
        <w:t> </w:t>
      </w:r>
      <w:r>
        <w:rPr>
          <w:spacing w:val="-2"/>
        </w:rPr>
        <w:t>que</w:t>
      </w:r>
      <w:r>
        <w:rPr>
          <w:spacing w:val="-13"/>
        </w:rPr>
        <w:t> </w:t>
      </w:r>
      <w:r>
        <w:rPr>
          <w:spacing w:val="-2"/>
        </w:rPr>
        <w:t>evidencia</w:t>
      </w:r>
      <w:r>
        <w:rPr>
          <w:spacing w:val="-11"/>
        </w:rPr>
        <w:t> </w:t>
      </w:r>
      <w:r>
        <w:rPr>
          <w:spacing w:val="-2"/>
        </w:rPr>
        <w:t>una</w:t>
      </w:r>
      <w:r>
        <w:rPr>
          <w:spacing w:val="-12"/>
        </w:rPr>
        <w:t> </w:t>
      </w:r>
      <w:r>
        <w:rPr>
          <w:spacing w:val="-2"/>
        </w:rPr>
        <w:t>tendencia</w:t>
      </w:r>
      <w:r>
        <w:rPr>
          <w:spacing w:val="-14"/>
        </w:rPr>
        <w:t> </w:t>
      </w:r>
      <w:r>
        <w:rPr>
          <w:spacing w:val="-2"/>
        </w:rPr>
        <w:t>ascendente,</w:t>
      </w:r>
      <w:r>
        <w:rPr>
          <w:spacing w:val="-10"/>
        </w:rPr>
        <w:t> </w:t>
      </w:r>
      <w:r>
        <w:rPr>
          <w:spacing w:val="-2"/>
        </w:rPr>
        <w:t>al</w:t>
      </w:r>
      <w:r>
        <w:rPr>
          <w:spacing w:val="-13"/>
        </w:rPr>
        <w:t> </w:t>
      </w:r>
      <w:r>
        <w:rPr>
          <w:spacing w:val="-2"/>
        </w:rPr>
        <w:t>pasar </w:t>
      </w:r>
      <w:r>
        <w:rPr/>
        <w:t>del 68.6% en 2021 a un sorprendente 170.5% en 2023. (Grafica 9)</w:t>
      </w:r>
    </w:p>
    <w:p>
      <w:pPr>
        <w:pStyle w:val="BodyText"/>
        <w:spacing w:line="307" w:lineRule="auto" w:before="157"/>
        <w:ind w:left="143" w:right="705"/>
        <w:jc w:val="both"/>
      </w:pPr>
      <w:r>
        <w:rPr/>
        <w:t>Cabe destacar que el OP1 mostraba una tendencia ascendente hasta 2021, pero a partir de ese año comenzó a descender, marcando un comportamiento opuesto al de los servicios asociados, que continuaron incrementando su nivel de cumplimiento. Este contraste sugiere una posible desconexión entre la mejora en la implementación de los servicios y el impacto en las metas del objetivo prioritario, lo cual requiere un análisis más detallado para</w:t>
      </w:r>
      <w:r>
        <w:rPr>
          <w:spacing w:val="-1"/>
        </w:rPr>
        <w:t> </w:t>
      </w:r>
      <w:r>
        <w:rPr/>
        <w:t>identificar</w:t>
      </w:r>
      <w:r>
        <w:rPr>
          <w:spacing w:val="-1"/>
        </w:rPr>
        <w:t> </w:t>
      </w:r>
      <w:r>
        <w:rPr/>
        <w:t>las causas y proponer estrategias de alineamiento.</w:t>
      </w:r>
    </w:p>
    <w:p>
      <w:pPr>
        <w:pStyle w:val="BodyText"/>
      </w:pPr>
    </w:p>
    <w:p>
      <w:pPr>
        <w:pStyle w:val="BodyText"/>
        <w:spacing w:before="114"/>
      </w:pPr>
    </w:p>
    <w:p>
      <w:pPr>
        <w:spacing w:before="1"/>
        <w:ind w:left="204" w:right="771" w:firstLine="0"/>
        <w:jc w:val="center"/>
        <w:rPr>
          <w:sz w:val="20"/>
        </w:rPr>
      </w:pPr>
      <w:r>
        <w:rPr>
          <w:color w:val="44536A"/>
          <w:sz w:val="20"/>
        </w:rPr>
        <w:t>Gráfico</w:t>
      </w:r>
      <w:r>
        <w:rPr>
          <w:color w:val="44536A"/>
          <w:spacing w:val="-3"/>
          <w:sz w:val="20"/>
        </w:rPr>
        <w:t> </w:t>
      </w:r>
      <w:r>
        <w:rPr>
          <w:color w:val="44536A"/>
          <w:sz w:val="20"/>
        </w:rPr>
        <w:t>9.</w:t>
      </w:r>
      <w:r>
        <w:rPr>
          <w:color w:val="44536A"/>
          <w:spacing w:val="-4"/>
          <w:sz w:val="20"/>
        </w:rPr>
        <w:t> </w:t>
      </w:r>
      <w:r>
        <w:rPr>
          <w:color w:val="44536A"/>
          <w:sz w:val="20"/>
        </w:rPr>
        <w:t>Tendencia</w:t>
      </w:r>
      <w:r>
        <w:rPr>
          <w:color w:val="44536A"/>
          <w:spacing w:val="-2"/>
          <w:sz w:val="20"/>
        </w:rPr>
        <w:t> </w:t>
      </w:r>
      <w:r>
        <w:rPr>
          <w:color w:val="44536A"/>
          <w:sz w:val="20"/>
        </w:rPr>
        <w:t>promedio</w:t>
      </w:r>
      <w:r>
        <w:rPr>
          <w:color w:val="44536A"/>
          <w:spacing w:val="-3"/>
          <w:sz w:val="20"/>
        </w:rPr>
        <w:t> </w:t>
      </w:r>
      <w:r>
        <w:rPr>
          <w:color w:val="44536A"/>
          <w:sz w:val="20"/>
        </w:rPr>
        <w:t>del</w:t>
      </w:r>
      <w:r>
        <w:rPr>
          <w:color w:val="44536A"/>
          <w:spacing w:val="-4"/>
          <w:sz w:val="20"/>
        </w:rPr>
        <w:t> </w:t>
      </w:r>
      <w:r>
        <w:rPr>
          <w:color w:val="44536A"/>
          <w:sz w:val="20"/>
        </w:rPr>
        <w:t>nivel</w:t>
      </w:r>
      <w:r>
        <w:rPr>
          <w:color w:val="44536A"/>
          <w:spacing w:val="-4"/>
          <w:sz w:val="20"/>
        </w:rPr>
        <w:t> </w:t>
      </w:r>
      <w:r>
        <w:rPr>
          <w:color w:val="44536A"/>
          <w:sz w:val="20"/>
        </w:rPr>
        <w:t>de</w:t>
      </w:r>
      <w:r>
        <w:rPr>
          <w:color w:val="44536A"/>
          <w:spacing w:val="-4"/>
          <w:sz w:val="20"/>
        </w:rPr>
        <w:t> </w:t>
      </w:r>
      <w:r>
        <w:rPr>
          <w:color w:val="44536A"/>
          <w:sz w:val="20"/>
        </w:rPr>
        <w:t>cumplimiento</w:t>
      </w:r>
      <w:r>
        <w:rPr>
          <w:color w:val="44536A"/>
          <w:spacing w:val="-3"/>
          <w:sz w:val="20"/>
        </w:rPr>
        <w:t> </w:t>
      </w:r>
      <w:r>
        <w:rPr>
          <w:color w:val="44536A"/>
          <w:sz w:val="20"/>
        </w:rPr>
        <w:t>del</w:t>
      </w:r>
      <w:r>
        <w:rPr>
          <w:color w:val="44536A"/>
          <w:spacing w:val="-4"/>
          <w:sz w:val="20"/>
        </w:rPr>
        <w:t> </w:t>
      </w:r>
      <w:r>
        <w:rPr>
          <w:color w:val="44536A"/>
          <w:sz w:val="20"/>
        </w:rPr>
        <w:t>OP1</w:t>
      </w:r>
      <w:r>
        <w:rPr>
          <w:color w:val="44536A"/>
          <w:spacing w:val="-5"/>
          <w:sz w:val="20"/>
        </w:rPr>
        <w:t> </w:t>
      </w:r>
      <w:r>
        <w:rPr>
          <w:color w:val="44536A"/>
          <w:sz w:val="20"/>
        </w:rPr>
        <w:t>y</w:t>
      </w:r>
      <w:r>
        <w:rPr>
          <w:color w:val="44536A"/>
          <w:spacing w:val="-5"/>
          <w:sz w:val="20"/>
        </w:rPr>
        <w:t> </w:t>
      </w:r>
      <w:r>
        <w:rPr>
          <w:color w:val="44536A"/>
          <w:sz w:val="20"/>
        </w:rPr>
        <w:t>sus</w:t>
      </w:r>
      <w:r>
        <w:rPr>
          <w:color w:val="44536A"/>
          <w:spacing w:val="-4"/>
          <w:sz w:val="20"/>
        </w:rPr>
        <w:t> </w:t>
      </w:r>
      <w:r>
        <w:rPr>
          <w:color w:val="44536A"/>
          <w:sz w:val="20"/>
        </w:rPr>
        <w:t>servicios</w:t>
      </w:r>
      <w:r>
        <w:rPr>
          <w:color w:val="44536A"/>
          <w:spacing w:val="-4"/>
          <w:sz w:val="20"/>
        </w:rPr>
        <w:t> </w:t>
      </w:r>
      <w:r>
        <w:rPr>
          <w:color w:val="44536A"/>
          <w:spacing w:val="-2"/>
          <w:sz w:val="20"/>
        </w:rPr>
        <w:t>asociados</w:t>
      </w:r>
    </w:p>
    <w:p>
      <w:pPr>
        <w:pStyle w:val="BodyText"/>
        <w:spacing w:before="8"/>
        <w:rPr>
          <w:sz w:val="15"/>
        </w:rPr>
      </w:pPr>
      <w:r>
        <w:rPr>
          <w:sz w:val="15"/>
        </w:rPr>
        <mc:AlternateContent>
          <mc:Choice Requires="wps">
            <w:drawing>
              <wp:anchor distT="0" distB="0" distL="0" distR="0" allowOverlap="1" layoutInCell="1" locked="0" behindDoc="1" simplePos="0" relativeHeight="487595520">
                <wp:simplePos x="0" y="0"/>
                <wp:positionH relativeFrom="page">
                  <wp:posOffset>1727517</wp:posOffset>
                </wp:positionH>
                <wp:positionV relativeFrom="paragraph">
                  <wp:posOffset>130516</wp:posOffset>
                </wp:positionV>
                <wp:extent cx="4088765" cy="2361565"/>
                <wp:effectExtent l="0" t="0" r="0" b="0"/>
                <wp:wrapTopAndBottom/>
                <wp:docPr id="448" name="Group 448"/>
                <wp:cNvGraphicFramePr>
                  <a:graphicFrameLocks/>
                </wp:cNvGraphicFramePr>
                <a:graphic>
                  <a:graphicData uri="http://schemas.microsoft.com/office/word/2010/wordprocessingGroup">
                    <wpg:wgp>
                      <wpg:cNvPr id="448" name="Group 448"/>
                      <wpg:cNvGrpSpPr/>
                      <wpg:grpSpPr>
                        <a:xfrm>
                          <a:off x="0" y="0"/>
                          <a:ext cx="4088765" cy="2361565"/>
                          <a:chExt cx="4088765" cy="2361565"/>
                        </a:xfrm>
                      </wpg:grpSpPr>
                      <wps:wsp>
                        <wps:cNvPr id="449" name="Graphic 449"/>
                        <wps:cNvSpPr/>
                        <wps:spPr>
                          <a:xfrm>
                            <a:off x="144462" y="1771713"/>
                            <a:ext cx="3799840" cy="1270"/>
                          </a:xfrm>
                          <a:custGeom>
                            <a:avLst/>
                            <a:gdLst/>
                            <a:ahLst/>
                            <a:cxnLst/>
                            <a:rect l="l" t="t" r="r" b="b"/>
                            <a:pathLst>
                              <a:path w="3799840" h="0">
                                <a:moveTo>
                                  <a:pt x="0" y="0"/>
                                </a:moveTo>
                                <a:lnTo>
                                  <a:pt x="3799840" y="0"/>
                                </a:lnTo>
                              </a:path>
                            </a:pathLst>
                          </a:custGeom>
                          <a:ln w="9525">
                            <a:solidFill>
                              <a:srgbClr val="D9D9D9"/>
                            </a:solidFill>
                            <a:prstDash val="solid"/>
                          </a:ln>
                        </wps:spPr>
                        <wps:bodyPr wrap="square" lIns="0" tIns="0" rIns="0" bIns="0" rtlCol="0">
                          <a:prstTxWarp prst="textNoShape">
                            <a:avLst/>
                          </a:prstTxWarp>
                          <a:noAutofit/>
                        </wps:bodyPr>
                      </wps:wsp>
                      <wps:wsp>
                        <wps:cNvPr id="450" name="Graphic 450"/>
                        <wps:cNvSpPr/>
                        <wps:spPr>
                          <a:xfrm>
                            <a:off x="2044382" y="666940"/>
                            <a:ext cx="1520190" cy="660400"/>
                          </a:xfrm>
                          <a:custGeom>
                            <a:avLst/>
                            <a:gdLst/>
                            <a:ahLst/>
                            <a:cxnLst/>
                            <a:rect l="l" t="t" r="r" b="b"/>
                            <a:pathLst>
                              <a:path w="1520190" h="660400">
                                <a:moveTo>
                                  <a:pt x="0" y="660400"/>
                                </a:moveTo>
                                <a:lnTo>
                                  <a:pt x="760476" y="256921"/>
                                </a:lnTo>
                                <a:lnTo>
                                  <a:pt x="1519936" y="0"/>
                                </a:lnTo>
                              </a:path>
                            </a:pathLst>
                          </a:custGeom>
                          <a:ln w="28575">
                            <a:solidFill>
                              <a:srgbClr val="4471C4"/>
                            </a:solidFill>
                            <a:prstDash val="solid"/>
                          </a:ln>
                        </wps:spPr>
                        <wps:bodyPr wrap="square" lIns="0" tIns="0" rIns="0" bIns="0" rtlCol="0">
                          <a:prstTxWarp prst="textNoShape">
                            <a:avLst/>
                          </a:prstTxWarp>
                          <a:noAutofit/>
                        </wps:bodyPr>
                      </wps:wsp>
                      <wps:wsp>
                        <wps:cNvPr id="451" name="Graphic 451"/>
                        <wps:cNvSpPr/>
                        <wps:spPr>
                          <a:xfrm>
                            <a:off x="524446" y="1106741"/>
                            <a:ext cx="3040380" cy="149860"/>
                          </a:xfrm>
                          <a:custGeom>
                            <a:avLst/>
                            <a:gdLst/>
                            <a:ahLst/>
                            <a:cxnLst/>
                            <a:rect l="l" t="t" r="r" b="b"/>
                            <a:pathLst>
                              <a:path w="3040380" h="149860">
                                <a:moveTo>
                                  <a:pt x="0" y="82296"/>
                                </a:moveTo>
                                <a:lnTo>
                                  <a:pt x="759460" y="45720"/>
                                </a:lnTo>
                                <a:lnTo>
                                  <a:pt x="1519936" y="0"/>
                                </a:lnTo>
                                <a:lnTo>
                                  <a:pt x="2280412" y="121920"/>
                                </a:lnTo>
                                <a:lnTo>
                                  <a:pt x="3039872" y="149733"/>
                                </a:lnTo>
                              </a:path>
                            </a:pathLst>
                          </a:custGeom>
                          <a:ln w="28575">
                            <a:solidFill>
                              <a:srgbClr val="EC7C30"/>
                            </a:solidFill>
                            <a:prstDash val="solid"/>
                          </a:ln>
                        </wps:spPr>
                        <wps:bodyPr wrap="square" lIns="0" tIns="0" rIns="0" bIns="0" rtlCol="0">
                          <a:prstTxWarp prst="textNoShape">
                            <a:avLst/>
                          </a:prstTxWarp>
                          <a:noAutofit/>
                        </wps:bodyPr>
                      </wps:wsp>
                      <wps:wsp>
                        <wps:cNvPr id="452" name="Graphic 452"/>
                        <wps:cNvSpPr/>
                        <wps:spPr>
                          <a:xfrm>
                            <a:off x="742505" y="2173414"/>
                            <a:ext cx="243840" cy="1270"/>
                          </a:xfrm>
                          <a:custGeom>
                            <a:avLst/>
                            <a:gdLst/>
                            <a:ahLst/>
                            <a:cxnLst/>
                            <a:rect l="l" t="t" r="r" b="b"/>
                            <a:pathLst>
                              <a:path w="243840" h="0">
                                <a:moveTo>
                                  <a:pt x="0" y="0"/>
                                </a:moveTo>
                                <a:lnTo>
                                  <a:pt x="243839" y="0"/>
                                </a:lnTo>
                              </a:path>
                            </a:pathLst>
                          </a:custGeom>
                          <a:ln w="28575">
                            <a:solidFill>
                              <a:srgbClr val="4471C4"/>
                            </a:solidFill>
                            <a:prstDash val="solid"/>
                          </a:ln>
                        </wps:spPr>
                        <wps:bodyPr wrap="square" lIns="0" tIns="0" rIns="0" bIns="0" rtlCol="0">
                          <a:prstTxWarp prst="textNoShape">
                            <a:avLst/>
                          </a:prstTxWarp>
                          <a:noAutofit/>
                        </wps:bodyPr>
                      </wps:wsp>
                      <wps:wsp>
                        <wps:cNvPr id="453" name="Graphic 453"/>
                        <wps:cNvSpPr/>
                        <wps:spPr>
                          <a:xfrm>
                            <a:off x="2277935" y="2173414"/>
                            <a:ext cx="243840" cy="1270"/>
                          </a:xfrm>
                          <a:custGeom>
                            <a:avLst/>
                            <a:gdLst/>
                            <a:ahLst/>
                            <a:cxnLst/>
                            <a:rect l="l" t="t" r="r" b="b"/>
                            <a:pathLst>
                              <a:path w="243840" h="0">
                                <a:moveTo>
                                  <a:pt x="0" y="0"/>
                                </a:moveTo>
                                <a:lnTo>
                                  <a:pt x="243839" y="0"/>
                                </a:lnTo>
                              </a:path>
                            </a:pathLst>
                          </a:custGeom>
                          <a:ln w="28575">
                            <a:solidFill>
                              <a:srgbClr val="EC7C30"/>
                            </a:solidFill>
                            <a:prstDash val="solid"/>
                          </a:ln>
                        </wps:spPr>
                        <wps:bodyPr wrap="square" lIns="0" tIns="0" rIns="0" bIns="0" rtlCol="0">
                          <a:prstTxWarp prst="textNoShape">
                            <a:avLst/>
                          </a:prstTxWarp>
                          <a:noAutofit/>
                        </wps:bodyPr>
                      </wps:wsp>
                      <wps:wsp>
                        <wps:cNvPr id="454" name="Graphic 454"/>
                        <wps:cNvSpPr/>
                        <wps:spPr>
                          <a:xfrm>
                            <a:off x="4762" y="4762"/>
                            <a:ext cx="4079240" cy="2352040"/>
                          </a:xfrm>
                          <a:custGeom>
                            <a:avLst/>
                            <a:gdLst/>
                            <a:ahLst/>
                            <a:cxnLst/>
                            <a:rect l="l" t="t" r="r" b="b"/>
                            <a:pathLst>
                              <a:path w="4079240" h="2352040">
                                <a:moveTo>
                                  <a:pt x="0" y="2352040"/>
                                </a:moveTo>
                                <a:lnTo>
                                  <a:pt x="4079240" y="2352040"/>
                                </a:lnTo>
                                <a:lnTo>
                                  <a:pt x="4079240" y="0"/>
                                </a:lnTo>
                                <a:lnTo>
                                  <a:pt x="0" y="0"/>
                                </a:lnTo>
                                <a:lnTo>
                                  <a:pt x="0" y="2352040"/>
                                </a:lnTo>
                                <a:close/>
                              </a:path>
                            </a:pathLst>
                          </a:custGeom>
                          <a:ln w="9524">
                            <a:solidFill>
                              <a:srgbClr val="D9D9D9"/>
                            </a:solidFill>
                            <a:prstDash val="solid"/>
                          </a:ln>
                        </wps:spPr>
                        <wps:bodyPr wrap="square" lIns="0" tIns="0" rIns="0" bIns="0" rtlCol="0">
                          <a:prstTxWarp prst="textNoShape">
                            <a:avLst/>
                          </a:prstTxWarp>
                          <a:noAutofit/>
                        </wps:bodyPr>
                      </wps:wsp>
                      <wps:wsp>
                        <wps:cNvPr id="455" name="Textbox 455"/>
                        <wps:cNvSpPr txBox="1"/>
                        <wps:spPr>
                          <a:xfrm>
                            <a:off x="2548191" y="2120709"/>
                            <a:ext cx="85598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wps:txbx>
                        <wps:bodyPr wrap="square" lIns="0" tIns="0" rIns="0" bIns="0" rtlCol="0">
                          <a:noAutofit/>
                        </wps:bodyPr>
                      </wps:wsp>
                      <wps:wsp>
                        <wps:cNvPr id="456" name="Textbox 456"/>
                        <wps:cNvSpPr txBox="1"/>
                        <wps:spPr>
                          <a:xfrm>
                            <a:off x="1012634" y="2120709"/>
                            <a:ext cx="107569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wps:txbx>
                        <wps:bodyPr wrap="square" lIns="0" tIns="0" rIns="0" bIns="0" rtlCol="0">
                          <a:noAutofit/>
                        </wps:bodyPr>
                      </wps:wsp>
                      <wps:wsp>
                        <wps:cNvPr id="457" name="Textbox 457"/>
                        <wps:cNvSpPr txBox="1"/>
                        <wps:spPr>
                          <a:xfrm>
                            <a:off x="3449510" y="1867471"/>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2023</w:t>
                              </w:r>
                            </w:p>
                          </w:txbxContent>
                        </wps:txbx>
                        <wps:bodyPr wrap="square" lIns="0" tIns="0" rIns="0" bIns="0" rtlCol="0">
                          <a:noAutofit/>
                        </wps:bodyPr>
                      </wps:wsp>
                      <wps:wsp>
                        <wps:cNvPr id="458" name="Textbox 458"/>
                        <wps:cNvSpPr txBox="1"/>
                        <wps:spPr>
                          <a:xfrm>
                            <a:off x="2689288" y="1867471"/>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2022</w:t>
                              </w:r>
                            </w:p>
                          </w:txbxContent>
                        </wps:txbx>
                        <wps:bodyPr wrap="square" lIns="0" tIns="0" rIns="0" bIns="0" rtlCol="0">
                          <a:noAutofit/>
                        </wps:bodyPr>
                      </wps:wsp>
                      <wps:wsp>
                        <wps:cNvPr id="459" name="Textbox 459"/>
                        <wps:cNvSpPr txBox="1"/>
                        <wps:spPr>
                          <a:xfrm>
                            <a:off x="1929193" y="1867471"/>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2021</w:t>
                              </w:r>
                            </w:p>
                          </w:txbxContent>
                        </wps:txbx>
                        <wps:bodyPr wrap="square" lIns="0" tIns="0" rIns="0" bIns="0" rtlCol="0">
                          <a:noAutofit/>
                        </wps:bodyPr>
                      </wps:wsp>
                      <wps:wsp>
                        <wps:cNvPr id="460" name="Textbox 460"/>
                        <wps:cNvSpPr txBox="1"/>
                        <wps:spPr>
                          <a:xfrm>
                            <a:off x="1168971" y="1867471"/>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2020</w:t>
                              </w:r>
                            </w:p>
                          </w:txbxContent>
                        </wps:txbx>
                        <wps:bodyPr wrap="square" lIns="0" tIns="0" rIns="0" bIns="0" rtlCol="0">
                          <a:noAutofit/>
                        </wps:bodyPr>
                      </wps:wsp>
                      <wps:wsp>
                        <wps:cNvPr id="461" name="Textbox 461"/>
                        <wps:cNvSpPr txBox="1"/>
                        <wps:spPr>
                          <a:xfrm>
                            <a:off x="409130" y="1867471"/>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2019</w:t>
                              </w:r>
                            </w:p>
                          </w:txbxContent>
                        </wps:txbx>
                        <wps:bodyPr wrap="square" lIns="0" tIns="0" rIns="0" bIns="0" rtlCol="0">
                          <a:noAutofit/>
                        </wps:bodyPr>
                      </wps:wsp>
                      <wps:wsp>
                        <wps:cNvPr id="462" name="Textbox 462"/>
                        <wps:cNvSpPr txBox="1"/>
                        <wps:spPr>
                          <a:xfrm>
                            <a:off x="3463480" y="1051242"/>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79.5</w:t>
                              </w:r>
                            </w:p>
                          </w:txbxContent>
                        </wps:txbx>
                        <wps:bodyPr wrap="square" lIns="0" tIns="0" rIns="0" bIns="0" rtlCol="0">
                          <a:noAutofit/>
                        </wps:bodyPr>
                      </wps:wsp>
                      <wps:wsp>
                        <wps:cNvPr id="463" name="Textbox 463"/>
                        <wps:cNvSpPr txBox="1"/>
                        <wps:spPr>
                          <a:xfrm>
                            <a:off x="1943544" y="1122235"/>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68.6</w:t>
                              </w:r>
                            </w:p>
                          </w:txbxContent>
                        </wps:txbx>
                        <wps:bodyPr wrap="square" lIns="0" tIns="0" rIns="0" bIns="0" rtlCol="0">
                          <a:noAutofit/>
                        </wps:bodyPr>
                      </wps:wsp>
                      <wps:wsp>
                        <wps:cNvPr id="464" name="Textbox 464"/>
                        <wps:cNvSpPr txBox="1"/>
                        <wps:spPr>
                          <a:xfrm>
                            <a:off x="2703639" y="1024064"/>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83.7</w:t>
                              </w:r>
                            </w:p>
                          </w:txbxContent>
                        </wps:txbx>
                        <wps:bodyPr wrap="square" lIns="0" tIns="0" rIns="0" bIns="0" rtlCol="0">
                          <a:noAutofit/>
                        </wps:bodyPr>
                      </wps:wsp>
                      <wps:wsp>
                        <wps:cNvPr id="465" name="Textbox 465"/>
                        <wps:cNvSpPr txBox="1"/>
                        <wps:spPr>
                          <a:xfrm>
                            <a:off x="1914588" y="901509"/>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102.6</w:t>
                              </w:r>
                            </w:p>
                          </w:txbxContent>
                        </wps:txbx>
                        <wps:bodyPr wrap="square" lIns="0" tIns="0" rIns="0" bIns="0" rtlCol="0">
                          <a:noAutofit/>
                        </wps:bodyPr>
                      </wps:wsp>
                      <wps:wsp>
                        <wps:cNvPr id="466" name="Textbox 466"/>
                        <wps:cNvSpPr txBox="1"/>
                        <wps:spPr>
                          <a:xfrm>
                            <a:off x="1183322" y="947864"/>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95.5</w:t>
                              </w:r>
                            </w:p>
                          </w:txbxContent>
                        </wps:txbx>
                        <wps:bodyPr wrap="square" lIns="0" tIns="0" rIns="0" bIns="0" rtlCol="0">
                          <a:noAutofit/>
                        </wps:bodyPr>
                      </wps:wsp>
                      <wps:wsp>
                        <wps:cNvPr id="467" name="Textbox 467"/>
                        <wps:cNvSpPr txBox="1"/>
                        <wps:spPr>
                          <a:xfrm>
                            <a:off x="423100" y="983170"/>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90.0</w:t>
                              </w:r>
                            </w:p>
                          </w:txbxContent>
                        </wps:txbx>
                        <wps:bodyPr wrap="square" lIns="0" tIns="0" rIns="0" bIns="0" rtlCol="0">
                          <a:noAutofit/>
                        </wps:bodyPr>
                      </wps:wsp>
                      <wps:wsp>
                        <wps:cNvPr id="468" name="Textbox 468"/>
                        <wps:cNvSpPr txBox="1"/>
                        <wps:spPr>
                          <a:xfrm>
                            <a:off x="2674683" y="719264"/>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130.8</w:t>
                              </w:r>
                            </w:p>
                          </w:txbxContent>
                        </wps:txbx>
                        <wps:bodyPr wrap="square" lIns="0" tIns="0" rIns="0" bIns="0" rtlCol="0">
                          <a:noAutofit/>
                        </wps:bodyPr>
                      </wps:wsp>
                      <wps:wsp>
                        <wps:cNvPr id="469" name="Textbox 469"/>
                        <wps:cNvSpPr txBox="1"/>
                        <wps:spPr>
                          <a:xfrm>
                            <a:off x="3434524" y="461708"/>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170.5</w:t>
                              </w:r>
                            </w:p>
                          </w:txbxContent>
                        </wps:txbx>
                        <wps:bodyPr wrap="square" lIns="0" tIns="0" rIns="0" bIns="0" rtlCol="0">
                          <a:noAutofit/>
                        </wps:bodyPr>
                      </wps:wsp>
                      <wps:wsp>
                        <wps:cNvPr id="470" name="Textbox 470"/>
                        <wps:cNvSpPr txBox="1"/>
                        <wps:spPr>
                          <a:xfrm>
                            <a:off x="1894776" y="136080"/>
                            <a:ext cx="311785" cy="178435"/>
                          </a:xfrm>
                          <a:prstGeom prst="rect">
                            <a:avLst/>
                          </a:prstGeom>
                        </wps:spPr>
                        <wps:txbx>
                          <w:txbxContent>
                            <w:p>
                              <w:pPr>
                                <w:spacing w:line="281" w:lineRule="exact" w:before="0"/>
                                <w:ind w:left="0" w:right="0" w:firstLine="0"/>
                                <w:jc w:val="left"/>
                                <w:rPr>
                                  <w:rFonts w:ascii="Calibri"/>
                                  <w:sz w:val="28"/>
                                </w:rPr>
                              </w:pPr>
                              <w:r>
                                <w:rPr>
                                  <w:rFonts w:ascii="Calibri"/>
                                  <w:color w:val="585858"/>
                                  <w:spacing w:val="-5"/>
                                  <w:sz w:val="28"/>
                                </w:rPr>
                                <w:t>OP1</w:t>
                              </w:r>
                            </w:p>
                          </w:txbxContent>
                        </wps:txbx>
                        <wps:bodyPr wrap="square" lIns="0" tIns="0" rIns="0" bIns="0" rtlCol="0">
                          <a:noAutofit/>
                        </wps:bodyPr>
                      </wps:wsp>
                    </wpg:wgp>
                  </a:graphicData>
                </a:graphic>
              </wp:anchor>
            </w:drawing>
          </mc:Choice>
          <mc:Fallback>
            <w:pict>
              <v:group style="position:absolute;margin-left:136.024994pt;margin-top:10.276855pt;width:321.95pt;height:185.95pt;mso-position-horizontal-relative:page;mso-position-vertical-relative:paragraph;z-index:-15720960;mso-wrap-distance-left:0;mso-wrap-distance-right:0" id="docshapegroup443" coordorigin="2720,206" coordsize="6439,3719">
                <v:line style="position:absolute" from="2948,2996" to="8932,2996" stroked="true" strokeweight=".75pt" strokecolor="#d9d9d9">
                  <v:stroke dashstyle="solid"/>
                </v:line>
                <v:shape style="position:absolute;left:5940;top:1255;width:2394;height:1040" id="docshape444" coordorigin="5940,1256" coordsize="2394,1040" path="m5940,2296l7138,1660,8334,1256e" filled="false" stroked="true" strokeweight="2.25pt" strokecolor="#4471c4">
                  <v:path arrowok="t"/>
                  <v:stroke dashstyle="solid"/>
                </v:shape>
                <v:shape style="position:absolute;left:3546;top:1948;width:4788;height:236" id="docshape445" coordorigin="3546,1948" coordsize="4788,236" path="m3546,2078l4742,2020,5940,1948,7138,2140,8334,2184e" filled="false" stroked="true" strokeweight="2.25pt" strokecolor="#ec7c30">
                  <v:path arrowok="t"/>
                  <v:stroke dashstyle="solid"/>
                </v:shape>
                <v:line style="position:absolute" from="3890,3628" to="4274,3628" stroked="true" strokeweight="2.25pt" strokecolor="#4471c4">
                  <v:stroke dashstyle="solid"/>
                </v:line>
                <v:line style="position:absolute" from="6308,3628" to="6692,3628" stroked="true" strokeweight="2.25pt" strokecolor="#ec7c30">
                  <v:stroke dashstyle="solid"/>
                </v:line>
                <v:rect style="position:absolute;left:2728;top:213;width:6424;height:3704" id="docshape446" filled="false" stroked="true" strokeweight=".75pt" strokecolor="#d9d9d9">
                  <v:stroke dashstyle="solid"/>
                </v:rect>
                <v:shape style="position:absolute;left:6733;top:3545;width:1348;height:180" type="#_x0000_t202" id="docshape447"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v:textbox>
                  <w10:wrap type="none"/>
                </v:shape>
                <v:shape style="position:absolute;left:4315;top:3545;width:1694;height:180" type="#_x0000_t202" id="docshape448"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v:textbox>
                  <w10:wrap type="none"/>
                </v:shape>
                <v:shape style="position:absolute;left:8152;top:3146;width:385;height:180" type="#_x0000_t202" id="docshape449"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2023</w:t>
                        </w:r>
                      </w:p>
                    </w:txbxContent>
                  </v:textbox>
                  <w10:wrap type="none"/>
                </v:shape>
                <v:shape style="position:absolute;left:6955;top:3146;width:385;height:180" type="#_x0000_t202" id="docshape450"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2022</w:t>
                        </w:r>
                      </w:p>
                    </w:txbxContent>
                  </v:textbox>
                  <w10:wrap type="none"/>
                </v:shape>
                <v:shape style="position:absolute;left:5758;top:3146;width:385;height:180" type="#_x0000_t202" id="docshape451"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2021</w:t>
                        </w:r>
                      </w:p>
                    </w:txbxContent>
                  </v:textbox>
                  <w10:wrap type="none"/>
                </v:shape>
                <v:shape style="position:absolute;left:4561;top:3146;width:385;height:180" type="#_x0000_t202" id="docshape452"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2020</w:t>
                        </w:r>
                      </w:p>
                    </w:txbxContent>
                  </v:textbox>
                  <w10:wrap type="none"/>
                </v:shape>
                <v:shape style="position:absolute;left:3364;top:3146;width:385;height:180" type="#_x0000_t202" id="docshape453"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2019</w:t>
                        </w:r>
                      </w:p>
                    </w:txbxContent>
                  </v:textbox>
                  <w10:wrap type="none"/>
                </v:shape>
                <v:shape style="position:absolute;left:8174;top:1861;width:340;height:180" type="#_x0000_t202" id="docshape454"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79.5</w:t>
                        </w:r>
                      </w:p>
                    </w:txbxContent>
                  </v:textbox>
                  <w10:wrap type="none"/>
                </v:shape>
                <v:shape style="position:absolute;left:5781;top:1972;width:340;height:180" type="#_x0000_t202" id="docshape455"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68.6</w:t>
                        </w:r>
                      </w:p>
                    </w:txbxContent>
                  </v:textbox>
                  <w10:wrap type="none"/>
                </v:shape>
                <v:shape style="position:absolute;left:6978;top:1818;width:340;height:180" type="#_x0000_t202" id="docshape456"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83.7</w:t>
                        </w:r>
                      </w:p>
                    </w:txbxContent>
                  </v:textbox>
                  <w10:wrap type="none"/>
                </v:shape>
                <v:shape style="position:absolute;left:5735;top:1625;width:431;height:180" type="#_x0000_t202" id="docshape457"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102.6</w:t>
                        </w:r>
                      </w:p>
                    </w:txbxContent>
                  </v:textbox>
                  <w10:wrap type="none"/>
                </v:shape>
                <v:shape style="position:absolute;left:4584;top:1698;width:340;height:180" type="#_x0000_t202" id="docshape458"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95.5</w:t>
                        </w:r>
                      </w:p>
                    </w:txbxContent>
                  </v:textbox>
                  <w10:wrap type="none"/>
                </v:shape>
                <v:shape style="position:absolute;left:3386;top:1753;width:340;height:180" type="#_x0000_t202" id="docshape459"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90.0</w:t>
                        </w:r>
                      </w:p>
                    </w:txbxContent>
                  </v:textbox>
                  <w10:wrap type="none"/>
                </v:shape>
                <v:shape style="position:absolute;left:6932;top:1338;width:431;height:180" type="#_x0000_t202" id="docshape460"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130.8</w:t>
                        </w:r>
                      </w:p>
                    </w:txbxContent>
                  </v:textbox>
                  <w10:wrap type="none"/>
                </v:shape>
                <v:shape style="position:absolute;left:8129;top:932;width:431;height:180" type="#_x0000_t202" id="docshape461"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170.5</w:t>
                        </w:r>
                      </w:p>
                    </w:txbxContent>
                  </v:textbox>
                  <w10:wrap type="none"/>
                </v:shape>
                <v:shape style="position:absolute;left:5704;top:419;width:491;height:281" type="#_x0000_t202" id="docshape462" filled="false" stroked="false">
                  <v:textbox inset="0,0,0,0">
                    <w:txbxContent>
                      <w:p>
                        <w:pPr>
                          <w:spacing w:line="281" w:lineRule="exact" w:before="0"/>
                          <w:ind w:left="0" w:right="0" w:firstLine="0"/>
                          <w:jc w:val="left"/>
                          <w:rPr>
                            <w:rFonts w:ascii="Calibri"/>
                            <w:sz w:val="28"/>
                          </w:rPr>
                        </w:pPr>
                        <w:r>
                          <w:rPr>
                            <w:rFonts w:ascii="Calibri"/>
                            <w:color w:val="585858"/>
                            <w:spacing w:val="-5"/>
                            <w:sz w:val="28"/>
                          </w:rPr>
                          <w:t>OP1</w:t>
                        </w:r>
                      </w:p>
                    </w:txbxContent>
                  </v:textbox>
                  <w10:wrap type="none"/>
                </v:shape>
                <w10:wrap type="topAndBottom"/>
              </v:group>
            </w:pict>
          </mc:Fallback>
        </mc:AlternateContent>
      </w:r>
    </w:p>
    <w:p>
      <w:pPr>
        <w:pStyle w:val="BodyText"/>
        <w:rPr>
          <w:sz w:val="20"/>
        </w:rPr>
      </w:pPr>
    </w:p>
    <w:p>
      <w:pPr>
        <w:pStyle w:val="BodyText"/>
        <w:spacing w:before="213"/>
        <w:rPr>
          <w:sz w:val="20"/>
        </w:rPr>
      </w:pPr>
    </w:p>
    <w:p>
      <w:pPr>
        <w:pStyle w:val="BodyText"/>
        <w:spacing w:line="307" w:lineRule="auto"/>
        <w:ind w:left="143" w:right="704"/>
        <w:jc w:val="both"/>
      </w:pPr>
      <w:r>
        <w:rPr/>
        <w:t>Respecto al Objetivo Prioritario 3 (OP3), se observa una tendencia ascendente en su nivel de cumplimiento, pasando del 116.8% en 2019 al 144.6% en 2023. Este comportamiento contrasta significativamente con el nivel de cumplimiento de</w:t>
      </w:r>
      <w:r>
        <w:rPr>
          <w:spacing w:val="-7"/>
        </w:rPr>
        <w:t> </w:t>
      </w:r>
      <w:r>
        <w:rPr/>
        <w:t>los</w:t>
      </w:r>
      <w:r>
        <w:rPr>
          <w:spacing w:val="-8"/>
        </w:rPr>
        <w:t> </w:t>
      </w:r>
      <w:r>
        <w:rPr/>
        <w:t>servicios</w:t>
      </w:r>
      <w:r>
        <w:rPr>
          <w:spacing w:val="-6"/>
        </w:rPr>
        <w:t> </w:t>
      </w:r>
      <w:r>
        <w:rPr/>
        <w:t>asociados</w:t>
      </w:r>
      <w:r>
        <w:rPr>
          <w:spacing w:val="-6"/>
        </w:rPr>
        <w:t> </w:t>
      </w:r>
      <w:r>
        <w:rPr/>
        <w:t>al</w:t>
      </w:r>
      <w:r>
        <w:rPr>
          <w:spacing w:val="-6"/>
        </w:rPr>
        <w:t> </w:t>
      </w:r>
      <w:r>
        <w:rPr/>
        <w:t>OP3,</w:t>
      </w:r>
      <w:r>
        <w:rPr>
          <w:spacing w:val="-6"/>
        </w:rPr>
        <w:t> </w:t>
      </w:r>
      <w:r>
        <w:rPr/>
        <w:t>que</w:t>
      </w:r>
      <w:r>
        <w:rPr>
          <w:spacing w:val="-7"/>
        </w:rPr>
        <w:t> </w:t>
      </w:r>
      <w:r>
        <w:rPr/>
        <w:t>evidencia</w:t>
      </w:r>
      <w:r>
        <w:rPr>
          <w:spacing w:val="-7"/>
        </w:rPr>
        <w:t> </w:t>
      </w:r>
      <w:r>
        <w:rPr/>
        <w:t>una</w:t>
      </w:r>
      <w:r>
        <w:rPr>
          <w:spacing w:val="-7"/>
        </w:rPr>
        <w:t> </w:t>
      </w:r>
      <w:r>
        <w:rPr/>
        <w:t>tendencia</w:t>
      </w:r>
      <w:r>
        <w:rPr>
          <w:spacing w:val="-5"/>
        </w:rPr>
        <w:t> </w:t>
      </w:r>
      <w:r>
        <w:rPr/>
        <w:t>descendente,</w:t>
      </w:r>
      <w:r>
        <w:rPr>
          <w:spacing w:val="-6"/>
        </w:rPr>
        <w:t> </w:t>
      </w:r>
      <w:r>
        <w:rPr/>
        <w:t>al pasar del 2496.1% en 2021 a un 679.7% en 2023. (Grafica 10)</w:t>
      </w:r>
    </w:p>
    <w:p>
      <w:pPr>
        <w:spacing w:line="309" w:lineRule="auto" w:before="150"/>
        <w:ind w:left="603" w:right="1176" w:firstLine="0"/>
        <w:jc w:val="center"/>
        <w:rPr>
          <w:sz w:val="20"/>
        </w:rPr>
      </w:pPr>
      <w:r>
        <w:rPr>
          <w:color w:val="44536A"/>
          <w:sz w:val="20"/>
        </w:rPr>
        <w:t>Gráfico</w:t>
      </w:r>
      <w:r>
        <w:rPr>
          <w:color w:val="44536A"/>
          <w:spacing w:val="-1"/>
          <w:sz w:val="20"/>
        </w:rPr>
        <w:t> </w:t>
      </w:r>
      <w:r>
        <w:rPr>
          <w:color w:val="44536A"/>
          <w:sz w:val="20"/>
        </w:rPr>
        <w:t>10.</w:t>
      </w:r>
      <w:r>
        <w:rPr>
          <w:color w:val="44536A"/>
          <w:spacing w:val="-2"/>
          <w:sz w:val="20"/>
        </w:rPr>
        <w:t> </w:t>
      </w:r>
      <w:r>
        <w:rPr>
          <w:color w:val="44536A"/>
          <w:sz w:val="20"/>
        </w:rPr>
        <w:t>Tendencia</w:t>
      </w:r>
      <w:r>
        <w:rPr>
          <w:color w:val="44536A"/>
          <w:spacing w:val="-2"/>
          <w:sz w:val="20"/>
        </w:rPr>
        <w:t> </w:t>
      </w:r>
      <w:r>
        <w:rPr>
          <w:color w:val="44536A"/>
          <w:sz w:val="20"/>
        </w:rPr>
        <w:t>promedio</w:t>
      </w:r>
      <w:r>
        <w:rPr>
          <w:color w:val="44536A"/>
          <w:spacing w:val="-1"/>
          <w:sz w:val="20"/>
        </w:rPr>
        <w:t> </w:t>
      </w:r>
      <w:r>
        <w:rPr>
          <w:color w:val="44536A"/>
          <w:sz w:val="20"/>
        </w:rPr>
        <w:t>del</w:t>
      </w:r>
      <w:r>
        <w:rPr>
          <w:color w:val="44536A"/>
          <w:spacing w:val="-2"/>
          <w:sz w:val="20"/>
        </w:rPr>
        <w:t> </w:t>
      </w:r>
      <w:r>
        <w:rPr>
          <w:color w:val="44536A"/>
          <w:sz w:val="20"/>
        </w:rPr>
        <w:t>nivel</w:t>
      </w:r>
      <w:r>
        <w:rPr>
          <w:color w:val="44536A"/>
          <w:spacing w:val="-2"/>
          <w:sz w:val="20"/>
        </w:rPr>
        <w:t> </w:t>
      </w:r>
      <w:r>
        <w:rPr>
          <w:color w:val="44536A"/>
          <w:sz w:val="20"/>
        </w:rPr>
        <w:t>de</w:t>
      </w:r>
      <w:r>
        <w:rPr>
          <w:color w:val="44536A"/>
          <w:spacing w:val="-2"/>
          <w:sz w:val="20"/>
        </w:rPr>
        <w:t> </w:t>
      </w:r>
      <w:r>
        <w:rPr>
          <w:color w:val="44536A"/>
          <w:sz w:val="20"/>
        </w:rPr>
        <w:t>cumplimiento</w:t>
      </w:r>
      <w:r>
        <w:rPr>
          <w:color w:val="44536A"/>
          <w:spacing w:val="-1"/>
          <w:sz w:val="20"/>
        </w:rPr>
        <w:t> </w:t>
      </w:r>
      <w:r>
        <w:rPr>
          <w:color w:val="44536A"/>
          <w:sz w:val="20"/>
        </w:rPr>
        <w:t>de</w:t>
      </w:r>
      <w:r>
        <w:rPr>
          <w:color w:val="44536A"/>
          <w:spacing w:val="-2"/>
          <w:sz w:val="20"/>
        </w:rPr>
        <w:t> </w:t>
      </w:r>
      <w:r>
        <w:rPr>
          <w:color w:val="44536A"/>
          <w:sz w:val="20"/>
        </w:rPr>
        <w:t>los</w:t>
      </w:r>
      <w:r>
        <w:rPr>
          <w:color w:val="44536A"/>
          <w:spacing w:val="-2"/>
          <w:sz w:val="20"/>
        </w:rPr>
        <w:t> </w:t>
      </w:r>
      <w:r>
        <w:rPr>
          <w:color w:val="44536A"/>
          <w:sz w:val="20"/>
        </w:rPr>
        <w:t>OP3</w:t>
      </w:r>
      <w:r>
        <w:rPr>
          <w:color w:val="44536A"/>
          <w:spacing w:val="-3"/>
          <w:sz w:val="20"/>
        </w:rPr>
        <w:t> </w:t>
      </w:r>
      <w:r>
        <w:rPr>
          <w:color w:val="44536A"/>
          <w:sz w:val="20"/>
        </w:rPr>
        <w:t>y</w:t>
      </w:r>
      <w:r>
        <w:rPr>
          <w:color w:val="44536A"/>
          <w:spacing w:val="-3"/>
          <w:sz w:val="20"/>
        </w:rPr>
        <w:t> </w:t>
      </w:r>
      <w:r>
        <w:rPr>
          <w:color w:val="44536A"/>
          <w:sz w:val="20"/>
        </w:rPr>
        <w:t>sus</w:t>
      </w:r>
      <w:r>
        <w:rPr>
          <w:color w:val="44536A"/>
          <w:spacing w:val="-2"/>
          <w:sz w:val="20"/>
        </w:rPr>
        <w:t> </w:t>
      </w:r>
      <w:r>
        <w:rPr>
          <w:color w:val="44536A"/>
          <w:sz w:val="20"/>
        </w:rPr>
        <w:t>servicios </w:t>
      </w:r>
      <w:r>
        <w:rPr>
          <w:color w:val="44536A"/>
          <w:spacing w:val="-2"/>
          <w:sz w:val="20"/>
        </w:rPr>
        <w:t>asociados</w:t>
      </w:r>
    </w:p>
    <w:p>
      <w:pPr>
        <w:spacing w:after="0" w:line="309" w:lineRule="auto"/>
        <w:jc w:val="center"/>
        <w:rPr>
          <w:sz w:val="20"/>
        </w:rPr>
        <w:sectPr>
          <w:pgSz w:w="11910" w:h="16840"/>
          <w:pgMar w:header="713" w:footer="1000" w:top="1420" w:bottom="1200" w:left="1559" w:right="992"/>
        </w:sectPr>
      </w:pPr>
    </w:p>
    <w:p>
      <w:pPr>
        <w:pStyle w:val="BodyText"/>
        <w:spacing w:before="1"/>
        <w:rPr>
          <w:sz w:val="7"/>
        </w:rPr>
      </w:pPr>
    </w:p>
    <w:p>
      <w:pPr>
        <w:pStyle w:val="BodyText"/>
        <w:ind w:left="1185"/>
        <w:rPr>
          <w:sz w:val="20"/>
        </w:rPr>
      </w:pPr>
      <w:r>
        <w:rPr>
          <w:sz w:val="20"/>
        </w:rPr>
        <mc:AlternateContent>
          <mc:Choice Requires="wps">
            <w:drawing>
              <wp:inline distT="0" distB="0" distL="0" distR="0">
                <wp:extent cx="4088129" cy="2363470"/>
                <wp:effectExtent l="0" t="0" r="0" b="8255"/>
                <wp:docPr id="471" name="Group 471"/>
                <wp:cNvGraphicFramePr>
                  <a:graphicFrameLocks/>
                </wp:cNvGraphicFramePr>
                <a:graphic>
                  <a:graphicData uri="http://schemas.microsoft.com/office/word/2010/wordprocessingGroup">
                    <wpg:wgp>
                      <wpg:cNvPr id="471" name="Group 471"/>
                      <wpg:cNvGrpSpPr/>
                      <wpg:grpSpPr>
                        <a:xfrm>
                          <a:off x="0" y="0"/>
                          <a:ext cx="4088129" cy="2363470"/>
                          <a:chExt cx="4088129" cy="2363470"/>
                        </a:xfrm>
                      </wpg:grpSpPr>
                      <wps:wsp>
                        <wps:cNvPr id="472" name="Graphic 472"/>
                        <wps:cNvSpPr/>
                        <wps:spPr>
                          <a:xfrm>
                            <a:off x="144462" y="1773618"/>
                            <a:ext cx="3799204" cy="36195"/>
                          </a:xfrm>
                          <a:custGeom>
                            <a:avLst/>
                            <a:gdLst/>
                            <a:ahLst/>
                            <a:cxnLst/>
                            <a:rect l="l" t="t" r="r" b="b"/>
                            <a:pathLst>
                              <a:path w="3799204" h="36195">
                                <a:moveTo>
                                  <a:pt x="0" y="0"/>
                                </a:moveTo>
                                <a:lnTo>
                                  <a:pt x="3799205" y="0"/>
                                </a:lnTo>
                              </a:path>
                              <a:path w="3799204" h="36195">
                                <a:moveTo>
                                  <a:pt x="0" y="0"/>
                                </a:moveTo>
                                <a:lnTo>
                                  <a:pt x="0" y="36195"/>
                                </a:lnTo>
                              </a:path>
                              <a:path w="3799204" h="36195">
                                <a:moveTo>
                                  <a:pt x="759460" y="0"/>
                                </a:moveTo>
                                <a:lnTo>
                                  <a:pt x="759460" y="36195"/>
                                </a:lnTo>
                              </a:path>
                              <a:path w="3799204" h="36195">
                                <a:moveTo>
                                  <a:pt x="1519936" y="0"/>
                                </a:moveTo>
                                <a:lnTo>
                                  <a:pt x="1519936" y="36195"/>
                                </a:lnTo>
                              </a:path>
                              <a:path w="3799204" h="36195">
                                <a:moveTo>
                                  <a:pt x="2278888" y="0"/>
                                </a:moveTo>
                                <a:lnTo>
                                  <a:pt x="2278888" y="36195"/>
                                </a:lnTo>
                              </a:path>
                              <a:path w="3799204" h="36195">
                                <a:moveTo>
                                  <a:pt x="3039364" y="0"/>
                                </a:moveTo>
                                <a:lnTo>
                                  <a:pt x="3039364" y="36195"/>
                                </a:lnTo>
                              </a:path>
                              <a:path w="3799204" h="36195">
                                <a:moveTo>
                                  <a:pt x="3799205" y="0"/>
                                </a:moveTo>
                                <a:lnTo>
                                  <a:pt x="3799205" y="36195"/>
                                </a:lnTo>
                              </a:path>
                            </a:pathLst>
                          </a:custGeom>
                          <a:ln w="9525">
                            <a:solidFill>
                              <a:srgbClr val="D9D9D9"/>
                            </a:solidFill>
                            <a:prstDash val="solid"/>
                          </a:ln>
                        </wps:spPr>
                        <wps:bodyPr wrap="square" lIns="0" tIns="0" rIns="0" bIns="0" rtlCol="0">
                          <a:prstTxWarp prst="textNoShape">
                            <a:avLst/>
                          </a:prstTxWarp>
                          <a:noAutofit/>
                        </wps:bodyPr>
                      </wps:wsp>
                      <wps:wsp>
                        <wps:cNvPr id="473" name="Graphic 473"/>
                        <wps:cNvSpPr/>
                        <wps:spPr>
                          <a:xfrm>
                            <a:off x="2044128" y="477837"/>
                            <a:ext cx="1520190" cy="1067435"/>
                          </a:xfrm>
                          <a:custGeom>
                            <a:avLst/>
                            <a:gdLst/>
                            <a:ahLst/>
                            <a:cxnLst/>
                            <a:rect l="l" t="t" r="r" b="b"/>
                            <a:pathLst>
                              <a:path w="1520190" h="1067435">
                                <a:moveTo>
                                  <a:pt x="0" y="0"/>
                                </a:moveTo>
                                <a:lnTo>
                                  <a:pt x="760221" y="1067307"/>
                                </a:lnTo>
                                <a:lnTo>
                                  <a:pt x="1519681" y="943482"/>
                                </a:lnTo>
                              </a:path>
                            </a:pathLst>
                          </a:custGeom>
                          <a:ln w="28575">
                            <a:solidFill>
                              <a:srgbClr val="4471C4"/>
                            </a:solidFill>
                            <a:prstDash val="solid"/>
                          </a:ln>
                        </wps:spPr>
                        <wps:bodyPr wrap="square" lIns="0" tIns="0" rIns="0" bIns="0" rtlCol="0">
                          <a:prstTxWarp prst="textNoShape">
                            <a:avLst/>
                          </a:prstTxWarp>
                          <a:noAutofit/>
                        </wps:bodyPr>
                      </wps:wsp>
                      <wps:wsp>
                        <wps:cNvPr id="474" name="Graphic 474"/>
                        <wps:cNvSpPr/>
                        <wps:spPr>
                          <a:xfrm>
                            <a:off x="524446" y="1698561"/>
                            <a:ext cx="3039745" cy="18415"/>
                          </a:xfrm>
                          <a:custGeom>
                            <a:avLst/>
                            <a:gdLst/>
                            <a:ahLst/>
                            <a:cxnLst/>
                            <a:rect l="l" t="t" r="r" b="b"/>
                            <a:pathLst>
                              <a:path w="3039745" h="18415">
                                <a:moveTo>
                                  <a:pt x="0" y="13843"/>
                                </a:moveTo>
                                <a:lnTo>
                                  <a:pt x="760476" y="13843"/>
                                </a:lnTo>
                                <a:lnTo>
                                  <a:pt x="1519427" y="16891"/>
                                </a:lnTo>
                                <a:lnTo>
                                  <a:pt x="2279904" y="18033"/>
                                </a:lnTo>
                                <a:lnTo>
                                  <a:pt x="3039364" y="0"/>
                                </a:lnTo>
                              </a:path>
                            </a:pathLst>
                          </a:custGeom>
                          <a:ln w="28575">
                            <a:solidFill>
                              <a:srgbClr val="EC7C30"/>
                            </a:solidFill>
                            <a:prstDash val="solid"/>
                          </a:ln>
                        </wps:spPr>
                        <wps:bodyPr wrap="square" lIns="0" tIns="0" rIns="0" bIns="0" rtlCol="0">
                          <a:prstTxWarp prst="textNoShape">
                            <a:avLst/>
                          </a:prstTxWarp>
                          <a:noAutofit/>
                        </wps:bodyPr>
                      </wps:wsp>
                      <wps:wsp>
                        <wps:cNvPr id="475" name="Graphic 475"/>
                        <wps:cNvSpPr/>
                        <wps:spPr>
                          <a:xfrm>
                            <a:off x="742251" y="2175319"/>
                            <a:ext cx="243840" cy="1270"/>
                          </a:xfrm>
                          <a:custGeom>
                            <a:avLst/>
                            <a:gdLst/>
                            <a:ahLst/>
                            <a:cxnLst/>
                            <a:rect l="l" t="t" r="r" b="b"/>
                            <a:pathLst>
                              <a:path w="243840" h="0">
                                <a:moveTo>
                                  <a:pt x="0" y="0"/>
                                </a:moveTo>
                                <a:lnTo>
                                  <a:pt x="243839" y="0"/>
                                </a:lnTo>
                              </a:path>
                            </a:pathLst>
                          </a:custGeom>
                          <a:ln w="28575">
                            <a:solidFill>
                              <a:srgbClr val="4471C4"/>
                            </a:solidFill>
                            <a:prstDash val="solid"/>
                          </a:ln>
                        </wps:spPr>
                        <wps:bodyPr wrap="square" lIns="0" tIns="0" rIns="0" bIns="0" rtlCol="0">
                          <a:prstTxWarp prst="textNoShape">
                            <a:avLst/>
                          </a:prstTxWarp>
                          <a:noAutofit/>
                        </wps:bodyPr>
                      </wps:wsp>
                      <wps:wsp>
                        <wps:cNvPr id="476" name="Graphic 476"/>
                        <wps:cNvSpPr/>
                        <wps:spPr>
                          <a:xfrm>
                            <a:off x="2277681" y="2175319"/>
                            <a:ext cx="243840" cy="1270"/>
                          </a:xfrm>
                          <a:custGeom>
                            <a:avLst/>
                            <a:gdLst/>
                            <a:ahLst/>
                            <a:cxnLst/>
                            <a:rect l="l" t="t" r="r" b="b"/>
                            <a:pathLst>
                              <a:path w="243840" h="0">
                                <a:moveTo>
                                  <a:pt x="0" y="0"/>
                                </a:moveTo>
                                <a:lnTo>
                                  <a:pt x="243839" y="0"/>
                                </a:lnTo>
                              </a:path>
                            </a:pathLst>
                          </a:custGeom>
                          <a:ln w="28575">
                            <a:solidFill>
                              <a:srgbClr val="EC7C30"/>
                            </a:solidFill>
                            <a:prstDash val="solid"/>
                          </a:ln>
                        </wps:spPr>
                        <wps:bodyPr wrap="square" lIns="0" tIns="0" rIns="0" bIns="0" rtlCol="0">
                          <a:prstTxWarp prst="textNoShape">
                            <a:avLst/>
                          </a:prstTxWarp>
                          <a:noAutofit/>
                        </wps:bodyPr>
                      </wps:wsp>
                      <wps:wsp>
                        <wps:cNvPr id="477" name="Graphic 477"/>
                        <wps:cNvSpPr/>
                        <wps:spPr>
                          <a:xfrm>
                            <a:off x="4762" y="4762"/>
                            <a:ext cx="4078604" cy="2353945"/>
                          </a:xfrm>
                          <a:custGeom>
                            <a:avLst/>
                            <a:gdLst/>
                            <a:ahLst/>
                            <a:cxnLst/>
                            <a:rect l="l" t="t" r="r" b="b"/>
                            <a:pathLst>
                              <a:path w="4078604" h="2353945">
                                <a:moveTo>
                                  <a:pt x="0" y="2353945"/>
                                </a:moveTo>
                                <a:lnTo>
                                  <a:pt x="4078604" y="2353945"/>
                                </a:lnTo>
                                <a:lnTo>
                                  <a:pt x="4078604" y="0"/>
                                </a:lnTo>
                                <a:lnTo>
                                  <a:pt x="0" y="0"/>
                                </a:lnTo>
                                <a:lnTo>
                                  <a:pt x="0" y="2353945"/>
                                </a:lnTo>
                                <a:close/>
                              </a:path>
                            </a:pathLst>
                          </a:custGeom>
                          <a:ln w="9525">
                            <a:solidFill>
                              <a:srgbClr val="D9D9D9"/>
                            </a:solidFill>
                            <a:prstDash val="solid"/>
                          </a:ln>
                        </wps:spPr>
                        <wps:bodyPr wrap="square" lIns="0" tIns="0" rIns="0" bIns="0" rtlCol="0">
                          <a:prstTxWarp prst="textNoShape">
                            <a:avLst/>
                          </a:prstTxWarp>
                          <a:noAutofit/>
                        </wps:bodyPr>
                      </wps:wsp>
                      <wps:wsp>
                        <wps:cNvPr id="478" name="Textbox 478"/>
                        <wps:cNvSpPr txBox="1"/>
                        <wps:spPr>
                          <a:xfrm>
                            <a:off x="2548064" y="2122233"/>
                            <a:ext cx="85598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wps:txbx>
                        <wps:bodyPr wrap="square" lIns="0" tIns="0" rIns="0" bIns="0" rtlCol="0">
                          <a:noAutofit/>
                        </wps:bodyPr>
                      </wps:wsp>
                      <wps:wsp>
                        <wps:cNvPr id="479" name="Textbox 479"/>
                        <wps:cNvSpPr txBox="1"/>
                        <wps:spPr>
                          <a:xfrm>
                            <a:off x="1012380" y="2122233"/>
                            <a:ext cx="107569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wps:txbx>
                        <wps:bodyPr wrap="square" lIns="0" tIns="0" rIns="0" bIns="0" rtlCol="0">
                          <a:noAutofit/>
                        </wps:bodyPr>
                      </wps:wsp>
                      <wps:wsp>
                        <wps:cNvPr id="480" name="Textbox 480"/>
                        <wps:cNvSpPr txBox="1"/>
                        <wps:spPr>
                          <a:xfrm>
                            <a:off x="3449002" y="1868995"/>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2023</w:t>
                              </w:r>
                            </w:p>
                          </w:txbxContent>
                        </wps:txbx>
                        <wps:bodyPr wrap="square" lIns="0" tIns="0" rIns="0" bIns="0" rtlCol="0">
                          <a:noAutofit/>
                        </wps:bodyPr>
                      </wps:wsp>
                      <wps:wsp>
                        <wps:cNvPr id="481" name="Textbox 481"/>
                        <wps:cNvSpPr txBox="1"/>
                        <wps:spPr>
                          <a:xfrm>
                            <a:off x="2688780" y="1868995"/>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2022</w:t>
                              </w:r>
                            </w:p>
                          </w:txbxContent>
                        </wps:txbx>
                        <wps:bodyPr wrap="square" lIns="0" tIns="0" rIns="0" bIns="0" rtlCol="0">
                          <a:noAutofit/>
                        </wps:bodyPr>
                      </wps:wsp>
                      <wps:wsp>
                        <wps:cNvPr id="482" name="Textbox 482"/>
                        <wps:cNvSpPr txBox="1"/>
                        <wps:spPr>
                          <a:xfrm>
                            <a:off x="1928939" y="1868995"/>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2021</w:t>
                              </w:r>
                            </w:p>
                          </w:txbxContent>
                        </wps:txbx>
                        <wps:bodyPr wrap="square" lIns="0" tIns="0" rIns="0" bIns="0" rtlCol="0">
                          <a:noAutofit/>
                        </wps:bodyPr>
                      </wps:wsp>
                      <wps:wsp>
                        <wps:cNvPr id="483" name="Textbox 483"/>
                        <wps:cNvSpPr txBox="1"/>
                        <wps:spPr>
                          <a:xfrm>
                            <a:off x="1169098" y="1868995"/>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2020</w:t>
                              </w:r>
                            </w:p>
                          </w:txbxContent>
                        </wps:txbx>
                        <wps:bodyPr wrap="square" lIns="0" tIns="0" rIns="0" bIns="0" rtlCol="0">
                          <a:noAutofit/>
                        </wps:bodyPr>
                      </wps:wsp>
                      <wps:wsp>
                        <wps:cNvPr id="484" name="Textbox 484"/>
                        <wps:cNvSpPr txBox="1"/>
                        <wps:spPr>
                          <a:xfrm>
                            <a:off x="408876" y="1868995"/>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2019</w:t>
                              </w:r>
                            </w:p>
                          </w:txbxContent>
                        </wps:txbx>
                        <wps:bodyPr wrap="square" lIns="0" tIns="0" rIns="0" bIns="0" rtlCol="0">
                          <a:noAutofit/>
                        </wps:bodyPr>
                      </wps:wsp>
                      <wps:wsp>
                        <wps:cNvPr id="485" name="Textbox 485"/>
                        <wps:cNvSpPr txBox="1"/>
                        <wps:spPr>
                          <a:xfrm>
                            <a:off x="3487991" y="1567878"/>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144.6</w:t>
                              </w:r>
                            </w:p>
                          </w:txbxContent>
                        </wps:txbx>
                        <wps:bodyPr wrap="square" lIns="0" tIns="0" rIns="0" bIns="0" rtlCol="0">
                          <a:noAutofit/>
                        </wps:bodyPr>
                      </wps:wsp>
                      <wps:wsp>
                        <wps:cNvPr id="486" name="Textbox 486"/>
                        <wps:cNvSpPr txBox="1"/>
                        <wps:spPr>
                          <a:xfrm>
                            <a:off x="2493454" y="1574228"/>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109.9</w:t>
                              </w:r>
                            </w:p>
                          </w:txbxContent>
                        </wps:txbx>
                        <wps:bodyPr wrap="square" lIns="0" tIns="0" rIns="0" bIns="0" rtlCol="0">
                          <a:noAutofit/>
                        </wps:bodyPr>
                      </wps:wsp>
                      <wps:wsp>
                        <wps:cNvPr id="487" name="Textbox 487"/>
                        <wps:cNvSpPr txBox="1"/>
                        <wps:spPr>
                          <a:xfrm>
                            <a:off x="1931352" y="1537017"/>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112.9</w:t>
                              </w:r>
                            </w:p>
                          </w:txbxContent>
                        </wps:txbx>
                        <wps:bodyPr wrap="square" lIns="0" tIns="0" rIns="0" bIns="0" rtlCol="0">
                          <a:noAutofit/>
                        </wps:bodyPr>
                      </wps:wsp>
                      <wps:wsp>
                        <wps:cNvPr id="488" name="Textbox 488"/>
                        <wps:cNvSpPr txBox="1"/>
                        <wps:spPr>
                          <a:xfrm>
                            <a:off x="1171511" y="1534350"/>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118.1</w:t>
                              </w:r>
                            </w:p>
                          </w:txbxContent>
                        </wps:txbx>
                        <wps:bodyPr wrap="square" lIns="0" tIns="0" rIns="0" bIns="0" rtlCol="0">
                          <a:noAutofit/>
                        </wps:bodyPr>
                      </wps:wsp>
                      <wps:wsp>
                        <wps:cNvPr id="489" name="Textbox 489"/>
                        <wps:cNvSpPr txBox="1"/>
                        <wps:spPr>
                          <a:xfrm>
                            <a:off x="411416" y="1547431"/>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116.8</w:t>
                              </w:r>
                            </w:p>
                          </w:txbxContent>
                        </wps:txbx>
                        <wps:bodyPr wrap="square" lIns="0" tIns="0" rIns="0" bIns="0" rtlCol="0">
                          <a:noAutofit/>
                        </wps:bodyPr>
                      </wps:wsp>
                      <wps:wsp>
                        <wps:cNvPr id="490" name="Textbox 490"/>
                        <wps:cNvSpPr txBox="1"/>
                        <wps:spPr>
                          <a:xfrm>
                            <a:off x="2786697" y="1362392"/>
                            <a:ext cx="33147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440.00</w:t>
                              </w:r>
                            </w:p>
                          </w:txbxContent>
                        </wps:txbx>
                        <wps:bodyPr wrap="square" lIns="0" tIns="0" rIns="0" bIns="0" rtlCol="0">
                          <a:noAutofit/>
                        </wps:bodyPr>
                      </wps:wsp>
                      <wps:wsp>
                        <wps:cNvPr id="491" name="Textbox 491"/>
                        <wps:cNvSpPr txBox="1"/>
                        <wps:spPr>
                          <a:xfrm>
                            <a:off x="3434397" y="1215199"/>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679.7</w:t>
                              </w:r>
                            </w:p>
                          </w:txbxContent>
                        </wps:txbx>
                        <wps:bodyPr wrap="square" lIns="0" tIns="0" rIns="0" bIns="0" rtlCol="0">
                          <a:noAutofit/>
                        </wps:bodyPr>
                      </wps:wsp>
                      <wps:wsp>
                        <wps:cNvPr id="492" name="Textbox 492"/>
                        <wps:cNvSpPr txBox="1"/>
                        <wps:spPr>
                          <a:xfrm>
                            <a:off x="1742376" y="135699"/>
                            <a:ext cx="464184" cy="467995"/>
                          </a:xfrm>
                          <a:prstGeom prst="rect">
                            <a:avLst/>
                          </a:prstGeom>
                        </wps:spPr>
                        <wps:txbx>
                          <w:txbxContent>
                            <w:p>
                              <w:pPr>
                                <w:spacing w:line="286" w:lineRule="exact" w:before="0"/>
                                <w:ind w:left="240" w:right="0" w:firstLine="0"/>
                                <w:jc w:val="left"/>
                                <w:rPr>
                                  <w:rFonts w:ascii="Calibri"/>
                                  <w:sz w:val="28"/>
                                </w:rPr>
                              </w:pPr>
                              <w:r>
                                <w:rPr>
                                  <w:rFonts w:ascii="Calibri"/>
                                  <w:color w:val="585858"/>
                                  <w:spacing w:val="-5"/>
                                  <w:sz w:val="28"/>
                                </w:rPr>
                                <w:t>OP3</w:t>
                              </w:r>
                            </w:p>
                            <w:p>
                              <w:pPr>
                                <w:spacing w:line="216" w:lineRule="exact" w:before="234"/>
                                <w:ind w:left="0" w:right="0" w:firstLine="0"/>
                                <w:jc w:val="left"/>
                                <w:rPr>
                                  <w:rFonts w:ascii="Calibri"/>
                                  <w:sz w:val="18"/>
                                </w:rPr>
                              </w:pPr>
                              <w:r>
                                <w:rPr>
                                  <w:rFonts w:ascii="Calibri"/>
                                  <w:color w:val="404040"/>
                                  <w:spacing w:val="-2"/>
                                  <w:sz w:val="18"/>
                                </w:rPr>
                                <w:t>2496.1</w:t>
                              </w:r>
                            </w:p>
                          </w:txbxContent>
                        </wps:txbx>
                        <wps:bodyPr wrap="square" lIns="0" tIns="0" rIns="0" bIns="0" rtlCol="0">
                          <a:noAutofit/>
                        </wps:bodyPr>
                      </wps:wsp>
                    </wpg:wgp>
                  </a:graphicData>
                </a:graphic>
              </wp:inline>
            </w:drawing>
          </mc:Choice>
          <mc:Fallback>
            <w:pict>
              <v:group style="width:321.9pt;height:186.1pt;mso-position-horizontal-relative:char;mso-position-vertical-relative:line" id="docshapegroup463" coordorigin="0,0" coordsize="6438,3722">
                <v:shape style="position:absolute;left:227;top:2793;width:5983;height:57" id="docshape464" coordorigin="228,2793" coordsize="5983,57" path="m228,2793l6211,2793m228,2793l228,2850m1424,2793l1424,2850m2621,2793l2621,2850m3816,2793l3816,2850m5014,2793l5014,2850m6211,2793l6211,2850e" filled="false" stroked="true" strokeweight=".75pt" strokecolor="#d9d9d9">
                  <v:path arrowok="t"/>
                  <v:stroke dashstyle="solid"/>
                </v:shape>
                <v:shape style="position:absolute;left:3219;top:752;width:2394;height:1681" id="docshape465" coordorigin="3219,753" coordsize="2394,1681" path="m3219,753l4416,2433,5612,2238e" filled="false" stroked="true" strokeweight="2.25pt" strokecolor="#4471c4">
                  <v:path arrowok="t"/>
                  <v:stroke dashstyle="solid"/>
                </v:shape>
                <v:shape style="position:absolute;left:825;top:2674;width:4787;height:29" id="docshape466" coordorigin="826,2675" coordsize="4787,29" path="m826,2697l2023,2697,3219,2701,4416,2703,5612,2675e" filled="false" stroked="true" strokeweight="2.25pt" strokecolor="#ec7c30">
                  <v:path arrowok="t"/>
                  <v:stroke dashstyle="solid"/>
                </v:shape>
                <v:line style="position:absolute" from="1169,3426" to="1553,3426" stroked="true" strokeweight="2.25pt" strokecolor="#4471c4">
                  <v:stroke dashstyle="solid"/>
                </v:line>
                <v:line style="position:absolute" from="3587,3426" to="3971,3426" stroked="true" strokeweight="2.25pt" strokecolor="#ec7c30">
                  <v:stroke dashstyle="solid"/>
                </v:line>
                <v:rect style="position:absolute;left:7;top:7;width:6423;height:3707" id="docshape467" filled="false" stroked="true" strokeweight=".75pt" strokecolor="#d9d9d9">
                  <v:stroke dashstyle="solid"/>
                </v:rect>
                <v:shape style="position:absolute;left:4012;top:3342;width:1348;height:180" type="#_x0000_t202" id="docshape468"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v:textbox>
                  <w10:wrap type="none"/>
                </v:shape>
                <v:shape style="position:absolute;left:1594;top:3342;width:1694;height:180" type="#_x0000_t202" id="docshape469"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v:textbox>
                  <w10:wrap type="none"/>
                </v:shape>
                <v:shape style="position:absolute;left:5431;top:2943;width:385;height:180" type="#_x0000_t202" id="docshape470"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2023</w:t>
                        </w:r>
                      </w:p>
                    </w:txbxContent>
                  </v:textbox>
                  <w10:wrap type="none"/>
                </v:shape>
                <v:shape style="position:absolute;left:4234;top:2943;width:385;height:180" type="#_x0000_t202" id="docshape471"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2022</w:t>
                        </w:r>
                      </w:p>
                    </w:txbxContent>
                  </v:textbox>
                  <w10:wrap type="none"/>
                </v:shape>
                <v:shape style="position:absolute;left:3037;top:2943;width:385;height:180" type="#_x0000_t202" id="docshape472"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2021</w:t>
                        </w:r>
                      </w:p>
                    </w:txbxContent>
                  </v:textbox>
                  <w10:wrap type="none"/>
                </v:shape>
                <v:shape style="position:absolute;left:1841;top:2943;width:385;height:180" type="#_x0000_t202" id="docshape473"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2020</w:t>
                        </w:r>
                      </w:p>
                    </w:txbxContent>
                  </v:textbox>
                  <w10:wrap type="none"/>
                </v:shape>
                <v:shape style="position:absolute;left:643;top:2943;width:385;height:180" type="#_x0000_t202" id="docshape474"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2019</w:t>
                        </w:r>
                      </w:p>
                    </w:txbxContent>
                  </v:textbox>
                  <w10:wrap type="none"/>
                </v:shape>
                <v:shape style="position:absolute;left:5492;top:2469;width:431;height:180" type="#_x0000_t202" id="docshape475"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144.6</w:t>
                        </w:r>
                      </w:p>
                    </w:txbxContent>
                  </v:textbox>
                  <w10:wrap type="none"/>
                </v:shape>
                <v:shape style="position:absolute;left:3926;top:2479;width:431;height:180" type="#_x0000_t202" id="docshape476"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109.9</w:t>
                        </w:r>
                      </w:p>
                    </w:txbxContent>
                  </v:textbox>
                  <w10:wrap type="none"/>
                </v:shape>
                <v:shape style="position:absolute;left:3041;top:2420;width:431;height:180" type="#_x0000_t202" id="docshape477"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112.9</w:t>
                        </w:r>
                      </w:p>
                    </w:txbxContent>
                  </v:textbox>
                  <w10:wrap type="none"/>
                </v:shape>
                <v:shape style="position:absolute;left:1844;top:2416;width:431;height:180" type="#_x0000_t202" id="docshape478"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118.1</w:t>
                        </w:r>
                      </w:p>
                    </w:txbxContent>
                  </v:textbox>
                  <w10:wrap type="none"/>
                </v:shape>
                <v:shape style="position:absolute;left:647;top:2436;width:431;height:180" type="#_x0000_t202" id="docshape479"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116.8</w:t>
                        </w:r>
                      </w:p>
                    </w:txbxContent>
                  </v:textbox>
                  <w10:wrap type="none"/>
                </v:shape>
                <v:shape style="position:absolute;left:4388;top:2145;width:522;height:180" type="#_x0000_t202" id="docshape480"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440.00</w:t>
                        </w:r>
                      </w:p>
                    </w:txbxContent>
                  </v:textbox>
                  <w10:wrap type="none"/>
                </v:shape>
                <v:shape style="position:absolute;left:5408;top:1913;width:431;height:180" type="#_x0000_t202" id="docshape481"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679.7</w:t>
                        </w:r>
                      </w:p>
                    </w:txbxContent>
                  </v:textbox>
                  <w10:wrap type="none"/>
                </v:shape>
                <v:shape style="position:absolute;left:2743;top:213;width:731;height:737" type="#_x0000_t202" id="docshape482" filled="false" stroked="false">
                  <v:textbox inset="0,0,0,0">
                    <w:txbxContent>
                      <w:p>
                        <w:pPr>
                          <w:spacing w:line="286" w:lineRule="exact" w:before="0"/>
                          <w:ind w:left="240" w:right="0" w:firstLine="0"/>
                          <w:jc w:val="left"/>
                          <w:rPr>
                            <w:rFonts w:ascii="Calibri"/>
                            <w:sz w:val="28"/>
                          </w:rPr>
                        </w:pPr>
                        <w:r>
                          <w:rPr>
                            <w:rFonts w:ascii="Calibri"/>
                            <w:color w:val="585858"/>
                            <w:spacing w:val="-5"/>
                            <w:sz w:val="28"/>
                          </w:rPr>
                          <w:t>OP3</w:t>
                        </w:r>
                      </w:p>
                      <w:p>
                        <w:pPr>
                          <w:spacing w:line="216" w:lineRule="exact" w:before="234"/>
                          <w:ind w:left="0" w:right="0" w:firstLine="0"/>
                          <w:jc w:val="left"/>
                          <w:rPr>
                            <w:rFonts w:ascii="Calibri"/>
                            <w:sz w:val="18"/>
                          </w:rPr>
                        </w:pPr>
                        <w:r>
                          <w:rPr>
                            <w:rFonts w:ascii="Calibri"/>
                            <w:color w:val="404040"/>
                            <w:spacing w:val="-2"/>
                            <w:sz w:val="18"/>
                          </w:rPr>
                          <w:t>2496.1</w:t>
                        </w:r>
                      </w:p>
                    </w:txbxContent>
                  </v:textbox>
                  <w10:wrap type="none"/>
                </v:shape>
              </v:group>
            </w:pict>
          </mc:Fallback>
        </mc:AlternateContent>
      </w:r>
      <w:r>
        <w:rPr>
          <w:sz w:val="20"/>
        </w:rPr>
      </w:r>
    </w:p>
    <w:p>
      <w:pPr>
        <w:pStyle w:val="BodyText"/>
      </w:pPr>
    </w:p>
    <w:p>
      <w:pPr>
        <w:pStyle w:val="BodyText"/>
        <w:spacing w:before="88"/>
      </w:pPr>
    </w:p>
    <w:p>
      <w:pPr>
        <w:pStyle w:val="BodyText"/>
        <w:spacing w:line="307" w:lineRule="auto"/>
        <w:ind w:left="143" w:right="704"/>
        <w:jc w:val="both"/>
      </w:pPr>
      <w:r>
        <w:rPr/>
        <w:t>Respecto</w:t>
      </w:r>
      <w:r>
        <w:rPr>
          <w:spacing w:val="-6"/>
        </w:rPr>
        <w:t> </w:t>
      </w:r>
      <w:r>
        <w:rPr/>
        <w:t>al</w:t>
      </w:r>
      <w:r>
        <w:rPr>
          <w:spacing w:val="-8"/>
        </w:rPr>
        <w:t> </w:t>
      </w:r>
      <w:r>
        <w:rPr/>
        <w:t>Objetivo</w:t>
      </w:r>
      <w:r>
        <w:rPr>
          <w:spacing w:val="-6"/>
        </w:rPr>
        <w:t> </w:t>
      </w:r>
      <w:r>
        <w:rPr/>
        <w:t>Prioritario</w:t>
      </w:r>
      <w:r>
        <w:rPr>
          <w:spacing w:val="-3"/>
        </w:rPr>
        <w:t> </w:t>
      </w:r>
      <w:r>
        <w:rPr/>
        <w:t>4</w:t>
      </w:r>
      <w:r>
        <w:rPr>
          <w:spacing w:val="-10"/>
        </w:rPr>
        <w:t> </w:t>
      </w:r>
      <w:r>
        <w:rPr/>
        <w:t>(OP4),</w:t>
      </w:r>
      <w:r>
        <w:rPr>
          <w:spacing w:val="-8"/>
        </w:rPr>
        <w:t> </w:t>
      </w:r>
      <w:r>
        <w:rPr/>
        <w:t>se</w:t>
      </w:r>
      <w:r>
        <w:rPr>
          <w:spacing w:val="-9"/>
        </w:rPr>
        <w:t> </w:t>
      </w:r>
      <w:r>
        <w:rPr/>
        <w:t>observa</w:t>
      </w:r>
      <w:r>
        <w:rPr>
          <w:spacing w:val="-6"/>
        </w:rPr>
        <w:t> </w:t>
      </w:r>
      <w:r>
        <w:rPr/>
        <w:t>una</w:t>
      </w:r>
      <w:r>
        <w:rPr>
          <w:spacing w:val="-10"/>
        </w:rPr>
        <w:t> </w:t>
      </w:r>
      <w:r>
        <w:rPr/>
        <w:t>tendencia</w:t>
      </w:r>
      <w:r>
        <w:rPr>
          <w:spacing w:val="-8"/>
        </w:rPr>
        <w:t> </w:t>
      </w:r>
      <w:r>
        <w:rPr/>
        <w:t>descendente en su nivel de cumplimiento, pasando del 100.6% en 2019 al 94.0% en 2023. Este comportamiento contrasta significativamente con el nivel de cumplimiento de los servicios asociados al OP4, que evidencia una tendencia ascendente, al pasar del 56.1% en 2021 a un 81.5% en 2023. (Grafica 11)</w:t>
      </w:r>
    </w:p>
    <w:p>
      <w:pPr>
        <w:pStyle w:val="BodyText"/>
      </w:pPr>
    </w:p>
    <w:p>
      <w:pPr>
        <w:pStyle w:val="BodyText"/>
        <w:spacing w:before="55"/>
      </w:pPr>
    </w:p>
    <w:p>
      <w:pPr>
        <w:spacing w:line="304" w:lineRule="auto" w:before="0"/>
        <w:ind w:left="3947" w:right="346" w:hanging="3344"/>
        <w:jc w:val="left"/>
        <w:rPr>
          <w:sz w:val="20"/>
        </w:rPr>
      </w:pPr>
      <w:r>
        <w:rPr>
          <w:color w:val="44536A"/>
          <w:sz w:val="20"/>
        </w:rPr>
        <w:t>Gráfico 11.</w:t>
      </w:r>
      <w:r>
        <w:rPr>
          <w:color w:val="44536A"/>
          <w:spacing w:val="-1"/>
          <w:sz w:val="20"/>
        </w:rPr>
        <w:t> </w:t>
      </w:r>
      <w:r>
        <w:rPr>
          <w:color w:val="44536A"/>
          <w:sz w:val="20"/>
        </w:rPr>
        <w:t>Tendencia</w:t>
      </w:r>
      <w:r>
        <w:rPr>
          <w:color w:val="44536A"/>
          <w:spacing w:val="-1"/>
          <w:sz w:val="20"/>
        </w:rPr>
        <w:t> </w:t>
      </w:r>
      <w:r>
        <w:rPr>
          <w:color w:val="44536A"/>
          <w:sz w:val="20"/>
        </w:rPr>
        <w:t>promedio del</w:t>
      </w:r>
      <w:r>
        <w:rPr>
          <w:color w:val="44536A"/>
          <w:spacing w:val="-1"/>
          <w:sz w:val="20"/>
        </w:rPr>
        <w:t> </w:t>
      </w:r>
      <w:r>
        <w:rPr>
          <w:color w:val="44536A"/>
          <w:sz w:val="20"/>
        </w:rPr>
        <w:t>nivel</w:t>
      </w:r>
      <w:r>
        <w:rPr>
          <w:color w:val="44536A"/>
          <w:spacing w:val="-1"/>
          <w:sz w:val="20"/>
        </w:rPr>
        <w:t> </w:t>
      </w:r>
      <w:r>
        <w:rPr>
          <w:color w:val="44536A"/>
          <w:sz w:val="20"/>
        </w:rPr>
        <w:t>de</w:t>
      </w:r>
      <w:r>
        <w:rPr>
          <w:color w:val="44536A"/>
          <w:spacing w:val="-1"/>
          <w:sz w:val="20"/>
        </w:rPr>
        <w:t> </w:t>
      </w:r>
      <w:r>
        <w:rPr>
          <w:color w:val="44536A"/>
          <w:sz w:val="20"/>
        </w:rPr>
        <w:t>cumplimiento de</w:t>
      </w:r>
      <w:r>
        <w:rPr>
          <w:color w:val="44536A"/>
          <w:spacing w:val="-1"/>
          <w:sz w:val="20"/>
        </w:rPr>
        <w:t> </w:t>
      </w:r>
      <w:r>
        <w:rPr>
          <w:color w:val="44536A"/>
          <w:sz w:val="20"/>
        </w:rPr>
        <w:t>los</w:t>
      </w:r>
      <w:r>
        <w:rPr>
          <w:color w:val="44536A"/>
          <w:spacing w:val="-1"/>
          <w:sz w:val="20"/>
        </w:rPr>
        <w:t> </w:t>
      </w:r>
      <w:r>
        <w:rPr>
          <w:color w:val="44536A"/>
          <w:sz w:val="20"/>
        </w:rPr>
        <w:t>OP4</w:t>
      </w:r>
      <w:r>
        <w:rPr>
          <w:color w:val="44536A"/>
          <w:spacing w:val="-2"/>
          <w:sz w:val="20"/>
        </w:rPr>
        <w:t> </w:t>
      </w:r>
      <w:r>
        <w:rPr>
          <w:color w:val="44536A"/>
          <w:sz w:val="20"/>
        </w:rPr>
        <w:t>y</w:t>
      </w:r>
      <w:r>
        <w:rPr>
          <w:color w:val="44536A"/>
          <w:spacing w:val="-2"/>
          <w:sz w:val="20"/>
        </w:rPr>
        <w:t> </w:t>
      </w:r>
      <w:r>
        <w:rPr>
          <w:color w:val="44536A"/>
          <w:sz w:val="20"/>
        </w:rPr>
        <w:t>sus</w:t>
      </w:r>
      <w:r>
        <w:rPr>
          <w:color w:val="44536A"/>
          <w:spacing w:val="-1"/>
          <w:sz w:val="20"/>
        </w:rPr>
        <w:t> </w:t>
      </w:r>
      <w:r>
        <w:rPr>
          <w:color w:val="44536A"/>
          <w:sz w:val="20"/>
        </w:rPr>
        <w:t>servicios </w:t>
      </w:r>
      <w:r>
        <w:rPr>
          <w:color w:val="44536A"/>
          <w:spacing w:val="-2"/>
          <w:sz w:val="20"/>
        </w:rPr>
        <w:t>asociados</w:t>
      </w:r>
    </w:p>
    <w:p>
      <w:pPr>
        <w:pStyle w:val="BodyText"/>
        <w:rPr>
          <w:sz w:val="9"/>
        </w:rPr>
      </w:pPr>
      <w:r>
        <w:rPr>
          <w:sz w:val="9"/>
        </w:rPr>
        <mc:AlternateContent>
          <mc:Choice Requires="wps">
            <w:drawing>
              <wp:anchor distT="0" distB="0" distL="0" distR="0" allowOverlap="1" layoutInCell="1" locked="0" behindDoc="1" simplePos="0" relativeHeight="487596544">
                <wp:simplePos x="0" y="0"/>
                <wp:positionH relativeFrom="page">
                  <wp:posOffset>1765617</wp:posOffset>
                </wp:positionH>
                <wp:positionV relativeFrom="paragraph">
                  <wp:posOffset>81783</wp:posOffset>
                </wp:positionV>
                <wp:extent cx="4013835" cy="2382520"/>
                <wp:effectExtent l="0" t="0" r="0" b="0"/>
                <wp:wrapTopAndBottom/>
                <wp:docPr id="493" name="Group 493"/>
                <wp:cNvGraphicFramePr>
                  <a:graphicFrameLocks/>
                </wp:cNvGraphicFramePr>
                <a:graphic>
                  <a:graphicData uri="http://schemas.microsoft.com/office/word/2010/wordprocessingGroup">
                    <wpg:wgp>
                      <wpg:cNvPr id="493" name="Group 493"/>
                      <wpg:cNvGrpSpPr/>
                      <wpg:grpSpPr>
                        <a:xfrm>
                          <a:off x="0" y="0"/>
                          <a:ext cx="4013835" cy="2382520"/>
                          <a:chExt cx="4013835" cy="2382520"/>
                        </a:xfrm>
                      </wpg:grpSpPr>
                      <wps:wsp>
                        <wps:cNvPr id="494" name="Graphic 494"/>
                        <wps:cNvSpPr/>
                        <wps:spPr>
                          <a:xfrm>
                            <a:off x="144462" y="1792541"/>
                            <a:ext cx="3724910" cy="1270"/>
                          </a:xfrm>
                          <a:custGeom>
                            <a:avLst/>
                            <a:gdLst/>
                            <a:ahLst/>
                            <a:cxnLst/>
                            <a:rect l="l" t="t" r="r" b="b"/>
                            <a:pathLst>
                              <a:path w="3724910" h="0">
                                <a:moveTo>
                                  <a:pt x="0" y="0"/>
                                </a:moveTo>
                                <a:lnTo>
                                  <a:pt x="3724909" y="0"/>
                                </a:lnTo>
                              </a:path>
                            </a:pathLst>
                          </a:custGeom>
                          <a:ln w="9525">
                            <a:solidFill>
                              <a:srgbClr val="D9D9D9"/>
                            </a:solidFill>
                            <a:prstDash val="solid"/>
                          </a:ln>
                        </wps:spPr>
                        <wps:bodyPr wrap="square" lIns="0" tIns="0" rIns="0" bIns="0" rtlCol="0">
                          <a:prstTxWarp prst="textNoShape">
                            <a:avLst/>
                          </a:prstTxWarp>
                          <a:noAutofit/>
                        </wps:bodyPr>
                      </wps:wsp>
                      <wps:wsp>
                        <wps:cNvPr id="495" name="Graphic 495"/>
                        <wps:cNvSpPr/>
                        <wps:spPr>
                          <a:xfrm>
                            <a:off x="2006917" y="898588"/>
                            <a:ext cx="1490345" cy="295910"/>
                          </a:xfrm>
                          <a:custGeom>
                            <a:avLst/>
                            <a:gdLst/>
                            <a:ahLst/>
                            <a:cxnLst/>
                            <a:rect l="l" t="t" r="r" b="b"/>
                            <a:pathLst>
                              <a:path w="1490345" h="295910">
                                <a:moveTo>
                                  <a:pt x="0" y="279019"/>
                                </a:moveTo>
                                <a:lnTo>
                                  <a:pt x="744601" y="295529"/>
                                </a:lnTo>
                                <a:lnTo>
                                  <a:pt x="1489964" y="0"/>
                                </a:lnTo>
                              </a:path>
                            </a:pathLst>
                          </a:custGeom>
                          <a:ln w="28575">
                            <a:solidFill>
                              <a:srgbClr val="4471C4"/>
                            </a:solidFill>
                            <a:prstDash val="solid"/>
                          </a:ln>
                        </wps:spPr>
                        <wps:bodyPr wrap="square" lIns="0" tIns="0" rIns="0" bIns="0" rtlCol="0">
                          <a:prstTxWarp prst="textNoShape">
                            <a:avLst/>
                          </a:prstTxWarp>
                          <a:noAutofit/>
                        </wps:bodyPr>
                      </wps:wsp>
                      <wps:wsp>
                        <wps:cNvPr id="496" name="Graphic 496"/>
                        <wps:cNvSpPr/>
                        <wps:spPr>
                          <a:xfrm>
                            <a:off x="516953" y="688911"/>
                            <a:ext cx="2980055" cy="82550"/>
                          </a:xfrm>
                          <a:custGeom>
                            <a:avLst/>
                            <a:gdLst/>
                            <a:ahLst/>
                            <a:cxnLst/>
                            <a:rect l="l" t="t" r="r" b="b"/>
                            <a:pathLst>
                              <a:path w="2980055" h="82550">
                                <a:moveTo>
                                  <a:pt x="0" y="0"/>
                                </a:moveTo>
                                <a:lnTo>
                                  <a:pt x="745617" y="34544"/>
                                </a:lnTo>
                                <a:lnTo>
                                  <a:pt x="1489329" y="46736"/>
                                </a:lnTo>
                                <a:lnTo>
                                  <a:pt x="2234565" y="82550"/>
                                </a:lnTo>
                                <a:lnTo>
                                  <a:pt x="2979928" y="72644"/>
                                </a:lnTo>
                              </a:path>
                            </a:pathLst>
                          </a:custGeom>
                          <a:ln w="28575">
                            <a:solidFill>
                              <a:srgbClr val="EC7C30"/>
                            </a:solidFill>
                            <a:prstDash val="solid"/>
                          </a:ln>
                        </wps:spPr>
                        <wps:bodyPr wrap="square" lIns="0" tIns="0" rIns="0" bIns="0" rtlCol="0">
                          <a:prstTxWarp prst="textNoShape">
                            <a:avLst/>
                          </a:prstTxWarp>
                          <a:noAutofit/>
                        </wps:bodyPr>
                      </wps:wsp>
                      <wps:wsp>
                        <wps:cNvPr id="497" name="Graphic 497"/>
                        <wps:cNvSpPr/>
                        <wps:spPr>
                          <a:xfrm>
                            <a:off x="705040" y="2194369"/>
                            <a:ext cx="243840" cy="1270"/>
                          </a:xfrm>
                          <a:custGeom>
                            <a:avLst/>
                            <a:gdLst/>
                            <a:ahLst/>
                            <a:cxnLst/>
                            <a:rect l="l" t="t" r="r" b="b"/>
                            <a:pathLst>
                              <a:path w="243840" h="0">
                                <a:moveTo>
                                  <a:pt x="0" y="0"/>
                                </a:moveTo>
                                <a:lnTo>
                                  <a:pt x="243840" y="0"/>
                                </a:lnTo>
                              </a:path>
                            </a:pathLst>
                          </a:custGeom>
                          <a:ln w="28575">
                            <a:solidFill>
                              <a:srgbClr val="4471C4"/>
                            </a:solidFill>
                            <a:prstDash val="solid"/>
                          </a:ln>
                        </wps:spPr>
                        <wps:bodyPr wrap="square" lIns="0" tIns="0" rIns="0" bIns="0" rtlCol="0">
                          <a:prstTxWarp prst="textNoShape">
                            <a:avLst/>
                          </a:prstTxWarp>
                          <a:noAutofit/>
                        </wps:bodyPr>
                      </wps:wsp>
                      <wps:wsp>
                        <wps:cNvPr id="498" name="Graphic 498"/>
                        <wps:cNvSpPr/>
                        <wps:spPr>
                          <a:xfrm>
                            <a:off x="2240470" y="2194369"/>
                            <a:ext cx="243840" cy="1270"/>
                          </a:xfrm>
                          <a:custGeom>
                            <a:avLst/>
                            <a:gdLst/>
                            <a:ahLst/>
                            <a:cxnLst/>
                            <a:rect l="l" t="t" r="r" b="b"/>
                            <a:pathLst>
                              <a:path w="243840" h="0">
                                <a:moveTo>
                                  <a:pt x="0" y="0"/>
                                </a:moveTo>
                                <a:lnTo>
                                  <a:pt x="243839" y="0"/>
                                </a:lnTo>
                              </a:path>
                            </a:pathLst>
                          </a:custGeom>
                          <a:ln w="28575">
                            <a:solidFill>
                              <a:srgbClr val="EC7C30"/>
                            </a:solidFill>
                            <a:prstDash val="solid"/>
                          </a:ln>
                        </wps:spPr>
                        <wps:bodyPr wrap="square" lIns="0" tIns="0" rIns="0" bIns="0" rtlCol="0">
                          <a:prstTxWarp prst="textNoShape">
                            <a:avLst/>
                          </a:prstTxWarp>
                          <a:noAutofit/>
                        </wps:bodyPr>
                      </wps:wsp>
                      <wps:wsp>
                        <wps:cNvPr id="499" name="Graphic 499"/>
                        <wps:cNvSpPr/>
                        <wps:spPr>
                          <a:xfrm>
                            <a:off x="4762" y="4762"/>
                            <a:ext cx="4004310" cy="2372995"/>
                          </a:xfrm>
                          <a:custGeom>
                            <a:avLst/>
                            <a:gdLst/>
                            <a:ahLst/>
                            <a:cxnLst/>
                            <a:rect l="l" t="t" r="r" b="b"/>
                            <a:pathLst>
                              <a:path w="4004310" h="2372995">
                                <a:moveTo>
                                  <a:pt x="0" y="2372995"/>
                                </a:moveTo>
                                <a:lnTo>
                                  <a:pt x="4004310" y="2372995"/>
                                </a:lnTo>
                                <a:lnTo>
                                  <a:pt x="4004310" y="0"/>
                                </a:lnTo>
                                <a:lnTo>
                                  <a:pt x="0" y="0"/>
                                </a:lnTo>
                                <a:lnTo>
                                  <a:pt x="0" y="2372995"/>
                                </a:lnTo>
                                <a:close/>
                              </a:path>
                            </a:pathLst>
                          </a:custGeom>
                          <a:ln w="9525">
                            <a:solidFill>
                              <a:srgbClr val="D9D9D9"/>
                            </a:solidFill>
                            <a:prstDash val="solid"/>
                          </a:ln>
                        </wps:spPr>
                        <wps:bodyPr wrap="square" lIns="0" tIns="0" rIns="0" bIns="0" rtlCol="0">
                          <a:prstTxWarp prst="textNoShape">
                            <a:avLst/>
                          </a:prstTxWarp>
                          <a:noAutofit/>
                        </wps:bodyPr>
                      </wps:wsp>
                      <wps:wsp>
                        <wps:cNvPr id="500" name="Textbox 500"/>
                        <wps:cNvSpPr txBox="1"/>
                        <wps:spPr>
                          <a:xfrm>
                            <a:off x="2510726" y="2141918"/>
                            <a:ext cx="85598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wps:txbx>
                        <wps:bodyPr wrap="square" lIns="0" tIns="0" rIns="0" bIns="0" rtlCol="0">
                          <a:noAutofit/>
                        </wps:bodyPr>
                      </wps:wsp>
                      <wps:wsp>
                        <wps:cNvPr id="501" name="Textbox 501"/>
                        <wps:cNvSpPr txBox="1"/>
                        <wps:spPr>
                          <a:xfrm>
                            <a:off x="975169" y="2141918"/>
                            <a:ext cx="107569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wps:txbx>
                        <wps:bodyPr wrap="square" lIns="0" tIns="0" rIns="0" bIns="0" rtlCol="0">
                          <a:noAutofit/>
                        </wps:bodyPr>
                      </wps:wsp>
                      <wps:wsp>
                        <wps:cNvPr id="502" name="Textbox 502"/>
                        <wps:cNvSpPr txBox="1"/>
                        <wps:spPr>
                          <a:xfrm>
                            <a:off x="3381819" y="1888680"/>
                            <a:ext cx="24574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2023</w:t>
                              </w:r>
                            </w:p>
                          </w:txbxContent>
                        </wps:txbx>
                        <wps:bodyPr wrap="square" lIns="0" tIns="0" rIns="0" bIns="0" rtlCol="0">
                          <a:noAutofit/>
                        </wps:bodyPr>
                      </wps:wsp>
                      <wps:wsp>
                        <wps:cNvPr id="503" name="Textbox 503"/>
                        <wps:cNvSpPr txBox="1"/>
                        <wps:spPr>
                          <a:xfrm>
                            <a:off x="2636964" y="188868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2022</w:t>
                              </w:r>
                            </w:p>
                          </w:txbxContent>
                        </wps:txbx>
                        <wps:bodyPr wrap="square" lIns="0" tIns="0" rIns="0" bIns="0" rtlCol="0">
                          <a:noAutofit/>
                        </wps:bodyPr>
                      </wps:wsp>
                      <wps:wsp>
                        <wps:cNvPr id="504" name="Textbox 504"/>
                        <wps:cNvSpPr txBox="1"/>
                        <wps:spPr>
                          <a:xfrm>
                            <a:off x="1891728" y="188868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2021</w:t>
                              </w:r>
                            </w:p>
                          </w:txbxContent>
                        </wps:txbx>
                        <wps:bodyPr wrap="square" lIns="0" tIns="0" rIns="0" bIns="0" rtlCol="0">
                          <a:noAutofit/>
                        </wps:bodyPr>
                      </wps:wsp>
                      <wps:wsp>
                        <wps:cNvPr id="505" name="Textbox 505"/>
                        <wps:cNvSpPr txBox="1"/>
                        <wps:spPr>
                          <a:xfrm>
                            <a:off x="1146746" y="188868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2020</w:t>
                              </w:r>
                            </w:p>
                          </w:txbxContent>
                        </wps:txbx>
                        <wps:bodyPr wrap="square" lIns="0" tIns="0" rIns="0" bIns="0" rtlCol="0">
                          <a:noAutofit/>
                        </wps:bodyPr>
                      </wps:wsp>
                      <wps:wsp>
                        <wps:cNvPr id="506" name="Textbox 506"/>
                        <wps:cNvSpPr txBox="1"/>
                        <wps:spPr>
                          <a:xfrm>
                            <a:off x="401510" y="1888680"/>
                            <a:ext cx="244475"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2019</w:t>
                              </w:r>
                            </w:p>
                          </w:txbxContent>
                        </wps:txbx>
                        <wps:bodyPr wrap="square" lIns="0" tIns="0" rIns="0" bIns="0" rtlCol="0">
                          <a:noAutofit/>
                        </wps:bodyPr>
                      </wps:wsp>
                      <wps:wsp>
                        <wps:cNvPr id="507" name="Textbox 507"/>
                        <wps:cNvSpPr txBox="1"/>
                        <wps:spPr>
                          <a:xfrm>
                            <a:off x="3421443" y="985456"/>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81.5</w:t>
                              </w:r>
                            </w:p>
                          </w:txbxContent>
                        </wps:txbx>
                        <wps:bodyPr wrap="square" lIns="0" tIns="0" rIns="0" bIns="0" rtlCol="0">
                          <a:noAutofit/>
                        </wps:bodyPr>
                      </wps:wsp>
                      <wps:wsp>
                        <wps:cNvPr id="508" name="Textbox 508"/>
                        <wps:cNvSpPr txBox="1"/>
                        <wps:spPr>
                          <a:xfrm>
                            <a:off x="2650934" y="989139"/>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54.5</w:t>
                              </w:r>
                            </w:p>
                          </w:txbxContent>
                        </wps:txbx>
                        <wps:bodyPr wrap="square" lIns="0" tIns="0" rIns="0" bIns="0" rtlCol="0">
                          <a:noAutofit/>
                        </wps:bodyPr>
                      </wps:wsp>
                      <wps:wsp>
                        <wps:cNvPr id="509" name="Textbox 509"/>
                        <wps:cNvSpPr txBox="1"/>
                        <wps:spPr>
                          <a:xfrm>
                            <a:off x="1905952" y="972121"/>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56.1</w:t>
                              </w:r>
                            </w:p>
                          </w:txbxContent>
                        </wps:txbx>
                        <wps:bodyPr wrap="square" lIns="0" tIns="0" rIns="0" bIns="0" rtlCol="0">
                          <a:noAutofit/>
                        </wps:bodyPr>
                      </wps:wsp>
                      <wps:wsp>
                        <wps:cNvPr id="510" name="Textbox 510"/>
                        <wps:cNvSpPr txBox="1"/>
                        <wps:spPr>
                          <a:xfrm>
                            <a:off x="3396170" y="556069"/>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94.0</w:t>
                              </w:r>
                            </w:p>
                          </w:txbxContent>
                        </wps:txbx>
                        <wps:bodyPr wrap="square" lIns="0" tIns="0" rIns="0" bIns="0" rtlCol="0">
                          <a:noAutofit/>
                        </wps:bodyPr>
                      </wps:wsp>
                      <wps:wsp>
                        <wps:cNvPr id="511" name="Textbox 511"/>
                        <wps:cNvSpPr txBox="1"/>
                        <wps:spPr>
                          <a:xfrm>
                            <a:off x="2650934" y="566356"/>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93.1</w:t>
                              </w:r>
                            </w:p>
                          </w:txbxContent>
                        </wps:txbx>
                        <wps:bodyPr wrap="square" lIns="0" tIns="0" rIns="0" bIns="0" rtlCol="0">
                          <a:noAutofit/>
                        </wps:bodyPr>
                      </wps:wsp>
                      <wps:wsp>
                        <wps:cNvPr id="512" name="Textbox 512"/>
                        <wps:cNvSpPr txBox="1"/>
                        <wps:spPr>
                          <a:xfrm>
                            <a:off x="1905952" y="530796"/>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96.3</w:t>
                              </w:r>
                            </w:p>
                          </w:txbxContent>
                        </wps:txbx>
                        <wps:bodyPr wrap="square" lIns="0" tIns="0" rIns="0" bIns="0" rtlCol="0">
                          <a:noAutofit/>
                        </wps:bodyPr>
                      </wps:wsp>
                      <wps:wsp>
                        <wps:cNvPr id="513" name="Textbox 513"/>
                        <wps:cNvSpPr txBox="1"/>
                        <wps:spPr>
                          <a:xfrm>
                            <a:off x="1160716" y="517969"/>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97.5</w:t>
                              </w:r>
                            </w:p>
                          </w:txbxContent>
                        </wps:txbx>
                        <wps:bodyPr wrap="square" lIns="0" tIns="0" rIns="0" bIns="0" rtlCol="0">
                          <a:noAutofit/>
                        </wps:bodyPr>
                      </wps:wsp>
                      <wps:wsp>
                        <wps:cNvPr id="514" name="Textbox 514"/>
                        <wps:cNvSpPr txBox="1"/>
                        <wps:spPr>
                          <a:xfrm>
                            <a:off x="386524" y="483806"/>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100.6</w:t>
                              </w:r>
                            </w:p>
                          </w:txbxContent>
                        </wps:txbx>
                        <wps:bodyPr wrap="square" lIns="0" tIns="0" rIns="0" bIns="0" rtlCol="0">
                          <a:noAutofit/>
                        </wps:bodyPr>
                      </wps:wsp>
                      <wps:wsp>
                        <wps:cNvPr id="515" name="Textbox 515"/>
                        <wps:cNvSpPr txBox="1"/>
                        <wps:spPr>
                          <a:xfrm>
                            <a:off x="1858200" y="136207"/>
                            <a:ext cx="311785" cy="178435"/>
                          </a:xfrm>
                          <a:prstGeom prst="rect">
                            <a:avLst/>
                          </a:prstGeom>
                        </wps:spPr>
                        <wps:txbx>
                          <w:txbxContent>
                            <w:p>
                              <w:pPr>
                                <w:spacing w:line="281" w:lineRule="exact" w:before="0"/>
                                <w:ind w:left="0" w:right="0" w:firstLine="0"/>
                                <w:jc w:val="left"/>
                                <w:rPr>
                                  <w:rFonts w:ascii="Calibri"/>
                                  <w:sz w:val="28"/>
                                </w:rPr>
                              </w:pPr>
                              <w:r>
                                <w:rPr>
                                  <w:rFonts w:ascii="Calibri"/>
                                  <w:color w:val="585858"/>
                                  <w:spacing w:val="-5"/>
                                  <w:sz w:val="28"/>
                                </w:rPr>
                                <w:t>OP4</w:t>
                              </w:r>
                            </w:p>
                          </w:txbxContent>
                        </wps:txbx>
                        <wps:bodyPr wrap="square" lIns="0" tIns="0" rIns="0" bIns="0" rtlCol="0">
                          <a:noAutofit/>
                        </wps:bodyPr>
                      </wps:wsp>
                    </wpg:wgp>
                  </a:graphicData>
                </a:graphic>
              </wp:anchor>
            </w:drawing>
          </mc:Choice>
          <mc:Fallback>
            <w:pict>
              <v:group style="position:absolute;margin-left:139.024994pt;margin-top:6.439668pt;width:316.05pt;height:187.6pt;mso-position-horizontal-relative:page;mso-position-vertical-relative:paragraph;z-index:-15719936;mso-wrap-distance-left:0;mso-wrap-distance-right:0" id="docshapegroup483" coordorigin="2780,129" coordsize="6321,3752">
                <v:line style="position:absolute" from="3008,2952" to="8874,2952" stroked="true" strokeweight=".75pt" strokecolor="#d9d9d9">
                  <v:stroke dashstyle="solid"/>
                </v:line>
                <v:shape style="position:absolute;left:5941;top:1543;width:2347;height:466" id="docshape484" coordorigin="5941,1544" coordsize="2347,466" path="m5941,1983l7114,2009,8287,1544e" filled="false" stroked="true" strokeweight="2.25pt" strokecolor="#4471c4">
                  <v:path arrowok="t"/>
                  <v:stroke dashstyle="solid"/>
                </v:shape>
                <v:shape style="position:absolute;left:3594;top:1213;width:4693;height:130" id="docshape485" coordorigin="3595,1214" coordsize="4693,130" path="m3595,1214l4769,1268,5940,1287,7114,1344,8287,1328e" filled="false" stroked="true" strokeweight="2.25pt" strokecolor="#ec7c30">
                  <v:path arrowok="t"/>
                  <v:stroke dashstyle="solid"/>
                </v:shape>
                <v:line style="position:absolute" from="3891,3584" to="4275,3584" stroked="true" strokeweight="2.25pt" strokecolor="#4471c4">
                  <v:stroke dashstyle="solid"/>
                </v:line>
                <v:line style="position:absolute" from="6309,3584" to="6693,3584" stroked="true" strokeweight="2.25pt" strokecolor="#ec7c30">
                  <v:stroke dashstyle="solid"/>
                </v:line>
                <v:rect style="position:absolute;left:2788;top:136;width:6306;height:3737" id="docshape486" filled="false" stroked="true" strokeweight=".75pt" strokecolor="#d9d9d9">
                  <v:stroke dashstyle="solid"/>
                </v:rect>
                <v:shape style="position:absolute;left:6734;top:3501;width:1348;height:180" type="#_x0000_t202" id="docshape487"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v:textbox>
                  <w10:wrap type="none"/>
                </v:shape>
                <v:shape style="position:absolute;left:4316;top:3501;width:1694;height:180" type="#_x0000_t202" id="docshape488"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v:textbox>
                  <w10:wrap type="none"/>
                </v:shape>
                <v:shape style="position:absolute;left:8106;top:3103;width:387;height:180" type="#_x0000_t202" id="docshape489"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2023</w:t>
                        </w:r>
                      </w:p>
                    </w:txbxContent>
                  </v:textbox>
                  <w10:wrap type="none"/>
                </v:shape>
                <v:shape style="position:absolute;left:6933;top:3103;width:385;height:180" type="#_x0000_t202" id="docshape490"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2022</w:t>
                        </w:r>
                      </w:p>
                    </w:txbxContent>
                  </v:textbox>
                  <w10:wrap type="none"/>
                </v:shape>
                <v:shape style="position:absolute;left:5759;top:3103;width:385;height:180" type="#_x0000_t202" id="docshape491"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2021</w:t>
                        </w:r>
                      </w:p>
                    </w:txbxContent>
                  </v:textbox>
                  <w10:wrap type="none"/>
                </v:shape>
                <v:shape style="position:absolute;left:4586;top:3103;width:385;height:180" type="#_x0000_t202" id="docshape492"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2020</w:t>
                        </w:r>
                      </w:p>
                    </w:txbxContent>
                  </v:textbox>
                  <w10:wrap type="none"/>
                </v:shape>
                <v:shape style="position:absolute;left:3412;top:3103;width:385;height:180" type="#_x0000_t202" id="docshape493"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2019</w:t>
                        </w:r>
                      </w:p>
                    </w:txbxContent>
                  </v:textbox>
                  <w10:wrap type="none"/>
                </v:shape>
                <v:shape style="position:absolute;left:8168;top:1680;width:340;height:180" type="#_x0000_t202" id="docshape494"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81.5</w:t>
                        </w:r>
                      </w:p>
                    </w:txbxContent>
                  </v:textbox>
                  <w10:wrap type="none"/>
                </v:shape>
                <v:shape style="position:absolute;left:6955;top:1686;width:340;height:180" type="#_x0000_t202" id="docshape495"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54.5</w:t>
                        </w:r>
                      </w:p>
                    </w:txbxContent>
                  </v:textbox>
                  <w10:wrap type="none"/>
                </v:shape>
                <v:shape style="position:absolute;left:5782;top:1659;width:340;height:180" type="#_x0000_t202" id="docshape496"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56.1</w:t>
                        </w:r>
                      </w:p>
                    </w:txbxContent>
                  </v:textbox>
                  <w10:wrap type="none"/>
                </v:shape>
                <v:shape style="position:absolute;left:8128;top:1004;width:340;height:180" type="#_x0000_t202" id="docshape497"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94.0</w:t>
                        </w:r>
                      </w:p>
                    </w:txbxContent>
                  </v:textbox>
                  <w10:wrap type="none"/>
                </v:shape>
                <v:shape style="position:absolute;left:6955;top:1020;width:340;height:180" type="#_x0000_t202" id="docshape498"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93.1</w:t>
                        </w:r>
                      </w:p>
                    </w:txbxContent>
                  </v:textbox>
                  <w10:wrap type="none"/>
                </v:shape>
                <v:shape style="position:absolute;left:5782;top:964;width:340;height:180" type="#_x0000_t202" id="docshape499"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96.3</w:t>
                        </w:r>
                      </w:p>
                    </w:txbxContent>
                  </v:textbox>
                  <w10:wrap type="none"/>
                </v:shape>
                <v:shape style="position:absolute;left:4608;top:944;width:340;height:180" type="#_x0000_t202" id="docshape500"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97.5</w:t>
                        </w:r>
                      </w:p>
                    </w:txbxContent>
                  </v:textbox>
                  <w10:wrap type="none"/>
                </v:shape>
                <v:shape style="position:absolute;left:3389;top:890;width:431;height:180" type="#_x0000_t202" id="docshape501"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100.6</w:t>
                        </w:r>
                      </w:p>
                    </w:txbxContent>
                  </v:textbox>
                  <w10:wrap type="none"/>
                </v:shape>
                <v:shape style="position:absolute;left:5706;top:343;width:491;height:281" type="#_x0000_t202" id="docshape502" filled="false" stroked="false">
                  <v:textbox inset="0,0,0,0">
                    <w:txbxContent>
                      <w:p>
                        <w:pPr>
                          <w:spacing w:line="281" w:lineRule="exact" w:before="0"/>
                          <w:ind w:left="0" w:right="0" w:firstLine="0"/>
                          <w:jc w:val="left"/>
                          <w:rPr>
                            <w:rFonts w:ascii="Calibri"/>
                            <w:sz w:val="28"/>
                          </w:rPr>
                        </w:pPr>
                        <w:r>
                          <w:rPr>
                            <w:rFonts w:ascii="Calibri"/>
                            <w:color w:val="585858"/>
                            <w:spacing w:val="-5"/>
                            <w:sz w:val="28"/>
                          </w:rPr>
                          <w:t>OP4</w:t>
                        </w:r>
                      </w:p>
                    </w:txbxContent>
                  </v:textbox>
                  <w10:wrap type="none"/>
                </v:shape>
                <w10:wrap type="topAndBottom"/>
              </v:group>
            </w:pict>
          </mc:Fallback>
        </mc:AlternateContent>
      </w:r>
    </w:p>
    <w:p>
      <w:pPr>
        <w:pStyle w:val="BodyText"/>
        <w:rPr>
          <w:sz w:val="20"/>
        </w:rPr>
      </w:pPr>
    </w:p>
    <w:p>
      <w:pPr>
        <w:pStyle w:val="BodyText"/>
        <w:spacing w:before="215"/>
        <w:rPr>
          <w:sz w:val="20"/>
        </w:rPr>
      </w:pPr>
    </w:p>
    <w:p>
      <w:pPr>
        <w:pStyle w:val="BodyText"/>
        <w:spacing w:line="307" w:lineRule="auto"/>
        <w:ind w:left="143" w:right="704"/>
        <w:jc w:val="both"/>
      </w:pPr>
      <w:r>
        <w:rPr/>
        <w:t>Respecto al Objetivo Prioritario 5 (OP5), se evidencia una tendencia descendente en su nivel de cumplimiento, que disminuyó del 130.6% en 2019</w:t>
      </w:r>
      <w:r>
        <w:rPr>
          <w:spacing w:val="40"/>
        </w:rPr>
        <w:t> </w:t>
      </w:r>
      <w:r>
        <w:rPr/>
        <w:t>al 72.7% en 2023. Este comportamiento es consistente con el nivel de cumplimiento</w:t>
      </w:r>
      <w:r>
        <w:rPr>
          <w:spacing w:val="50"/>
        </w:rPr>
        <w:t> </w:t>
      </w:r>
      <w:r>
        <w:rPr/>
        <w:t>de</w:t>
      </w:r>
      <w:r>
        <w:rPr>
          <w:spacing w:val="50"/>
        </w:rPr>
        <w:t> </w:t>
      </w:r>
      <w:r>
        <w:rPr/>
        <w:t>los</w:t>
      </w:r>
      <w:r>
        <w:rPr>
          <w:spacing w:val="52"/>
        </w:rPr>
        <w:t> </w:t>
      </w:r>
      <w:r>
        <w:rPr/>
        <w:t>servicios</w:t>
      </w:r>
      <w:r>
        <w:rPr>
          <w:spacing w:val="51"/>
        </w:rPr>
        <w:t> </w:t>
      </w:r>
      <w:r>
        <w:rPr/>
        <w:t>asociados</w:t>
      </w:r>
      <w:r>
        <w:rPr>
          <w:spacing w:val="51"/>
        </w:rPr>
        <w:t> </w:t>
      </w:r>
      <w:r>
        <w:rPr/>
        <w:t>al</w:t>
      </w:r>
      <w:r>
        <w:rPr>
          <w:spacing w:val="51"/>
        </w:rPr>
        <w:t> </w:t>
      </w:r>
      <w:r>
        <w:rPr/>
        <w:t>OP5,</w:t>
      </w:r>
      <w:r>
        <w:rPr>
          <w:spacing w:val="51"/>
        </w:rPr>
        <w:t> </w:t>
      </w:r>
      <w:r>
        <w:rPr/>
        <w:t>que</w:t>
      </w:r>
      <w:r>
        <w:rPr>
          <w:spacing w:val="50"/>
        </w:rPr>
        <w:t> </w:t>
      </w:r>
      <w:r>
        <w:rPr/>
        <w:t>también</w:t>
      </w:r>
      <w:r>
        <w:rPr>
          <w:spacing w:val="50"/>
        </w:rPr>
        <w:t> </w:t>
      </w:r>
      <w:r>
        <w:rPr/>
        <w:t>muestra</w:t>
      </w:r>
      <w:r>
        <w:rPr>
          <w:spacing w:val="53"/>
        </w:rPr>
        <w:t> </w:t>
      </w:r>
      <w:r>
        <w:rPr>
          <w:spacing w:val="-5"/>
        </w:rPr>
        <w:t>una</w:t>
      </w:r>
    </w:p>
    <w:p>
      <w:pPr>
        <w:pStyle w:val="BodyText"/>
        <w:spacing w:after="0" w:line="307" w:lineRule="auto"/>
        <w:jc w:val="both"/>
        <w:sectPr>
          <w:pgSz w:w="11910" w:h="16840"/>
          <w:pgMar w:header="713" w:footer="1000" w:top="1420" w:bottom="1200" w:left="1559" w:right="992"/>
        </w:sectPr>
      </w:pPr>
    </w:p>
    <w:p>
      <w:pPr>
        <w:pStyle w:val="BodyText"/>
        <w:spacing w:before="123"/>
        <w:ind w:left="143"/>
      </w:pPr>
      <w:r>
        <w:rPr/>
        <w:t>tendencia</w:t>
      </w:r>
      <w:r>
        <w:rPr>
          <w:spacing w:val="-6"/>
        </w:rPr>
        <w:t> </w:t>
      </w:r>
      <w:r>
        <w:rPr/>
        <w:t>descendente,</w:t>
      </w:r>
      <w:r>
        <w:rPr>
          <w:spacing w:val="-4"/>
        </w:rPr>
        <w:t> </w:t>
      </w:r>
      <w:r>
        <w:rPr/>
        <w:t>pasando</w:t>
      </w:r>
      <w:r>
        <w:rPr>
          <w:spacing w:val="-6"/>
        </w:rPr>
        <w:t> </w:t>
      </w:r>
      <w:r>
        <w:rPr/>
        <w:t>del</w:t>
      </w:r>
      <w:r>
        <w:rPr>
          <w:spacing w:val="-4"/>
        </w:rPr>
        <w:t> </w:t>
      </w:r>
      <w:r>
        <w:rPr/>
        <w:t>68.3%</w:t>
      </w:r>
      <w:r>
        <w:rPr>
          <w:spacing w:val="-8"/>
        </w:rPr>
        <w:t> </w:t>
      </w:r>
      <w:r>
        <w:rPr/>
        <w:t>en</w:t>
      </w:r>
      <w:r>
        <w:rPr>
          <w:spacing w:val="-5"/>
        </w:rPr>
        <w:t> </w:t>
      </w:r>
      <w:r>
        <w:rPr/>
        <w:t>2021</w:t>
      </w:r>
      <w:r>
        <w:rPr>
          <w:spacing w:val="-5"/>
        </w:rPr>
        <w:t> </w:t>
      </w:r>
      <w:r>
        <w:rPr/>
        <w:t>al</w:t>
      </w:r>
      <w:r>
        <w:rPr>
          <w:spacing w:val="-4"/>
        </w:rPr>
        <w:t> </w:t>
      </w:r>
      <w:r>
        <w:rPr/>
        <w:t>60.5%</w:t>
      </w:r>
      <w:r>
        <w:rPr>
          <w:spacing w:val="-6"/>
        </w:rPr>
        <w:t> </w:t>
      </w:r>
      <w:r>
        <w:rPr/>
        <w:t>en</w:t>
      </w:r>
      <w:r>
        <w:rPr>
          <w:spacing w:val="-5"/>
        </w:rPr>
        <w:t> </w:t>
      </w:r>
      <w:r>
        <w:rPr/>
        <w:t>2023.</w:t>
      </w:r>
      <w:r>
        <w:rPr>
          <w:spacing w:val="-4"/>
        </w:rPr>
        <w:t> </w:t>
      </w:r>
      <w:r>
        <w:rPr>
          <w:spacing w:val="-2"/>
        </w:rPr>
        <w:t>(Grafica</w:t>
      </w:r>
    </w:p>
    <w:p>
      <w:pPr>
        <w:pStyle w:val="BodyText"/>
        <w:spacing w:before="77"/>
        <w:ind w:left="143"/>
      </w:pPr>
      <w:r>
        <w:rPr>
          <w:spacing w:val="-5"/>
        </w:rPr>
        <w:t>12)</w:t>
      </w:r>
    </w:p>
    <w:p>
      <w:pPr>
        <w:spacing w:line="307" w:lineRule="auto" w:before="230"/>
        <w:ind w:left="3947" w:right="346" w:hanging="3344"/>
        <w:jc w:val="left"/>
        <w:rPr>
          <w:sz w:val="20"/>
        </w:rPr>
      </w:pPr>
      <w:r>
        <w:rPr>
          <w:color w:val="44536A"/>
          <w:sz w:val="20"/>
        </w:rPr>
        <w:t>Gráfico 12.</w:t>
      </w:r>
      <w:r>
        <w:rPr>
          <w:color w:val="44536A"/>
          <w:spacing w:val="-1"/>
          <w:sz w:val="20"/>
        </w:rPr>
        <w:t> </w:t>
      </w:r>
      <w:r>
        <w:rPr>
          <w:color w:val="44536A"/>
          <w:sz w:val="20"/>
        </w:rPr>
        <w:t>Tendencia</w:t>
      </w:r>
      <w:r>
        <w:rPr>
          <w:color w:val="44536A"/>
          <w:spacing w:val="-1"/>
          <w:sz w:val="20"/>
        </w:rPr>
        <w:t> </w:t>
      </w:r>
      <w:r>
        <w:rPr>
          <w:color w:val="44536A"/>
          <w:sz w:val="20"/>
        </w:rPr>
        <w:t>promedio del</w:t>
      </w:r>
      <w:r>
        <w:rPr>
          <w:color w:val="44536A"/>
          <w:spacing w:val="-1"/>
          <w:sz w:val="20"/>
        </w:rPr>
        <w:t> </w:t>
      </w:r>
      <w:r>
        <w:rPr>
          <w:color w:val="44536A"/>
          <w:sz w:val="20"/>
        </w:rPr>
        <w:t>nivel</w:t>
      </w:r>
      <w:r>
        <w:rPr>
          <w:color w:val="44536A"/>
          <w:spacing w:val="-1"/>
          <w:sz w:val="20"/>
        </w:rPr>
        <w:t> </w:t>
      </w:r>
      <w:r>
        <w:rPr>
          <w:color w:val="44536A"/>
          <w:sz w:val="20"/>
        </w:rPr>
        <w:t>de</w:t>
      </w:r>
      <w:r>
        <w:rPr>
          <w:color w:val="44536A"/>
          <w:spacing w:val="-1"/>
          <w:sz w:val="20"/>
        </w:rPr>
        <w:t> </w:t>
      </w:r>
      <w:r>
        <w:rPr>
          <w:color w:val="44536A"/>
          <w:sz w:val="20"/>
        </w:rPr>
        <w:t>cumplimiento de</w:t>
      </w:r>
      <w:r>
        <w:rPr>
          <w:color w:val="44536A"/>
          <w:spacing w:val="-1"/>
          <w:sz w:val="20"/>
        </w:rPr>
        <w:t> </w:t>
      </w:r>
      <w:r>
        <w:rPr>
          <w:color w:val="44536A"/>
          <w:sz w:val="20"/>
        </w:rPr>
        <w:t>los</w:t>
      </w:r>
      <w:r>
        <w:rPr>
          <w:color w:val="44536A"/>
          <w:spacing w:val="-1"/>
          <w:sz w:val="20"/>
        </w:rPr>
        <w:t> </w:t>
      </w:r>
      <w:r>
        <w:rPr>
          <w:color w:val="44536A"/>
          <w:sz w:val="20"/>
        </w:rPr>
        <w:t>OP5</w:t>
      </w:r>
      <w:r>
        <w:rPr>
          <w:color w:val="44536A"/>
          <w:spacing w:val="-2"/>
          <w:sz w:val="20"/>
        </w:rPr>
        <w:t> </w:t>
      </w:r>
      <w:r>
        <w:rPr>
          <w:color w:val="44536A"/>
          <w:sz w:val="20"/>
        </w:rPr>
        <w:t>y</w:t>
      </w:r>
      <w:r>
        <w:rPr>
          <w:color w:val="44536A"/>
          <w:spacing w:val="-2"/>
          <w:sz w:val="20"/>
        </w:rPr>
        <w:t> </w:t>
      </w:r>
      <w:r>
        <w:rPr>
          <w:color w:val="44536A"/>
          <w:sz w:val="20"/>
        </w:rPr>
        <w:t>sus</w:t>
      </w:r>
      <w:r>
        <w:rPr>
          <w:color w:val="44536A"/>
          <w:spacing w:val="-1"/>
          <w:sz w:val="20"/>
        </w:rPr>
        <w:t> </w:t>
      </w:r>
      <w:r>
        <w:rPr>
          <w:color w:val="44536A"/>
          <w:sz w:val="20"/>
        </w:rPr>
        <w:t>servicios </w:t>
      </w:r>
      <w:r>
        <w:rPr>
          <w:color w:val="44536A"/>
          <w:spacing w:val="-2"/>
          <w:sz w:val="20"/>
        </w:rPr>
        <w:t>asociados</w:t>
      </w:r>
    </w:p>
    <w:p>
      <w:pPr>
        <w:pStyle w:val="BodyText"/>
        <w:spacing w:before="8"/>
        <w:rPr>
          <w:sz w:val="8"/>
        </w:rPr>
      </w:pPr>
      <w:r>
        <w:rPr>
          <w:sz w:val="8"/>
        </w:rPr>
        <mc:AlternateContent>
          <mc:Choice Requires="wps">
            <w:drawing>
              <wp:anchor distT="0" distB="0" distL="0" distR="0" allowOverlap="1" layoutInCell="1" locked="0" behindDoc="1" simplePos="0" relativeHeight="487597056">
                <wp:simplePos x="0" y="0"/>
                <wp:positionH relativeFrom="page">
                  <wp:posOffset>1727517</wp:posOffset>
                </wp:positionH>
                <wp:positionV relativeFrom="paragraph">
                  <wp:posOffset>79671</wp:posOffset>
                </wp:positionV>
                <wp:extent cx="4088129" cy="2363470"/>
                <wp:effectExtent l="0" t="0" r="0" b="0"/>
                <wp:wrapTopAndBottom/>
                <wp:docPr id="516" name="Group 516"/>
                <wp:cNvGraphicFramePr>
                  <a:graphicFrameLocks/>
                </wp:cNvGraphicFramePr>
                <a:graphic>
                  <a:graphicData uri="http://schemas.microsoft.com/office/word/2010/wordprocessingGroup">
                    <wpg:wgp>
                      <wpg:cNvPr id="516" name="Group 516"/>
                      <wpg:cNvGrpSpPr/>
                      <wpg:grpSpPr>
                        <a:xfrm>
                          <a:off x="0" y="0"/>
                          <a:ext cx="4088129" cy="2363470"/>
                          <a:chExt cx="4088129" cy="2363470"/>
                        </a:xfrm>
                      </wpg:grpSpPr>
                      <wps:wsp>
                        <wps:cNvPr id="517" name="Graphic 517"/>
                        <wps:cNvSpPr/>
                        <wps:spPr>
                          <a:xfrm>
                            <a:off x="144462" y="1773491"/>
                            <a:ext cx="3799204" cy="1270"/>
                          </a:xfrm>
                          <a:custGeom>
                            <a:avLst/>
                            <a:gdLst/>
                            <a:ahLst/>
                            <a:cxnLst/>
                            <a:rect l="l" t="t" r="r" b="b"/>
                            <a:pathLst>
                              <a:path w="3799204" h="0">
                                <a:moveTo>
                                  <a:pt x="0" y="0"/>
                                </a:moveTo>
                                <a:lnTo>
                                  <a:pt x="3799204" y="0"/>
                                </a:lnTo>
                              </a:path>
                            </a:pathLst>
                          </a:custGeom>
                          <a:ln w="9525">
                            <a:solidFill>
                              <a:srgbClr val="D9D9D9"/>
                            </a:solidFill>
                            <a:prstDash val="solid"/>
                          </a:ln>
                        </wps:spPr>
                        <wps:bodyPr wrap="square" lIns="0" tIns="0" rIns="0" bIns="0" rtlCol="0">
                          <a:prstTxWarp prst="textNoShape">
                            <a:avLst/>
                          </a:prstTxWarp>
                          <a:noAutofit/>
                        </wps:bodyPr>
                      </wps:wsp>
                      <wps:wsp>
                        <wps:cNvPr id="518" name="Graphic 518"/>
                        <wps:cNvSpPr/>
                        <wps:spPr>
                          <a:xfrm>
                            <a:off x="2044001" y="1210373"/>
                            <a:ext cx="1520190" cy="73025"/>
                          </a:xfrm>
                          <a:custGeom>
                            <a:avLst/>
                            <a:gdLst/>
                            <a:ahLst/>
                            <a:cxnLst/>
                            <a:rect l="l" t="t" r="r" b="b"/>
                            <a:pathLst>
                              <a:path w="1520190" h="73025">
                                <a:moveTo>
                                  <a:pt x="0" y="9398"/>
                                </a:moveTo>
                                <a:lnTo>
                                  <a:pt x="759332" y="0"/>
                                </a:lnTo>
                                <a:lnTo>
                                  <a:pt x="1519681" y="72771"/>
                                </a:lnTo>
                              </a:path>
                            </a:pathLst>
                          </a:custGeom>
                          <a:ln w="28575">
                            <a:solidFill>
                              <a:srgbClr val="4471C4"/>
                            </a:solidFill>
                            <a:prstDash val="solid"/>
                          </a:ln>
                        </wps:spPr>
                        <wps:bodyPr wrap="square" lIns="0" tIns="0" rIns="0" bIns="0" rtlCol="0">
                          <a:prstTxWarp prst="textNoShape">
                            <a:avLst/>
                          </a:prstTxWarp>
                          <a:noAutofit/>
                        </wps:bodyPr>
                      </wps:wsp>
                      <wps:wsp>
                        <wps:cNvPr id="519" name="Graphic 519"/>
                        <wps:cNvSpPr/>
                        <wps:spPr>
                          <a:xfrm>
                            <a:off x="524319" y="714438"/>
                            <a:ext cx="3039745" cy="469265"/>
                          </a:xfrm>
                          <a:custGeom>
                            <a:avLst/>
                            <a:gdLst/>
                            <a:ahLst/>
                            <a:cxnLst/>
                            <a:rect l="l" t="t" r="r" b="b"/>
                            <a:pathLst>
                              <a:path w="3039745" h="469265">
                                <a:moveTo>
                                  <a:pt x="0" y="0"/>
                                </a:moveTo>
                                <a:lnTo>
                                  <a:pt x="759587" y="307213"/>
                                </a:lnTo>
                                <a:lnTo>
                                  <a:pt x="1520063" y="381889"/>
                                </a:lnTo>
                                <a:lnTo>
                                  <a:pt x="2279015" y="450469"/>
                                </a:lnTo>
                                <a:lnTo>
                                  <a:pt x="3039364" y="469265"/>
                                </a:lnTo>
                              </a:path>
                            </a:pathLst>
                          </a:custGeom>
                          <a:ln w="28575">
                            <a:solidFill>
                              <a:srgbClr val="EC7C30"/>
                            </a:solidFill>
                            <a:prstDash val="solid"/>
                          </a:ln>
                        </wps:spPr>
                        <wps:bodyPr wrap="square" lIns="0" tIns="0" rIns="0" bIns="0" rtlCol="0">
                          <a:prstTxWarp prst="textNoShape">
                            <a:avLst/>
                          </a:prstTxWarp>
                          <a:noAutofit/>
                        </wps:bodyPr>
                      </wps:wsp>
                      <wps:wsp>
                        <wps:cNvPr id="520" name="Graphic 520"/>
                        <wps:cNvSpPr/>
                        <wps:spPr>
                          <a:xfrm>
                            <a:off x="742251" y="2175319"/>
                            <a:ext cx="243840" cy="1270"/>
                          </a:xfrm>
                          <a:custGeom>
                            <a:avLst/>
                            <a:gdLst/>
                            <a:ahLst/>
                            <a:cxnLst/>
                            <a:rect l="l" t="t" r="r" b="b"/>
                            <a:pathLst>
                              <a:path w="243840" h="0">
                                <a:moveTo>
                                  <a:pt x="0" y="0"/>
                                </a:moveTo>
                                <a:lnTo>
                                  <a:pt x="243839" y="0"/>
                                </a:lnTo>
                              </a:path>
                            </a:pathLst>
                          </a:custGeom>
                          <a:ln w="28575">
                            <a:solidFill>
                              <a:srgbClr val="4471C4"/>
                            </a:solidFill>
                            <a:prstDash val="solid"/>
                          </a:ln>
                        </wps:spPr>
                        <wps:bodyPr wrap="square" lIns="0" tIns="0" rIns="0" bIns="0" rtlCol="0">
                          <a:prstTxWarp prst="textNoShape">
                            <a:avLst/>
                          </a:prstTxWarp>
                          <a:noAutofit/>
                        </wps:bodyPr>
                      </wps:wsp>
                      <wps:wsp>
                        <wps:cNvPr id="521" name="Graphic 521"/>
                        <wps:cNvSpPr/>
                        <wps:spPr>
                          <a:xfrm>
                            <a:off x="2277681" y="2175319"/>
                            <a:ext cx="243840" cy="1270"/>
                          </a:xfrm>
                          <a:custGeom>
                            <a:avLst/>
                            <a:gdLst/>
                            <a:ahLst/>
                            <a:cxnLst/>
                            <a:rect l="l" t="t" r="r" b="b"/>
                            <a:pathLst>
                              <a:path w="243840" h="0">
                                <a:moveTo>
                                  <a:pt x="0" y="0"/>
                                </a:moveTo>
                                <a:lnTo>
                                  <a:pt x="243839" y="0"/>
                                </a:lnTo>
                              </a:path>
                            </a:pathLst>
                          </a:custGeom>
                          <a:ln w="28575">
                            <a:solidFill>
                              <a:srgbClr val="EC7C30"/>
                            </a:solidFill>
                            <a:prstDash val="solid"/>
                          </a:ln>
                        </wps:spPr>
                        <wps:bodyPr wrap="square" lIns="0" tIns="0" rIns="0" bIns="0" rtlCol="0">
                          <a:prstTxWarp prst="textNoShape">
                            <a:avLst/>
                          </a:prstTxWarp>
                          <a:noAutofit/>
                        </wps:bodyPr>
                      </wps:wsp>
                      <wps:wsp>
                        <wps:cNvPr id="522" name="Graphic 522"/>
                        <wps:cNvSpPr/>
                        <wps:spPr>
                          <a:xfrm>
                            <a:off x="4762" y="4762"/>
                            <a:ext cx="4078604" cy="2353945"/>
                          </a:xfrm>
                          <a:custGeom>
                            <a:avLst/>
                            <a:gdLst/>
                            <a:ahLst/>
                            <a:cxnLst/>
                            <a:rect l="l" t="t" r="r" b="b"/>
                            <a:pathLst>
                              <a:path w="4078604" h="2353945">
                                <a:moveTo>
                                  <a:pt x="0" y="2353945"/>
                                </a:moveTo>
                                <a:lnTo>
                                  <a:pt x="4078604" y="2353945"/>
                                </a:lnTo>
                                <a:lnTo>
                                  <a:pt x="4078604" y="0"/>
                                </a:lnTo>
                                <a:lnTo>
                                  <a:pt x="0" y="0"/>
                                </a:lnTo>
                                <a:lnTo>
                                  <a:pt x="0" y="2353945"/>
                                </a:lnTo>
                                <a:close/>
                              </a:path>
                            </a:pathLst>
                          </a:custGeom>
                          <a:ln w="9525">
                            <a:solidFill>
                              <a:srgbClr val="D9D9D9"/>
                            </a:solidFill>
                            <a:prstDash val="solid"/>
                          </a:ln>
                        </wps:spPr>
                        <wps:bodyPr wrap="square" lIns="0" tIns="0" rIns="0" bIns="0" rtlCol="0">
                          <a:prstTxWarp prst="textNoShape">
                            <a:avLst/>
                          </a:prstTxWarp>
                          <a:noAutofit/>
                        </wps:bodyPr>
                      </wps:wsp>
                      <wps:wsp>
                        <wps:cNvPr id="523" name="Textbox 523"/>
                        <wps:cNvSpPr txBox="1"/>
                        <wps:spPr>
                          <a:xfrm>
                            <a:off x="2547937" y="2122233"/>
                            <a:ext cx="85598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wps:txbx>
                        <wps:bodyPr wrap="square" lIns="0" tIns="0" rIns="0" bIns="0" rtlCol="0">
                          <a:noAutofit/>
                        </wps:bodyPr>
                      </wps:wsp>
                      <wps:wsp>
                        <wps:cNvPr id="524" name="Textbox 524"/>
                        <wps:cNvSpPr txBox="1"/>
                        <wps:spPr>
                          <a:xfrm>
                            <a:off x="1012380" y="2122233"/>
                            <a:ext cx="107569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wps:txbx>
                        <wps:bodyPr wrap="square" lIns="0" tIns="0" rIns="0" bIns="0" rtlCol="0">
                          <a:noAutofit/>
                        </wps:bodyPr>
                      </wps:wsp>
                      <wps:wsp>
                        <wps:cNvPr id="525" name="Textbox 525"/>
                        <wps:cNvSpPr txBox="1"/>
                        <wps:spPr>
                          <a:xfrm>
                            <a:off x="3448875" y="1868639"/>
                            <a:ext cx="244475" cy="114935"/>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2023</w:t>
                              </w:r>
                            </w:p>
                          </w:txbxContent>
                        </wps:txbx>
                        <wps:bodyPr wrap="square" lIns="0" tIns="0" rIns="0" bIns="0" rtlCol="0">
                          <a:noAutofit/>
                        </wps:bodyPr>
                      </wps:wsp>
                      <wps:wsp>
                        <wps:cNvPr id="526" name="Textbox 526"/>
                        <wps:cNvSpPr txBox="1"/>
                        <wps:spPr>
                          <a:xfrm>
                            <a:off x="2689034" y="1868639"/>
                            <a:ext cx="244475" cy="114935"/>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2022</w:t>
                              </w:r>
                            </w:p>
                          </w:txbxContent>
                        </wps:txbx>
                        <wps:bodyPr wrap="square" lIns="0" tIns="0" rIns="0" bIns="0" rtlCol="0">
                          <a:noAutofit/>
                        </wps:bodyPr>
                      </wps:wsp>
                      <wps:wsp>
                        <wps:cNvPr id="527" name="Textbox 527"/>
                        <wps:cNvSpPr txBox="1"/>
                        <wps:spPr>
                          <a:xfrm>
                            <a:off x="1928812" y="1868639"/>
                            <a:ext cx="244475" cy="114935"/>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2021</w:t>
                              </w:r>
                            </w:p>
                          </w:txbxContent>
                        </wps:txbx>
                        <wps:bodyPr wrap="square" lIns="0" tIns="0" rIns="0" bIns="0" rtlCol="0">
                          <a:noAutofit/>
                        </wps:bodyPr>
                      </wps:wsp>
                      <wps:wsp>
                        <wps:cNvPr id="528" name="Textbox 528"/>
                        <wps:cNvSpPr txBox="1"/>
                        <wps:spPr>
                          <a:xfrm>
                            <a:off x="1168971" y="1868639"/>
                            <a:ext cx="244475" cy="114935"/>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2020</w:t>
                              </w:r>
                            </w:p>
                          </w:txbxContent>
                        </wps:txbx>
                        <wps:bodyPr wrap="square" lIns="0" tIns="0" rIns="0" bIns="0" rtlCol="0">
                          <a:noAutofit/>
                        </wps:bodyPr>
                      </wps:wsp>
                      <wps:wsp>
                        <wps:cNvPr id="529" name="Textbox 529"/>
                        <wps:cNvSpPr txBox="1"/>
                        <wps:spPr>
                          <a:xfrm>
                            <a:off x="408876" y="1868639"/>
                            <a:ext cx="244475" cy="114935"/>
                          </a:xfrm>
                          <a:prstGeom prst="rect">
                            <a:avLst/>
                          </a:prstGeom>
                        </wps:spPr>
                        <wps:txbx>
                          <w:txbxContent>
                            <w:p>
                              <w:pPr>
                                <w:spacing w:line="180" w:lineRule="exact" w:before="0"/>
                                <w:ind w:left="0" w:right="0" w:firstLine="0"/>
                                <w:jc w:val="left"/>
                                <w:rPr>
                                  <w:rFonts w:ascii="Calibri"/>
                                  <w:sz w:val="18"/>
                                </w:rPr>
                              </w:pPr>
                              <w:r>
                                <w:rPr>
                                  <w:rFonts w:ascii="Calibri"/>
                                  <w:color w:val="585858"/>
                                  <w:spacing w:val="-4"/>
                                  <w:sz w:val="18"/>
                                </w:rPr>
                                <w:t>2019</w:t>
                              </w:r>
                            </w:p>
                          </w:txbxContent>
                        </wps:txbx>
                        <wps:bodyPr wrap="square" lIns="0" tIns="0" rIns="0" bIns="0" rtlCol="0">
                          <a:noAutofit/>
                        </wps:bodyPr>
                      </wps:wsp>
                      <wps:wsp>
                        <wps:cNvPr id="530" name="Textbox 530"/>
                        <wps:cNvSpPr txBox="1"/>
                        <wps:spPr>
                          <a:xfrm>
                            <a:off x="3393122" y="1341310"/>
                            <a:ext cx="21653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60.5</w:t>
                              </w:r>
                            </w:p>
                          </w:txbxContent>
                        </wps:txbx>
                        <wps:bodyPr wrap="square" lIns="0" tIns="0" rIns="0" bIns="0" rtlCol="0">
                          <a:noAutofit/>
                        </wps:bodyPr>
                      </wps:wsp>
                      <wps:wsp>
                        <wps:cNvPr id="531" name="Textbox 531"/>
                        <wps:cNvSpPr txBox="1"/>
                        <wps:spPr>
                          <a:xfrm>
                            <a:off x="2685351" y="1292796"/>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69.4</w:t>
                              </w:r>
                            </w:p>
                          </w:txbxContent>
                        </wps:txbx>
                        <wps:bodyPr wrap="square" lIns="0" tIns="0" rIns="0" bIns="0" rtlCol="0">
                          <a:noAutofit/>
                        </wps:bodyPr>
                      </wps:wsp>
                      <wps:wsp>
                        <wps:cNvPr id="532" name="Textbox 532"/>
                        <wps:cNvSpPr txBox="1"/>
                        <wps:spPr>
                          <a:xfrm>
                            <a:off x="1938337" y="1289748"/>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68.3</w:t>
                              </w:r>
                            </w:p>
                          </w:txbxContent>
                        </wps:txbx>
                        <wps:bodyPr wrap="square" lIns="0" tIns="0" rIns="0" bIns="0" rtlCol="0">
                          <a:noAutofit/>
                        </wps:bodyPr>
                      </wps:wsp>
                      <wps:wsp>
                        <wps:cNvPr id="533" name="Textbox 533"/>
                        <wps:cNvSpPr txBox="1"/>
                        <wps:spPr>
                          <a:xfrm>
                            <a:off x="3463226" y="978344"/>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72.7</w:t>
                              </w:r>
                            </w:p>
                          </w:txbxContent>
                        </wps:txbx>
                        <wps:bodyPr wrap="square" lIns="0" tIns="0" rIns="0" bIns="0" rtlCol="0">
                          <a:noAutofit/>
                        </wps:bodyPr>
                      </wps:wsp>
                      <wps:wsp>
                        <wps:cNvPr id="534" name="Textbox 534"/>
                        <wps:cNvSpPr txBox="1"/>
                        <wps:spPr>
                          <a:xfrm>
                            <a:off x="2703004" y="959421"/>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75.0</w:t>
                              </w:r>
                            </w:p>
                          </w:txbxContent>
                        </wps:txbx>
                        <wps:bodyPr wrap="square" lIns="0" tIns="0" rIns="0" bIns="0" rtlCol="0">
                          <a:noAutofit/>
                        </wps:bodyPr>
                      </wps:wsp>
                      <wps:wsp>
                        <wps:cNvPr id="535" name="Textbox 535"/>
                        <wps:cNvSpPr txBox="1"/>
                        <wps:spPr>
                          <a:xfrm>
                            <a:off x="1943163" y="890460"/>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83.5</w:t>
                              </w:r>
                            </w:p>
                          </w:txbxContent>
                        </wps:txbx>
                        <wps:bodyPr wrap="square" lIns="0" tIns="0" rIns="0" bIns="0" rtlCol="0">
                          <a:noAutofit/>
                        </wps:bodyPr>
                      </wps:wsp>
                      <wps:wsp>
                        <wps:cNvPr id="536" name="Textbox 536"/>
                        <wps:cNvSpPr txBox="1"/>
                        <wps:spPr>
                          <a:xfrm>
                            <a:off x="1183322" y="815784"/>
                            <a:ext cx="215900"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4"/>
                                  <w:sz w:val="18"/>
                                </w:rPr>
                                <w:t>92.7</w:t>
                              </w:r>
                            </w:p>
                          </w:txbxContent>
                        </wps:txbx>
                        <wps:bodyPr wrap="square" lIns="0" tIns="0" rIns="0" bIns="0" rtlCol="0">
                          <a:noAutofit/>
                        </wps:bodyPr>
                      </wps:wsp>
                      <wps:wsp>
                        <wps:cNvPr id="537" name="Textbox 537"/>
                        <wps:cNvSpPr txBox="1"/>
                        <wps:spPr>
                          <a:xfrm>
                            <a:off x="394144" y="508952"/>
                            <a:ext cx="273685" cy="114300"/>
                          </a:xfrm>
                          <a:prstGeom prst="rect">
                            <a:avLst/>
                          </a:prstGeom>
                        </wps:spPr>
                        <wps:txbx>
                          <w:txbxContent>
                            <w:p>
                              <w:pPr>
                                <w:spacing w:line="180" w:lineRule="exact" w:before="0"/>
                                <w:ind w:left="0" w:right="0" w:firstLine="0"/>
                                <w:jc w:val="left"/>
                                <w:rPr>
                                  <w:rFonts w:ascii="Calibri"/>
                                  <w:sz w:val="18"/>
                                </w:rPr>
                              </w:pPr>
                              <w:r>
                                <w:rPr>
                                  <w:rFonts w:ascii="Calibri"/>
                                  <w:color w:val="404040"/>
                                  <w:spacing w:val="-2"/>
                                  <w:sz w:val="18"/>
                                </w:rPr>
                                <w:t>130.6</w:t>
                              </w:r>
                            </w:p>
                          </w:txbxContent>
                        </wps:txbx>
                        <wps:bodyPr wrap="square" lIns="0" tIns="0" rIns="0" bIns="0" rtlCol="0">
                          <a:noAutofit/>
                        </wps:bodyPr>
                      </wps:wsp>
                      <wps:wsp>
                        <wps:cNvPr id="538" name="Textbox 538"/>
                        <wps:cNvSpPr txBox="1"/>
                        <wps:spPr>
                          <a:xfrm>
                            <a:off x="1894776" y="135699"/>
                            <a:ext cx="311785" cy="178435"/>
                          </a:xfrm>
                          <a:prstGeom prst="rect">
                            <a:avLst/>
                          </a:prstGeom>
                        </wps:spPr>
                        <wps:txbx>
                          <w:txbxContent>
                            <w:p>
                              <w:pPr>
                                <w:spacing w:line="281" w:lineRule="exact" w:before="0"/>
                                <w:ind w:left="0" w:right="0" w:firstLine="0"/>
                                <w:jc w:val="left"/>
                                <w:rPr>
                                  <w:rFonts w:ascii="Calibri"/>
                                  <w:sz w:val="28"/>
                                </w:rPr>
                              </w:pPr>
                              <w:r>
                                <w:rPr>
                                  <w:rFonts w:ascii="Calibri"/>
                                  <w:color w:val="585858"/>
                                  <w:spacing w:val="-5"/>
                                  <w:sz w:val="28"/>
                                </w:rPr>
                                <w:t>OP5</w:t>
                              </w:r>
                            </w:p>
                          </w:txbxContent>
                        </wps:txbx>
                        <wps:bodyPr wrap="square" lIns="0" tIns="0" rIns="0" bIns="0" rtlCol="0">
                          <a:noAutofit/>
                        </wps:bodyPr>
                      </wps:wsp>
                    </wpg:wgp>
                  </a:graphicData>
                </a:graphic>
              </wp:anchor>
            </w:drawing>
          </mc:Choice>
          <mc:Fallback>
            <w:pict>
              <v:group style="position:absolute;margin-left:136.024994pt;margin-top:6.273379pt;width:321.9pt;height:186.1pt;mso-position-horizontal-relative:page;mso-position-vertical-relative:paragraph;z-index:-15719424;mso-wrap-distance-left:0;mso-wrap-distance-right:0" id="docshapegroup503" coordorigin="2720,125" coordsize="6438,3722">
                <v:line style="position:absolute" from="2948,2918" to="8931,2918" stroked="true" strokeweight=".75pt" strokecolor="#d9d9d9">
                  <v:stroke dashstyle="solid"/>
                </v:line>
                <v:shape style="position:absolute;left:5939;top:2031;width:2394;height:115" id="docshape504" coordorigin="5939,2032" coordsize="2394,115" path="m5939,2046l7135,2032,8333,2146e" filled="false" stroked="true" strokeweight="2.25pt" strokecolor="#4471c4">
                  <v:path arrowok="t"/>
                  <v:stroke dashstyle="solid"/>
                </v:shape>
                <v:shape style="position:absolute;left:3546;top:1250;width:4787;height:739" id="docshape505" coordorigin="3546,1251" coordsize="4787,739" path="m3546,1251l4742,1734,5940,1852,7135,1960,8333,1990e" filled="false" stroked="true" strokeweight="2.25pt" strokecolor="#ec7c30">
                  <v:path arrowok="t"/>
                  <v:stroke dashstyle="solid"/>
                </v:shape>
                <v:line style="position:absolute" from="3889,3551" to="4273,3551" stroked="true" strokeweight="2.25pt" strokecolor="#4471c4">
                  <v:stroke dashstyle="solid"/>
                </v:line>
                <v:line style="position:absolute" from="6307,3551" to="6691,3551" stroked="true" strokeweight="2.25pt" strokecolor="#ec7c30">
                  <v:stroke dashstyle="solid"/>
                </v:line>
                <v:rect style="position:absolute;left:2728;top:132;width:6423;height:3707" id="docshape506" filled="false" stroked="true" strokeweight=".75pt" strokecolor="#d9d9d9">
                  <v:stroke dashstyle="solid"/>
                </v:rect>
                <v:shape style="position:absolute;left:6733;top:3467;width:1348;height:180" type="#_x0000_t202" id="docshape507"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5"/>
                            <w:sz w:val="18"/>
                          </w:rPr>
                          <w:t>OP</w:t>
                        </w:r>
                      </w:p>
                    </w:txbxContent>
                  </v:textbox>
                  <w10:wrap type="none"/>
                </v:shape>
                <v:shape style="position:absolute;left:4314;top:3467;width:1694;height:180" type="#_x0000_t202" id="docshape508" filled="false" stroked="false">
                  <v:textbox inset="0,0,0,0">
                    <w:txbxContent>
                      <w:p>
                        <w:pPr>
                          <w:spacing w:line="180" w:lineRule="exact" w:before="0"/>
                          <w:ind w:left="0" w:right="0" w:firstLine="0"/>
                          <w:jc w:val="left"/>
                          <w:rPr>
                            <w:rFonts w:ascii="Calibri"/>
                            <w:sz w:val="18"/>
                          </w:rPr>
                        </w:pPr>
                        <w:r>
                          <w:rPr>
                            <w:rFonts w:ascii="Calibri"/>
                            <w:color w:val="585858"/>
                            <w:sz w:val="18"/>
                          </w:rPr>
                          <w:t>Indicadores</w:t>
                        </w:r>
                        <w:r>
                          <w:rPr>
                            <w:rFonts w:ascii="Calibri"/>
                            <w:color w:val="585858"/>
                            <w:spacing w:val="-4"/>
                            <w:sz w:val="18"/>
                          </w:rPr>
                          <w:t> </w:t>
                        </w:r>
                        <w:r>
                          <w:rPr>
                            <w:rFonts w:ascii="Calibri"/>
                            <w:color w:val="585858"/>
                            <w:sz w:val="18"/>
                          </w:rPr>
                          <w:t>de</w:t>
                        </w:r>
                        <w:r>
                          <w:rPr>
                            <w:rFonts w:ascii="Calibri"/>
                            <w:color w:val="585858"/>
                            <w:spacing w:val="-3"/>
                            <w:sz w:val="18"/>
                          </w:rPr>
                          <w:t> </w:t>
                        </w:r>
                        <w:r>
                          <w:rPr>
                            <w:rFonts w:ascii="Calibri"/>
                            <w:color w:val="585858"/>
                            <w:spacing w:val="-2"/>
                            <w:sz w:val="18"/>
                          </w:rPr>
                          <w:t>servicio</w:t>
                        </w:r>
                      </w:p>
                    </w:txbxContent>
                  </v:textbox>
                  <w10:wrap type="none"/>
                </v:shape>
                <v:shape style="position:absolute;left:8151;top:3068;width:385;height:181" type="#_x0000_t202" id="docshape509"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2023</w:t>
                        </w:r>
                      </w:p>
                    </w:txbxContent>
                  </v:textbox>
                  <w10:wrap type="none"/>
                </v:shape>
                <v:shape style="position:absolute;left:6955;top:3068;width:385;height:181" type="#_x0000_t202" id="docshape510"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2022</w:t>
                        </w:r>
                      </w:p>
                    </w:txbxContent>
                  </v:textbox>
                  <w10:wrap type="none"/>
                </v:shape>
                <v:shape style="position:absolute;left:5758;top:3068;width:385;height:181" type="#_x0000_t202" id="docshape511"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2021</w:t>
                        </w:r>
                      </w:p>
                    </w:txbxContent>
                  </v:textbox>
                  <w10:wrap type="none"/>
                </v:shape>
                <v:shape style="position:absolute;left:4561;top:3068;width:385;height:181" type="#_x0000_t202" id="docshape512"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2020</w:t>
                        </w:r>
                      </w:p>
                    </w:txbxContent>
                  </v:textbox>
                  <w10:wrap type="none"/>
                </v:shape>
                <v:shape style="position:absolute;left:3364;top:3068;width:385;height:181" type="#_x0000_t202" id="docshape513" filled="false" stroked="false">
                  <v:textbox inset="0,0,0,0">
                    <w:txbxContent>
                      <w:p>
                        <w:pPr>
                          <w:spacing w:line="180" w:lineRule="exact" w:before="0"/>
                          <w:ind w:left="0" w:right="0" w:firstLine="0"/>
                          <w:jc w:val="left"/>
                          <w:rPr>
                            <w:rFonts w:ascii="Calibri"/>
                            <w:sz w:val="18"/>
                          </w:rPr>
                        </w:pPr>
                        <w:r>
                          <w:rPr>
                            <w:rFonts w:ascii="Calibri"/>
                            <w:color w:val="585858"/>
                            <w:spacing w:val="-4"/>
                            <w:sz w:val="18"/>
                          </w:rPr>
                          <w:t>2019</w:t>
                        </w:r>
                      </w:p>
                    </w:txbxContent>
                  </v:textbox>
                  <w10:wrap type="none"/>
                </v:shape>
                <v:shape style="position:absolute;left:8064;top:2237;width:341;height:180" type="#_x0000_t202" id="docshape514"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60.5</w:t>
                        </w:r>
                      </w:p>
                    </w:txbxContent>
                  </v:textbox>
                  <w10:wrap type="none"/>
                </v:shape>
                <v:shape style="position:absolute;left:6949;top:2161;width:340;height:180" type="#_x0000_t202" id="docshape515"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69.4</w:t>
                        </w:r>
                      </w:p>
                    </w:txbxContent>
                  </v:textbox>
                  <w10:wrap type="none"/>
                </v:shape>
                <v:shape style="position:absolute;left:5773;top:2156;width:340;height:180" type="#_x0000_t202" id="docshape516"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68.3</w:t>
                        </w:r>
                      </w:p>
                    </w:txbxContent>
                  </v:textbox>
                  <w10:wrap type="none"/>
                </v:shape>
                <v:shape style="position:absolute;left:8174;top:1666;width:340;height:180" type="#_x0000_t202" id="docshape517"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72.7</w:t>
                        </w:r>
                      </w:p>
                    </w:txbxContent>
                  </v:textbox>
                  <w10:wrap type="none"/>
                </v:shape>
                <v:shape style="position:absolute;left:6977;top:1636;width:340;height:180" type="#_x0000_t202" id="docshape518"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75.0</w:t>
                        </w:r>
                      </w:p>
                    </w:txbxContent>
                  </v:textbox>
                  <w10:wrap type="none"/>
                </v:shape>
                <v:shape style="position:absolute;left:5780;top:1527;width:340;height:180" type="#_x0000_t202" id="docshape519"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83.5</w:t>
                        </w:r>
                      </w:p>
                    </w:txbxContent>
                  </v:textbox>
                  <w10:wrap type="none"/>
                </v:shape>
                <v:shape style="position:absolute;left:4584;top:1410;width:340;height:180" type="#_x0000_t202" id="docshape520" filled="false" stroked="false">
                  <v:textbox inset="0,0,0,0">
                    <w:txbxContent>
                      <w:p>
                        <w:pPr>
                          <w:spacing w:line="180" w:lineRule="exact" w:before="0"/>
                          <w:ind w:left="0" w:right="0" w:firstLine="0"/>
                          <w:jc w:val="left"/>
                          <w:rPr>
                            <w:rFonts w:ascii="Calibri"/>
                            <w:sz w:val="18"/>
                          </w:rPr>
                        </w:pPr>
                        <w:r>
                          <w:rPr>
                            <w:rFonts w:ascii="Calibri"/>
                            <w:color w:val="404040"/>
                            <w:spacing w:val="-4"/>
                            <w:sz w:val="18"/>
                          </w:rPr>
                          <w:t>92.7</w:t>
                        </w:r>
                      </w:p>
                    </w:txbxContent>
                  </v:textbox>
                  <w10:wrap type="none"/>
                </v:shape>
                <v:shape style="position:absolute;left:3341;top:926;width:431;height:180" type="#_x0000_t202" id="docshape521" filled="false" stroked="false">
                  <v:textbox inset="0,0,0,0">
                    <w:txbxContent>
                      <w:p>
                        <w:pPr>
                          <w:spacing w:line="180" w:lineRule="exact" w:before="0"/>
                          <w:ind w:left="0" w:right="0" w:firstLine="0"/>
                          <w:jc w:val="left"/>
                          <w:rPr>
                            <w:rFonts w:ascii="Calibri"/>
                            <w:sz w:val="18"/>
                          </w:rPr>
                        </w:pPr>
                        <w:r>
                          <w:rPr>
                            <w:rFonts w:ascii="Calibri"/>
                            <w:color w:val="404040"/>
                            <w:spacing w:val="-2"/>
                            <w:sz w:val="18"/>
                          </w:rPr>
                          <w:t>130.6</w:t>
                        </w:r>
                      </w:p>
                    </w:txbxContent>
                  </v:textbox>
                  <w10:wrap type="none"/>
                </v:shape>
                <v:shape style="position:absolute;left:5704;top:339;width:491;height:281" type="#_x0000_t202" id="docshape522" filled="false" stroked="false">
                  <v:textbox inset="0,0,0,0">
                    <w:txbxContent>
                      <w:p>
                        <w:pPr>
                          <w:spacing w:line="281" w:lineRule="exact" w:before="0"/>
                          <w:ind w:left="0" w:right="0" w:firstLine="0"/>
                          <w:jc w:val="left"/>
                          <w:rPr>
                            <w:rFonts w:ascii="Calibri"/>
                            <w:sz w:val="28"/>
                          </w:rPr>
                        </w:pPr>
                        <w:r>
                          <w:rPr>
                            <w:rFonts w:ascii="Calibri"/>
                            <w:color w:val="585858"/>
                            <w:spacing w:val="-5"/>
                            <w:sz w:val="28"/>
                          </w:rPr>
                          <w:t>OP5</w:t>
                        </w:r>
                      </w:p>
                    </w:txbxContent>
                  </v:textbox>
                  <w10:wrap type="none"/>
                </v:shape>
                <w10:wrap type="topAndBottom"/>
              </v:group>
            </w:pict>
          </mc:Fallback>
        </mc:AlternateContent>
      </w:r>
    </w:p>
    <w:p>
      <w:pPr>
        <w:pStyle w:val="BodyText"/>
        <w:rPr>
          <w:sz w:val="20"/>
        </w:rPr>
      </w:pPr>
    </w:p>
    <w:p>
      <w:pPr>
        <w:pStyle w:val="BodyText"/>
        <w:spacing w:before="210"/>
        <w:rPr>
          <w:sz w:val="20"/>
        </w:rPr>
      </w:pPr>
    </w:p>
    <w:p>
      <w:pPr>
        <w:pStyle w:val="BodyText"/>
        <w:spacing w:line="307" w:lineRule="auto"/>
        <w:ind w:left="143" w:right="710"/>
        <w:jc w:val="both"/>
      </w:pPr>
      <w:r>
        <w:rPr/>
        <w:t>Según el análisis realizado que muestran la tendencia de los niveles promedio de</w:t>
      </w:r>
      <w:r>
        <w:rPr>
          <w:spacing w:val="-10"/>
        </w:rPr>
        <w:t> </w:t>
      </w:r>
      <w:r>
        <w:rPr/>
        <w:t>cumplimiento</w:t>
      </w:r>
      <w:r>
        <w:rPr>
          <w:spacing w:val="-9"/>
        </w:rPr>
        <w:t> </w:t>
      </w:r>
      <w:r>
        <w:rPr/>
        <w:t>de</w:t>
      </w:r>
      <w:r>
        <w:rPr>
          <w:spacing w:val="-10"/>
        </w:rPr>
        <w:t> </w:t>
      </w:r>
      <w:r>
        <w:rPr/>
        <w:t>metas</w:t>
      </w:r>
      <w:r>
        <w:rPr>
          <w:spacing w:val="-9"/>
        </w:rPr>
        <w:t> </w:t>
      </w:r>
      <w:r>
        <w:rPr/>
        <w:t>de</w:t>
      </w:r>
      <w:r>
        <w:rPr>
          <w:spacing w:val="-13"/>
        </w:rPr>
        <w:t> </w:t>
      </w:r>
      <w:r>
        <w:rPr/>
        <w:t>los</w:t>
      </w:r>
      <w:r>
        <w:rPr>
          <w:spacing w:val="-9"/>
        </w:rPr>
        <w:t> </w:t>
      </w:r>
      <w:r>
        <w:rPr/>
        <w:t>objetivos</w:t>
      </w:r>
      <w:r>
        <w:rPr>
          <w:spacing w:val="-9"/>
        </w:rPr>
        <w:t> </w:t>
      </w:r>
      <w:r>
        <w:rPr/>
        <w:t>prioritarios</w:t>
      </w:r>
      <w:r>
        <w:rPr>
          <w:spacing w:val="-9"/>
        </w:rPr>
        <w:t> </w:t>
      </w:r>
      <w:r>
        <w:rPr/>
        <w:t>y</w:t>
      </w:r>
      <w:r>
        <w:rPr>
          <w:spacing w:val="-10"/>
        </w:rPr>
        <w:t> </w:t>
      </w:r>
      <w:r>
        <w:rPr/>
        <w:t>sus</w:t>
      </w:r>
      <w:r>
        <w:rPr>
          <w:spacing w:val="-9"/>
        </w:rPr>
        <w:t> </w:t>
      </w:r>
      <w:r>
        <w:rPr/>
        <w:t>servicios</w:t>
      </w:r>
      <w:r>
        <w:rPr>
          <w:spacing w:val="-9"/>
        </w:rPr>
        <w:t> </w:t>
      </w:r>
      <w:r>
        <w:rPr/>
        <w:t>se</w:t>
      </w:r>
      <w:r>
        <w:rPr>
          <w:spacing w:val="-10"/>
        </w:rPr>
        <w:t> </w:t>
      </w:r>
      <w:r>
        <w:rPr/>
        <w:t>observa </w:t>
      </w:r>
      <w:r>
        <w:rPr>
          <w:w w:val="105"/>
        </w:rPr>
        <w:t>lo siguiente:</w:t>
      </w:r>
    </w:p>
    <w:p>
      <w:pPr>
        <w:pStyle w:val="ListParagraph"/>
        <w:numPr>
          <w:ilvl w:val="0"/>
          <w:numId w:val="17"/>
        </w:numPr>
        <w:tabs>
          <w:tab w:pos="862" w:val="left" w:leader="none"/>
        </w:tabs>
        <w:spacing w:line="304" w:lineRule="auto" w:before="141" w:after="0"/>
        <w:ind w:left="862" w:right="752" w:hanging="360"/>
        <w:jc w:val="left"/>
        <w:rPr>
          <w:sz w:val="24"/>
        </w:rPr>
      </w:pPr>
      <w:r>
        <w:rPr>
          <w:sz w:val="24"/>
        </w:rPr>
        <w:t>En el caso del OP1 y OP4, el nivel de cumplimiento promedio de los indicadores de servicios muestra una tendencia ascendente mientras que el nivel de cumplimiento de los indicadores de objetivos prioritarios muestra una tendencia descendente.</w:t>
      </w:r>
    </w:p>
    <w:p>
      <w:pPr>
        <w:pStyle w:val="ListParagraph"/>
        <w:numPr>
          <w:ilvl w:val="0"/>
          <w:numId w:val="17"/>
        </w:numPr>
        <w:tabs>
          <w:tab w:pos="862" w:val="left" w:leader="none"/>
        </w:tabs>
        <w:spacing w:line="304" w:lineRule="auto" w:before="0" w:after="0"/>
        <w:ind w:left="862" w:right="752" w:hanging="360"/>
        <w:jc w:val="left"/>
        <w:rPr>
          <w:sz w:val="24"/>
        </w:rPr>
      </w:pPr>
      <w:r>
        <w:rPr>
          <w:sz w:val="24"/>
        </w:rPr>
        <w:t>En el caso de la OP3 el nivel de cumplimiento de metas de los indicadores de servicios muestra una tendencia descendente mientras que el nivel de cumplimiento de los indicadores de objetivos prioritarios muestra una tendencia ascendente.</w:t>
      </w:r>
    </w:p>
    <w:p>
      <w:pPr>
        <w:pStyle w:val="ListParagraph"/>
        <w:numPr>
          <w:ilvl w:val="0"/>
          <w:numId w:val="17"/>
        </w:numPr>
        <w:tabs>
          <w:tab w:pos="862" w:val="left" w:leader="none"/>
        </w:tabs>
        <w:spacing w:line="304" w:lineRule="auto" w:before="0" w:after="0"/>
        <w:ind w:left="862" w:right="736" w:hanging="360"/>
        <w:jc w:val="left"/>
        <w:rPr>
          <w:sz w:val="24"/>
        </w:rPr>
      </w:pPr>
      <w:r>
        <w:rPr>
          <w:sz w:val="24"/>
        </w:rPr>
        <w:t>En</w:t>
      </w:r>
      <w:r>
        <w:rPr>
          <w:spacing w:val="-2"/>
          <w:sz w:val="24"/>
        </w:rPr>
        <w:t> </w:t>
      </w:r>
      <w:r>
        <w:rPr>
          <w:sz w:val="24"/>
        </w:rPr>
        <w:t>caso</w:t>
      </w:r>
      <w:r>
        <w:rPr>
          <w:spacing w:val="-3"/>
          <w:sz w:val="24"/>
        </w:rPr>
        <w:t> </w:t>
      </w:r>
      <w:r>
        <w:rPr>
          <w:sz w:val="24"/>
        </w:rPr>
        <w:t>del</w:t>
      </w:r>
      <w:r>
        <w:rPr>
          <w:spacing w:val="-2"/>
          <w:sz w:val="24"/>
        </w:rPr>
        <w:t> </w:t>
      </w:r>
      <w:r>
        <w:rPr>
          <w:sz w:val="24"/>
        </w:rPr>
        <w:t>OP5,</w:t>
      </w:r>
      <w:r>
        <w:rPr>
          <w:spacing w:val="-1"/>
          <w:sz w:val="24"/>
        </w:rPr>
        <w:t> </w:t>
      </w:r>
      <w:r>
        <w:rPr>
          <w:sz w:val="24"/>
        </w:rPr>
        <w:t>la</w:t>
      </w:r>
      <w:r>
        <w:rPr>
          <w:spacing w:val="-4"/>
          <w:sz w:val="24"/>
        </w:rPr>
        <w:t> </w:t>
      </w:r>
      <w:r>
        <w:rPr>
          <w:sz w:val="24"/>
        </w:rPr>
        <w:t>tendencia</w:t>
      </w:r>
      <w:r>
        <w:rPr>
          <w:spacing w:val="-4"/>
          <w:sz w:val="24"/>
        </w:rPr>
        <w:t> </w:t>
      </w:r>
      <w:r>
        <w:rPr>
          <w:sz w:val="24"/>
        </w:rPr>
        <w:t>del</w:t>
      </w:r>
      <w:r>
        <w:rPr>
          <w:spacing w:val="-3"/>
          <w:sz w:val="24"/>
        </w:rPr>
        <w:t> </w:t>
      </w:r>
      <w:r>
        <w:rPr>
          <w:sz w:val="24"/>
        </w:rPr>
        <w:t>nivel</w:t>
      </w:r>
      <w:r>
        <w:rPr>
          <w:spacing w:val="-1"/>
          <w:sz w:val="24"/>
        </w:rPr>
        <w:t> </w:t>
      </w:r>
      <w:r>
        <w:rPr>
          <w:sz w:val="24"/>
        </w:rPr>
        <w:t>de</w:t>
      </w:r>
      <w:r>
        <w:rPr>
          <w:spacing w:val="-4"/>
          <w:sz w:val="24"/>
        </w:rPr>
        <w:t> </w:t>
      </w:r>
      <w:r>
        <w:rPr>
          <w:sz w:val="24"/>
        </w:rPr>
        <w:t>cumplimiento</w:t>
      </w:r>
      <w:r>
        <w:rPr>
          <w:spacing w:val="-3"/>
          <w:sz w:val="24"/>
        </w:rPr>
        <w:t> </w:t>
      </w:r>
      <w:r>
        <w:rPr>
          <w:sz w:val="24"/>
        </w:rPr>
        <w:t>de</w:t>
      </w:r>
      <w:r>
        <w:rPr>
          <w:spacing w:val="-2"/>
          <w:sz w:val="24"/>
        </w:rPr>
        <w:t> </w:t>
      </w:r>
      <w:r>
        <w:rPr>
          <w:sz w:val="24"/>
        </w:rPr>
        <w:t>metas</w:t>
      </w:r>
      <w:r>
        <w:rPr>
          <w:spacing w:val="-6"/>
          <w:sz w:val="24"/>
        </w:rPr>
        <w:t> </w:t>
      </w:r>
      <w:r>
        <w:rPr>
          <w:sz w:val="24"/>
        </w:rPr>
        <w:t>de</w:t>
      </w:r>
      <w:r>
        <w:rPr>
          <w:spacing w:val="-2"/>
          <w:sz w:val="24"/>
        </w:rPr>
        <w:t> </w:t>
      </w:r>
      <w:r>
        <w:rPr>
          <w:sz w:val="24"/>
        </w:rPr>
        <w:t>los </w:t>
      </w:r>
      <w:r>
        <w:rPr>
          <w:w w:val="105"/>
          <w:sz w:val="24"/>
        </w:rPr>
        <w:t>indicadores</w:t>
      </w:r>
      <w:r>
        <w:rPr>
          <w:spacing w:val="-15"/>
          <w:w w:val="105"/>
          <w:sz w:val="24"/>
        </w:rPr>
        <w:t> </w:t>
      </w:r>
      <w:r>
        <w:rPr>
          <w:w w:val="105"/>
          <w:sz w:val="24"/>
        </w:rPr>
        <w:t>objetivos</w:t>
      </w:r>
      <w:r>
        <w:rPr>
          <w:spacing w:val="-15"/>
          <w:w w:val="105"/>
          <w:sz w:val="24"/>
        </w:rPr>
        <w:t> </w:t>
      </w:r>
      <w:r>
        <w:rPr>
          <w:w w:val="105"/>
          <w:sz w:val="24"/>
        </w:rPr>
        <w:t>prioritarios</w:t>
      </w:r>
      <w:r>
        <w:rPr>
          <w:spacing w:val="-11"/>
          <w:w w:val="105"/>
          <w:sz w:val="24"/>
        </w:rPr>
        <w:t> </w:t>
      </w:r>
      <w:r>
        <w:rPr>
          <w:w w:val="105"/>
          <w:sz w:val="24"/>
        </w:rPr>
        <w:t>está</w:t>
      </w:r>
      <w:r>
        <w:rPr>
          <w:spacing w:val="-14"/>
          <w:w w:val="105"/>
          <w:sz w:val="24"/>
        </w:rPr>
        <w:t> </w:t>
      </w:r>
      <w:r>
        <w:rPr>
          <w:w w:val="105"/>
          <w:sz w:val="24"/>
        </w:rPr>
        <w:t>relacionado</w:t>
      </w:r>
      <w:r>
        <w:rPr>
          <w:spacing w:val="-11"/>
          <w:w w:val="105"/>
          <w:sz w:val="24"/>
        </w:rPr>
        <w:t> </w:t>
      </w:r>
      <w:r>
        <w:rPr>
          <w:w w:val="105"/>
          <w:sz w:val="24"/>
        </w:rPr>
        <w:t>con</w:t>
      </w:r>
      <w:r>
        <w:rPr>
          <w:spacing w:val="-14"/>
          <w:w w:val="105"/>
          <w:sz w:val="24"/>
        </w:rPr>
        <w:t> </w:t>
      </w:r>
      <w:r>
        <w:rPr>
          <w:w w:val="105"/>
          <w:sz w:val="24"/>
        </w:rPr>
        <w:t>el</w:t>
      </w:r>
      <w:r>
        <w:rPr>
          <w:spacing w:val="-13"/>
          <w:w w:val="105"/>
          <w:sz w:val="24"/>
        </w:rPr>
        <w:t> </w:t>
      </w:r>
      <w:r>
        <w:rPr>
          <w:w w:val="105"/>
          <w:sz w:val="24"/>
        </w:rPr>
        <w:t>nivel</w:t>
      </w:r>
      <w:r>
        <w:rPr>
          <w:spacing w:val="-15"/>
          <w:w w:val="105"/>
          <w:sz w:val="24"/>
        </w:rPr>
        <w:t> </w:t>
      </w:r>
      <w:r>
        <w:rPr>
          <w:w w:val="105"/>
          <w:sz w:val="24"/>
        </w:rPr>
        <w:t>de cumplimiento</w:t>
      </w:r>
      <w:r>
        <w:rPr>
          <w:spacing w:val="-10"/>
          <w:w w:val="105"/>
          <w:sz w:val="24"/>
        </w:rPr>
        <w:t> </w:t>
      </w:r>
      <w:r>
        <w:rPr>
          <w:w w:val="105"/>
          <w:sz w:val="24"/>
        </w:rPr>
        <w:t>de</w:t>
      </w:r>
      <w:r>
        <w:rPr>
          <w:spacing w:val="-11"/>
          <w:w w:val="105"/>
          <w:sz w:val="24"/>
        </w:rPr>
        <w:t> </w:t>
      </w:r>
      <w:r>
        <w:rPr>
          <w:w w:val="105"/>
          <w:sz w:val="24"/>
        </w:rPr>
        <w:t>metas</w:t>
      </w:r>
      <w:r>
        <w:rPr>
          <w:spacing w:val="-10"/>
          <w:w w:val="105"/>
          <w:sz w:val="24"/>
        </w:rPr>
        <w:t> </w:t>
      </w:r>
      <w:r>
        <w:rPr>
          <w:w w:val="105"/>
          <w:sz w:val="24"/>
        </w:rPr>
        <w:t>de</w:t>
      </w:r>
      <w:r>
        <w:rPr>
          <w:spacing w:val="-11"/>
          <w:w w:val="105"/>
          <w:sz w:val="24"/>
        </w:rPr>
        <w:t> </w:t>
      </w:r>
      <w:r>
        <w:rPr>
          <w:w w:val="105"/>
          <w:sz w:val="24"/>
        </w:rPr>
        <w:t>los</w:t>
      </w:r>
      <w:r>
        <w:rPr>
          <w:spacing w:val="-9"/>
          <w:w w:val="105"/>
          <w:sz w:val="24"/>
        </w:rPr>
        <w:t> </w:t>
      </w:r>
      <w:r>
        <w:rPr>
          <w:w w:val="105"/>
          <w:sz w:val="24"/>
        </w:rPr>
        <w:t>indicadores</w:t>
      </w:r>
      <w:r>
        <w:rPr>
          <w:spacing w:val="-10"/>
          <w:w w:val="105"/>
          <w:sz w:val="24"/>
        </w:rPr>
        <w:t> </w:t>
      </w:r>
      <w:r>
        <w:rPr>
          <w:w w:val="105"/>
          <w:sz w:val="24"/>
        </w:rPr>
        <w:t>de</w:t>
      </w:r>
      <w:r>
        <w:rPr>
          <w:spacing w:val="-11"/>
          <w:w w:val="105"/>
          <w:sz w:val="24"/>
        </w:rPr>
        <w:t> </w:t>
      </w:r>
      <w:r>
        <w:rPr>
          <w:w w:val="105"/>
          <w:sz w:val="24"/>
        </w:rPr>
        <w:t>servicio.</w:t>
      </w:r>
    </w:p>
    <w:p>
      <w:pPr>
        <w:pStyle w:val="BodyText"/>
      </w:pPr>
    </w:p>
    <w:p>
      <w:pPr>
        <w:pStyle w:val="BodyText"/>
        <w:spacing w:before="93"/>
      </w:pPr>
    </w:p>
    <w:p>
      <w:pPr>
        <w:pStyle w:val="BodyText"/>
        <w:spacing w:line="307" w:lineRule="auto"/>
        <w:ind w:left="502" w:right="706"/>
        <w:jc w:val="both"/>
      </w:pPr>
      <w:r>
        <w:rPr/>
        <w:t>Se observa que los</w:t>
      </w:r>
      <w:r>
        <w:rPr>
          <w:spacing w:val="-4"/>
        </w:rPr>
        <w:t> </w:t>
      </w:r>
      <w:r>
        <w:rPr/>
        <w:t>indicadores</w:t>
      </w:r>
      <w:r>
        <w:rPr>
          <w:spacing w:val="-3"/>
        </w:rPr>
        <w:t> </w:t>
      </w:r>
      <w:r>
        <w:rPr/>
        <w:t>del OP5</w:t>
      </w:r>
      <w:r>
        <w:rPr>
          <w:spacing w:val="-2"/>
        </w:rPr>
        <w:t> </w:t>
      </w:r>
      <w:r>
        <w:rPr/>
        <w:t>presentan</w:t>
      </w:r>
      <w:r>
        <w:rPr>
          <w:spacing w:val="-2"/>
        </w:rPr>
        <w:t> </w:t>
      </w:r>
      <w:r>
        <w:rPr/>
        <w:t>un</w:t>
      </w:r>
      <w:r>
        <w:rPr>
          <w:spacing w:val="-2"/>
        </w:rPr>
        <w:t> </w:t>
      </w:r>
      <w:r>
        <w:rPr/>
        <w:t>nivel</w:t>
      </w:r>
      <w:r>
        <w:rPr>
          <w:spacing w:val="-3"/>
        </w:rPr>
        <w:t> </w:t>
      </w:r>
      <w:r>
        <w:rPr/>
        <w:t>de</w:t>
      </w:r>
      <w:r>
        <w:rPr>
          <w:spacing w:val="-4"/>
        </w:rPr>
        <w:t> </w:t>
      </w:r>
      <w:r>
        <w:rPr/>
        <w:t>cumplimiento </w:t>
      </w:r>
      <w:r>
        <w:rPr>
          <w:w w:val="105"/>
        </w:rPr>
        <w:t>de</w:t>
      </w:r>
      <w:r>
        <w:rPr>
          <w:spacing w:val="-18"/>
          <w:w w:val="105"/>
        </w:rPr>
        <w:t> </w:t>
      </w:r>
      <w:r>
        <w:rPr>
          <w:w w:val="105"/>
        </w:rPr>
        <w:t>metas</w:t>
      </w:r>
      <w:r>
        <w:rPr>
          <w:spacing w:val="-17"/>
          <w:w w:val="105"/>
        </w:rPr>
        <w:t> </w:t>
      </w:r>
      <w:r>
        <w:rPr>
          <w:w w:val="105"/>
        </w:rPr>
        <w:t>que</w:t>
      </w:r>
      <w:r>
        <w:rPr>
          <w:spacing w:val="-18"/>
          <w:w w:val="105"/>
        </w:rPr>
        <w:t> </w:t>
      </w:r>
      <w:r>
        <w:rPr>
          <w:w w:val="105"/>
        </w:rPr>
        <w:t>parece</w:t>
      </w:r>
      <w:r>
        <w:rPr>
          <w:spacing w:val="-18"/>
          <w:w w:val="105"/>
        </w:rPr>
        <w:t> </w:t>
      </w:r>
      <w:r>
        <w:rPr>
          <w:w w:val="105"/>
        </w:rPr>
        <w:t>estar</w:t>
      </w:r>
      <w:r>
        <w:rPr>
          <w:spacing w:val="-17"/>
          <w:w w:val="105"/>
        </w:rPr>
        <w:t> </w:t>
      </w:r>
      <w:r>
        <w:rPr>
          <w:w w:val="105"/>
        </w:rPr>
        <w:t>vinculado</w:t>
      </w:r>
      <w:r>
        <w:rPr>
          <w:spacing w:val="-18"/>
          <w:w w:val="105"/>
        </w:rPr>
        <w:t> </w:t>
      </w:r>
      <w:r>
        <w:rPr>
          <w:w w:val="105"/>
        </w:rPr>
        <w:t>al</w:t>
      </w:r>
      <w:r>
        <w:rPr>
          <w:spacing w:val="-17"/>
          <w:w w:val="105"/>
        </w:rPr>
        <w:t> </w:t>
      </w:r>
      <w:r>
        <w:rPr>
          <w:w w:val="105"/>
        </w:rPr>
        <w:t>nivel</w:t>
      </w:r>
      <w:r>
        <w:rPr>
          <w:spacing w:val="-18"/>
          <w:w w:val="105"/>
        </w:rPr>
        <w:t> </w:t>
      </w:r>
      <w:r>
        <w:rPr>
          <w:w w:val="105"/>
        </w:rPr>
        <w:t>de</w:t>
      </w:r>
      <w:r>
        <w:rPr>
          <w:spacing w:val="-17"/>
          <w:w w:val="105"/>
        </w:rPr>
        <w:t> </w:t>
      </w:r>
      <w:r>
        <w:rPr>
          <w:w w:val="105"/>
        </w:rPr>
        <w:t>cumplimiento</w:t>
      </w:r>
      <w:r>
        <w:rPr>
          <w:spacing w:val="-18"/>
          <w:w w:val="105"/>
        </w:rPr>
        <w:t> </w:t>
      </w:r>
      <w:r>
        <w:rPr>
          <w:w w:val="105"/>
        </w:rPr>
        <w:t>de</w:t>
      </w:r>
      <w:r>
        <w:rPr>
          <w:spacing w:val="-17"/>
          <w:w w:val="105"/>
        </w:rPr>
        <w:t> </w:t>
      </w:r>
      <w:r>
        <w:rPr>
          <w:w w:val="105"/>
        </w:rPr>
        <w:t>metas</w:t>
      </w:r>
      <w:r>
        <w:rPr>
          <w:spacing w:val="-18"/>
          <w:w w:val="105"/>
        </w:rPr>
        <w:t> </w:t>
      </w:r>
      <w:r>
        <w:rPr>
          <w:w w:val="105"/>
        </w:rPr>
        <w:t>de </w:t>
      </w:r>
      <w:r>
        <w:rPr>
          <w:spacing w:val="-2"/>
          <w:w w:val="105"/>
        </w:rPr>
        <w:t>los</w:t>
      </w:r>
      <w:r>
        <w:rPr>
          <w:spacing w:val="-11"/>
          <w:w w:val="105"/>
        </w:rPr>
        <w:t> </w:t>
      </w:r>
      <w:r>
        <w:rPr>
          <w:spacing w:val="-2"/>
          <w:w w:val="105"/>
        </w:rPr>
        <w:t>indicadores</w:t>
      </w:r>
      <w:r>
        <w:rPr>
          <w:spacing w:val="-11"/>
          <w:w w:val="105"/>
        </w:rPr>
        <w:t> </w:t>
      </w:r>
      <w:r>
        <w:rPr>
          <w:spacing w:val="-2"/>
          <w:w w:val="105"/>
        </w:rPr>
        <w:t>de</w:t>
      </w:r>
      <w:r>
        <w:rPr>
          <w:spacing w:val="-12"/>
          <w:w w:val="105"/>
        </w:rPr>
        <w:t> </w:t>
      </w:r>
      <w:r>
        <w:rPr>
          <w:spacing w:val="-2"/>
          <w:w w:val="105"/>
        </w:rPr>
        <w:t>sus</w:t>
      </w:r>
      <w:r>
        <w:rPr>
          <w:spacing w:val="-13"/>
          <w:w w:val="105"/>
        </w:rPr>
        <w:t> </w:t>
      </w:r>
      <w:r>
        <w:rPr>
          <w:spacing w:val="-2"/>
          <w:w w:val="105"/>
        </w:rPr>
        <w:t>servicios.</w:t>
      </w:r>
      <w:r>
        <w:rPr>
          <w:spacing w:val="-12"/>
          <w:w w:val="105"/>
        </w:rPr>
        <w:t> </w:t>
      </w:r>
      <w:r>
        <w:rPr>
          <w:spacing w:val="-2"/>
          <w:w w:val="105"/>
        </w:rPr>
        <w:t>No</w:t>
      </w:r>
      <w:r>
        <w:rPr>
          <w:spacing w:val="-11"/>
          <w:w w:val="105"/>
        </w:rPr>
        <w:t> </w:t>
      </w:r>
      <w:r>
        <w:rPr>
          <w:spacing w:val="-2"/>
          <w:w w:val="105"/>
        </w:rPr>
        <w:t>obstante,</w:t>
      </w:r>
      <w:r>
        <w:rPr>
          <w:spacing w:val="-11"/>
          <w:w w:val="105"/>
        </w:rPr>
        <w:t> </w:t>
      </w:r>
      <w:r>
        <w:rPr>
          <w:spacing w:val="-2"/>
          <w:w w:val="105"/>
        </w:rPr>
        <w:t>al</w:t>
      </w:r>
      <w:r>
        <w:rPr>
          <w:spacing w:val="-12"/>
          <w:w w:val="105"/>
        </w:rPr>
        <w:t> </w:t>
      </w:r>
      <w:r>
        <w:rPr>
          <w:spacing w:val="-2"/>
          <w:w w:val="105"/>
        </w:rPr>
        <w:t>analizar</w:t>
      </w:r>
      <w:r>
        <w:rPr>
          <w:spacing w:val="-12"/>
          <w:w w:val="105"/>
        </w:rPr>
        <w:t> </w:t>
      </w:r>
      <w:r>
        <w:rPr>
          <w:spacing w:val="-2"/>
          <w:w w:val="105"/>
        </w:rPr>
        <w:t>las</w:t>
      </w:r>
      <w:r>
        <w:rPr>
          <w:spacing w:val="-11"/>
          <w:w w:val="105"/>
        </w:rPr>
        <w:t> </w:t>
      </w:r>
      <w:r>
        <w:rPr>
          <w:spacing w:val="-2"/>
          <w:w w:val="105"/>
        </w:rPr>
        <w:t>tendencias</w:t>
      </w:r>
      <w:r>
        <w:rPr>
          <w:spacing w:val="-11"/>
          <w:w w:val="105"/>
        </w:rPr>
        <w:t> </w:t>
      </w:r>
      <w:r>
        <w:rPr>
          <w:spacing w:val="-2"/>
          <w:w w:val="105"/>
        </w:rPr>
        <w:t>de </w:t>
      </w:r>
      <w:r>
        <w:rPr/>
        <w:t>los objetivos prioritarios restantes (OP1, OP2, OP3 y OP4), no se identifica una relación positiva clara con los niveles de cumplimiento de metas de los </w:t>
      </w:r>
      <w:r>
        <w:rPr>
          <w:w w:val="105"/>
        </w:rPr>
        <w:t>indicadores de servicio.</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502" w:right="706"/>
        <w:jc w:val="both"/>
      </w:pPr>
      <w:r>
        <w:rPr/>
        <w:t>Ante</w:t>
      </w:r>
      <w:r>
        <w:rPr>
          <w:spacing w:val="-11"/>
        </w:rPr>
        <w:t> </w:t>
      </w:r>
      <w:r>
        <w:rPr/>
        <w:t>esta</w:t>
      </w:r>
      <w:r>
        <w:rPr>
          <w:spacing w:val="-11"/>
        </w:rPr>
        <w:t> </w:t>
      </w:r>
      <w:r>
        <w:rPr/>
        <w:t>situación,</w:t>
      </w:r>
      <w:r>
        <w:rPr>
          <w:spacing w:val="-10"/>
        </w:rPr>
        <w:t> </w:t>
      </w:r>
      <w:r>
        <w:rPr/>
        <w:t>no</w:t>
      </w:r>
      <w:r>
        <w:rPr>
          <w:spacing w:val="-14"/>
        </w:rPr>
        <w:t> </w:t>
      </w:r>
      <w:r>
        <w:rPr/>
        <w:t>es</w:t>
      </w:r>
      <w:r>
        <w:rPr>
          <w:spacing w:val="-10"/>
        </w:rPr>
        <w:t> </w:t>
      </w:r>
      <w:r>
        <w:rPr/>
        <w:t>posible</w:t>
      </w:r>
      <w:r>
        <w:rPr>
          <w:spacing w:val="-11"/>
        </w:rPr>
        <w:t> </w:t>
      </w:r>
      <w:r>
        <w:rPr/>
        <w:t>afirmar</w:t>
      </w:r>
      <w:r>
        <w:rPr>
          <w:spacing w:val="-15"/>
        </w:rPr>
        <w:t> </w:t>
      </w:r>
      <w:r>
        <w:rPr/>
        <w:t>la</w:t>
      </w:r>
      <w:r>
        <w:rPr>
          <w:spacing w:val="-11"/>
        </w:rPr>
        <w:t> </w:t>
      </w:r>
      <w:r>
        <w:rPr/>
        <w:t>existencia</w:t>
      </w:r>
      <w:r>
        <w:rPr>
          <w:spacing w:val="-11"/>
        </w:rPr>
        <w:t> </w:t>
      </w:r>
      <w:r>
        <w:rPr/>
        <w:t>de</w:t>
      </w:r>
      <w:r>
        <w:rPr>
          <w:spacing w:val="-14"/>
        </w:rPr>
        <w:t> </w:t>
      </w:r>
      <w:r>
        <w:rPr/>
        <w:t>una</w:t>
      </w:r>
      <w:r>
        <w:rPr>
          <w:spacing w:val="-8"/>
        </w:rPr>
        <w:t> </w:t>
      </w:r>
      <w:r>
        <w:rPr/>
        <w:t>relación</w:t>
      </w:r>
      <w:r>
        <w:rPr>
          <w:spacing w:val="-11"/>
        </w:rPr>
        <w:t> </w:t>
      </w:r>
      <w:r>
        <w:rPr/>
        <w:t>causal entre</w:t>
      </w:r>
      <w:r>
        <w:rPr>
          <w:spacing w:val="-4"/>
        </w:rPr>
        <w:t> </w:t>
      </w:r>
      <w:r>
        <w:rPr/>
        <w:t>el</w:t>
      </w:r>
      <w:r>
        <w:rPr>
          <w:spacing w:val="-6"/>
        </w:rPr>
        <w:t> </w:t>
      </w:r>
      <w:r>
        <w:rPr/>
        <w:t>cumplimiento</w:t>
      </w:r>
      <w:r>
        <w:rPr>
          <w:spacing w:val="-7"/>
        </w:rPr>
        <w:t> </w:t>
      </w:r>
      <w:r>
        <w:rPr/>
        <w:t>de</w:t>
      </w:r>
      <w:r>
        <w:rPr>
          <w:spacing w:val="-5"/>
        </w:rPr>
        <w:t> </w:t>
      </w:r>
      <w:r>
        <w:rPr/>
        <w:t>los</w:t>
      </w:r>
      <w:r>
        <w:rPr>
          <w:spacing w:val="-7"/>
        </w:rPr>
        <w:t> </w:t>
      </w:r>
      <w:r>
        <w:rPr/>
        <w:t>servicios</w:t>
      </w:r>
      <w:r>
        <w:rPr>
          <w:spacing w:val="-4"/>
        </w:rPr>
        <w:t> </w:t>
      </w:r>
      <w:r>
        <w:rPr/>
        <w:t>y</w:t>
      </w:r>
      <w:r>
        <w:rPr>
          <w:spacing w:val="-5"/>
        </w:rPr>
        <w:t> </w:t>
      </w:r>
      <w:r>
        <w:rPr/>
        <w:t>el</w:t>
      </w:r>
      <w:r>
        <w:rPr>
          <w:spacing w:val="-4"/>
        </w:rPr>
        <w:t> </w:t>
      </w:r>
      <w:r>
        <w:rPr/>
        <w:t>logro</w:t>
      </w:r>
      <w:r>
        <w:rPr>
          <w:spacing w:val="-4"/>
        </w:rPr>
        <w:t> </w:t>
      </w:r>
      <w:r>
        <w:rPr/>
        <w:t>de</w:t>
      </w:r>
      <w:r>
        <w:rPr>
          <w:spacing w:val="-7"/>
        </w:rPr>
        <w:t> </w:t>
      </w:r>
      <w:r>
        <w:rPr/>
        <w:t>las</w:t>
      </w:r>
      <w:r>
        <w:rPr>
          <w:spacing w:val="-4"/>
        </w:rPr>
        <w:t> </w:t>
      </w:r>
      <w:r>
        <w:rPr/>
        <w:t>metas</w:t>
      </w:r>
      <w:r>
        <w:rPr>
          <w:spacing w:val="-7"/>
        </w:rPr>
        <w:t> </w:t>
      </w:r>
      <w:r>
        <w:rPr/>
        <w:t>de</w:t>
      </w:r>
      <w:r>
        <w:rPr>
          <w:spacing w:val="-5"/>
        </w:rPr>
        <w:t> </w:t>
      </w:r>
      <w:r>
        <w:rPr/>
        <w:t>los</w:t>
      </w:r>
      <w:r>
        <w:rPr>
          <w:spacing w:val="-7"/>
        </w:rPr>
        <w:t> </w:t>
      </w:r>
      <w:r>
        <w:rPr/>
        <w:t>objetivos </w:t>
      </w:r>
      <w:r>
        <w:rPr>
          <w:w w:val="105"/>
        </w:rPr>
        <w:t>prioritarios.</w:t>
      </w:r>
      <w:r>
        <w:rPr>
          <w:w w:val="105"/>
        </w:rPr>
        <w:t> Por</w:t>
      </w:r>
      <w:r>
        <w:rPr>
          <w:w w:val="105"/>
        </w:rPr>
        <w:t> ello,</w:t>
      </w:r>
      <w:r>
        <w:rPr>
          <w:w w:val="105"/>
        </w:rPr>
        <w:t> resulta</w:t>
      </w:r>
      <w:r>
        <w:rPr>
          <w:w w:val="105"/>
        </w:rPr>
        <w:t> necesario</w:t>
      </w:r>
      <w:r>
        <w:rPr>
          <w:w w:val="105"/>
        </w:rPr>
        <w:t> realizar</w:t>
      </w:r>
      <w:r>
        <w:rPr>
          <w:w w:val="105"/>
        </w:rPr>
        <w:t> una</w:t>
      </w:r>
      <w:r>
        <w:rPr>
          <w:w w:val="105"/>
        </w:rPr>
        <w:t> verificación</w:t>
      </w:r>
      <w:r>
        <w:rPr>
          <w:w w:val="105"/>
        </w:rPr>
        <w:t> más exhaustiva</w:t>
      </w:r>
      <w:r>
        <w:rPr>
          <w:spacing w:val="-10"/>
          <w:w w:val="105"/>
        </w:rPr>
        <w:t> </w:t>
      </w:r>
      <w:r>
        <w:rPr>
          <w:w w:val="105"/>
        </w:rPr>
        <w:t>para</w:t>
      </w:r>
      <w:r>
        <w:rPr>
          <w:spacing w:val="-11"/>
          <w:w w:val="105"/>
        </w:rPr>
        <w:t> </w:t>
      </w:r>
      <w:r>
        <w:rPr>
          <w:w w:val="105"/>
        </w:rPr>
        <w:t>determinar</w:t>
      </w:r>
      <w:r>
        <w:rPr>
          <w:spacing w:val="-9"/>
          <w:w w:val="105"/>
        </w:rPr>
        <w:t> </w:t>
      </w:r>
      <w:r>
        <w:rPr>
          <w:w w:val="105"/>
        </w:rPr>
        <w:t>si</w:t>
      </w:r>
      <w:r>
        <w:rPr>
          <w:spacing w:val="-9"/>
          <w:w w:val="105"/>
        </w:rPr>
        <w:t> </w:t>
      </w:r>
      <w:r>
        <w:rPr>
          <w:w w:val="105"/>
        </w:rPr>
        <w:t>las</w:t>
      </w:r>
      <w:r>
        <w:rPr>
          <w:spacing w:val="-9"/>
          <w:w w:val="105"/>
        </w:rPr>
        <w:t> </w:t>
      </w:r>
      <w:r>
        <w:rPr>
          <w:w w:val="105"/>
        </w:rPr>
        <w:t>actividades</w:t>
      </w:r>
      <w:r>
        <w:rPr>
          <w:spacing w:val="-9"/>
          <w:w w:val="105"/>
        </w:rPr>
        <w:t> </w:t>
      </w:r>
      <w:r>
        <w:rPr>
          <w:w w:val="105"/>
        </w:rPr>
        <w:t>ejecutadas</w:t>
      </w:r>
      <w:r>
        <w:rPr>
          <w:spacing w:val="-11"/>
          <w:w w:val="105"/>
        </w:rPr>
        <w:t> </w:t>
      </w:r>
      <w:r>
        <w:rPr>
          <w:w w:val="105"/>
        </w:rPr>
        <w:t>por</w:t>
      </w:r>
      <w:r>
        <w:rPr>
          <w:spacing w:val="-11"/>
          <w:w w:val="105"/>
        </w:rPr>
        <w:t> </w:t>
      </w:r>
      <w:r>
        <w:rPr>
          <w:w w:val="105"/>
        </w:rPr>
        <w:t>los</w:t>
      </w:r>
      <w:r>
        <w:rPr>
          <w:spacing w:val="-10"/>
          <w:w w:val="105"/>
        </w:rPr>
        <w:t> </w:t>
      </w:r>
      <w:r>
        <w:rPr>
          <w:w w:val="105"/>
        </w:rPr>
        <w:t>servicios impactan directamente en el cumplimiento de las metas de los objetivos prioritarios.</w:t>
      </w:r>
      <w:r>
        <w:rPr>
          <w:w w:val="105"/>
        </w:rPr>
        <w:t> Este</w:t>
      </w:r>
      <w:r>
        <w:rPr>
          <w:w w:val="105"/>
        </w:rPr>
        <w:t> análisis</w:t>
      </w:r>
      <w:r>
        <w:rPr>
          <w:w w:val="105"/>
        </w:rPr>
        <w:t> permitirá</w:t>
      </w:r>
      <w:r>
        <w:rPr>
          <w:w w:val="105"/>
        </w:rPr>
        <w:t> clarificar</w:t>
      </w:r>
      <w:r>
        <w:rPr>
          <w:w w:val="105"/>
        </w:rPr>
        <w:t> si</w:t>
      </w:r>
      <w:r>
        <w:rPr>
          <w:w w:val="105"/>
        </w:rPr>
        <w:t> la</w:t>
      </w:r>
      <w:r>
        <w:rPr>
          <w:w w:val="105"/>
        </w:rPr>
        <w:t> implementación</w:t>
      </w:r>
      <w:r>
        <w:rPr>
          <w:w w:val="105"/>
        </w:rPr>
        <w:t> de</w:t>
      </w:r>
      <w:r>
        <w:rPr>
          <w:w w:val="105"/>
        </w:rPr>
        <w:t> los servicios</w:t>
      </w:r>
      <w:r>
        <w:rPr>
          <w:spacing w:val="-5"/>
          <w:w w:val="105"/>
        </w:rPr>
        <w:t> </w:t>
      </w:r>
      <w:r>
        <w:rPr>
          <w:w w:val="105"/>
        </w:rPr>
        <w:t>está</w:t>
      </w:r>
      <w:r>
        <w:rPr>
          <w:spacing w:val="-7"/>
          <w:w w:val="105"/>
        </w:rPr>
        <w:t> </w:t>
      </w:r>
      <w:r>
        <w:rPr>
          <w:w w:val="105"/>
        </w:rPr>
        <w:t>alineada</w:t>
      </w:r>
      <w:r>
        <w:rPr>
          <w:spacing w:val="-6"/>
          <w:w w:val="105"/>
        </w:rPr>
        <w:t> </w:t>
      </w:r>
      <w:r>
        <w:rPr>
          <w:w w:val="105"/>
        </w:rPr>
        <w:t>con</w:t>
      </w:r>
      <w:r>
        <w:rPr>
          <w:spacing w:val="-7"/>
          <w:w w:val="105"/>
        </w:rPr>
        <w:t> </w:t>
      </w:r>
      <w:r>
        <w:rPr>
          <w:w w:val="105"/>
        </w:rPr>
        <w:t>los</w:t>
      </w:r>
      <w:r>
        <w:rPr>
          <w:spacing w:val="-7"/>
          <w:w w:val="105"/>
        </w:rPr>
        <w:t> </w:t>
      </w:r>
      <w:r>
        <w:rPr>
          <w:w w:val="105"/>
        </w:rPr>
        <w:t>resultados</w:t>
      </w:r>
      <w:r>
        <w:rPr>
          <w:spacing w:val="-4"/>
          <w:w w:val="105"/>
        </w:rPr>
        <w:t> </w:t>
      </w:r>
      <w:r>
        <w:rPr>
          <w:w w:val="105"/>
        </w:rPr>
        <w:t>esperados</w:t>
      </w:r>
      <w:r>
        <w:rPr>
          <w:spacing w:val="-5"/>
          <w:w w:val="105"/>
        </w:rPr>
        <w:t> </w:t>
      </w:r>
      <w:r>
        <w:rPr>
          <w:w w:val="105"/>
        </w:rPr>
        <w:t>y,</w:t>
      </w:r>
      <w:r>
        <w:rPr>
          <w:spacing w:val="-5"/>
          <w:w w:val="105"/>
        </w:rPr>
        <w:t> </w:t>
      </w:r>
      <w:r>
        <w:rPr>
          <w:w w:val="105"/>
        </w:rPr>
        <w:t>de</w:t>
      </w:r>
      <w:r>
        <w:rPr>
          <w:spacing w:val="-6"/>
          <w:w w:val="105"/>
        </w:rPr>
        <w:t> </w:t>
      </w:r>
      <w:r>
        <w:rPr>
          <w:w w:val="105"/>
        </w:rPr>
        <w:t>ser</w:t>
      </w:r>
      <w:r>
        <w:rPr>
          <w:spacing w:val="-7"/>
          <w:w w:val="105"/>
        </w:rPr>
        <w:t> </w:t>
      </w:r>
      <w:r>
        <w:rPr>
          <w:w w:val="105"/>
        </w:rPr>
        <w:t>necesario, establecer</w:t>
      </w:r>
      <w:r>
        <w:rPr>
          <w:spacing w:val="-14"/>
          <w:w w:val="105"/>
        </w:rPr>
        <w:t> </w:t>
      </w:r>
      <w:r>
        <w:rPr>
          <w:w w:val="105"/>
        </w:rPr>
        <w:t>ajustes</w:t>
      </w:r>
      <w:r>
        <w:rPr>
          <w:spacing w:val="-13"/>
          <w:w w:val="105"/>
        </w:rPr>
        <w:t> </w:t>
      </w:r>
      <w:r>
        <w:rPr>
          <w:w w:val="105"/>
        </w:rPr>
        <w:t>para</w:t>
      </w:r>
      <w:r>
        <w:rPr>
          <w:spacing w:val="-14"/>
          <w:w w:val="105"/>
        </w:rPr>
        <w:t> </w:t>
      </w:r>
      <w:r>
        <w:rPr>
          <w:w w:val="105"/>
        </w:rPr>
        <w:t>mejorar</w:t>
      </w:r>
      <w:r>
        <w:rPr>
          <w:spacing w:val="-14"/>
          <w:w w:val="105"/>
        </w:rPr>
        <w:t> </w:t>
      </w:r>
      <w:r>
        <w:rPr>
          <w:w w:val="105"/>
        </w:rPr>
        <w:t>dicha</w:t>
      </w:r>
      <w:r>
        <w:rPr>
          <w:spacing w:val="-16"/>
          <w:w w:val="105"/>
        </w:rPr>
        <w:t> </w:t>
      </w:r>
      <w:r>
        <w:rPr>
          <w:w w:val="105"/>
        </w:rPr>
        <w:t>conexión.</w:t>
      </w:r>
    </w:p>
    <w:p>
      <w:pPr>
        <w:pStyle w:val="BodyText"/>
        <w:spacing w:line="307" w:lineRule="auto" w:before="155"/>
        <w:ind w:left="502" w:right="709"/>
        <w:jc w:val="both"/>
      </w:pPr>
      <w:r>
        <w:rPr/>
        <w:t>Además, es importante señalar que no todos los servicios contaban con indicadores disponibles para su evaluación, debido a la falta de protocolos definidos o a limitaciones en los mecanismos de medición. Esta situación representa una barrera para realizar un análisis completo e integral del cumplimiento de metas.</w:t>
      </w:r>
    </w:p>
    <w:p>
      <w:pPr>
        <w:pStyle w:val="BodyText"/>
        <w:spacing w:line="307" w:lineRule="auto" w:before="157"/>
        <w:ind w:left="143" w:right="707"/>
        <w:jc w:val="both"/>
      </w:pPr>
      <w:r>
        <w:rPr/>
        <w:t>En este contexto, se enfatiza la necesidad de formular indicadores viables y consistentes que permitan evaluar el desempeño de los servicios de manera efectiva. Contar con indicadores claros, medibles y alineados con los objetivos es fundamental para garantizar un seguimiento adecuado y comprender el aporte real de los servicios al cumplimiento de los objetivos prioritarios.</w:t>
      </w:r>
    </w:p>
    <w:p>
      <w:pPr>
        <w:pStyle w:val="BodyText"/>
      </w:pPr>
    </w:p>
    <w:p>
      <w:pPr>
        <w:pStyle w:val="BodyText"/>
        <w:spacing w:before="208"/>
      </w:pPr>
    </w:p>
    <w:p>
      <w:pPr>
        <w:pStyle w:val="Heading1"/>
        <w:numPr>
          <w:ilvl w:val="0"/>
          <w:numId w:val="3"/>
        </w:numPr>
        <w:tabs>
          <w:tab w:pos="568" w:val="left" w:leader="none"/>
          <w:tab w:pos="570" w:val="left" w:leader="none"/>
        </w:tabs>
        <w:spacing w:line="309" w:lineRule="auto" w:before="0" w:after="0"/>
        <w:ind w:left="570" w:right="1415" w:hanging="428"/>
        <w:jc w:val="left"/>
      </w:pPr>
      <w:bookmarkStart w:name="_bookmark21" w:id="22"/>
      <w:bookmarkEnd w:id="22"/>
      <w:r>
        <w:rPr/>
      </w:r>
      <w:r>
        <w:rPr>
          <w:color w:val="2E5395"/>
        </w:rPr>
        <w:t>Información complementaria sobre los servicios sin </w:t>
      </w:r>
      <w:r>
        <w:rPr>
          <w:color w:val="2E5395"/>
          <w:spacing w:val="-2"/>
        </w:rPr>
        <w:t>protocolo.</w:t>
      </w:r>
    </w:p>
    <w:p>
      <w:pPr>
        <w:pStyle w:val="BodyText"/>
        <w:spacing w:line="307" w:lineRule="auto" w:before="223"/>
        <w:ind w:left="143" w:right="709"/>
        <w:jc w:val="both"/>
      </w:pPr>
      <w:r>
        <w:rPr/>
        <w:t>Mediante Resolución Ministerial N°116-221- MIMP, del 21 de abril del 2021, se aprueban los “Lineamientos para la elaboración de los protocolos o normas equivalentes de implementación de los servicios de la Política Nacional de </w:t>
      </w:r>
      <w:r>
        <w:rPr>
          <w:spacing w:val="-2"/>
        </w:rPr>
        <w:t>Igualdad</w:t>
      </w:r>
      <w:r>
        <w:rPr>
          <w:spacing w:val="-8"/>
        </w:rPr>
        <w:t> </w:t>
      </w:r>
      <w:r>
        <w:rPr>
          <w:spacing w:val="-2"/>
        </w:rPr>
        <w:t>de</w:t>
      </w:r>
      <w:r>
        <w:rPr>
          <w:spacing w:val="-9"/>
        </w:rPr>
        <w:t> </w:t>
      </w:r>
      <w:r>
        <w:rPr>
          <w:spacing w:val="-2"/>
        </w:rPr>
        <w:t>Género</w:t>
      </w:r>
      <w:r>
        <w:rPr>
          <w:spacing w:val="-7"/>
        </w:rPr>
        <w:t> </w:t>
      </w:r>
      <w:r>
        <w:rPr>
          <w:spacing w:val="-2"/>
        </w:rPr>
        <w:t>–</w:t>
      </w:r>
      <w:r>
        <w:rPr>
          <w:spacing w:val="-11"/>
        </w:rPr>
        <w:t> </w:t>
      </w:r>
      <w:r>
        <w:rPr>
          <w:spacing w:val="-2"/>
        </w:rPr>
        <w:t>PNIG”,</w:t>
      </w:r>
      <w:r>
        <w:rPr>
          <w:spacing w:val="-8"/>
        </w:rPr>
        <w:t> </w:t>
      </w:r>
      <w:r>
        <w:rPr>
          <w:spacing w:val="-2"/>
        </w:rPr>
        <w:t>los</w:t>
      </w:r>
      <w:r>
        <w:rPr>
          <w:spacing w:val="-8"/>
        </w:rPr>
        <w:t> </w:t>
      </w:r>
      <w:r>
        <w:rPr>
          <w:spacing w:val="-2"/>
        </w:rPr>
        <w:t>cuales</w:t>
      </w:r>
      <w:r>
        <w:rPr>
          <w:spacing w:val="-11"/>
        </w:rPr>
        <w:t> </w:t>
      </w:r>
      <w:r>
        <w:rPr>
          <w:spacing w:val="-2"/>
        </w:rPr>
        <w:t>tienen</w:t>
      </w:r>
      <w:r>
        <w:rPr>
          <w:spacing w:val="-9"/>
        </w:rPr>
        <w:t> </w:t>
      </w:r>
      <w:r>
        <w:rPr>
          <w:spacing w:val="-2"/>
        </w:rPr>
        <w:t>por</w:t>
      </w:r>
      <w:r>
        <w:rPr>
          <w:spacing w:val="-9"/>
        </w:rPr>
        <w:t> </w:t>
      </w:r>
      <w:r>
        <w:rPr>
          <w:spacing w:val="-2"/>
        </w:rPr>
        <w:t>objetivo</w:t>
      </w:r>
      <w:r>
        <w:rPr>
          <w:spacing w:val="-8"/>
        </w:rPr>
        <w:t> </w:t>
      </w:r>
      <w:r>
        <w:rPr>
          <w:spacing w:val="-2"/>
        </w:rPr>
        <w:t>"establecer</w:t>
      </w:r>
      <w:r>
        <w:rPr>
          <w:spacing w:val="-9"/>
        </w:rPr>
        <w:t> </w:t>
      </w:r>
      <w:r>
        <w:rPr>
          <w:spacing w:val="-2"/>
        </w:rPr>
        <w:t>las</w:t>
      </w:r>
      <w:r>
        <w:rPr>
          <w:spacing w:val="-8"/>
        </w:rPr>
        <w:t> </w:t>
      </w:r>
      <w:r>
        <w:rPr>
          <w:spacing w:val="-2"/>
        </w:rPr>
        <w:t>pautas </w:t>
      </w:r>
      <w:r>
        <w:rPr/>
        <w:t>para la elaboración o adecuación</w:t>
      </w:r>
      <w:r>
        <w:rPr>
          <w:spacing w:val="-1"/>
        </w:rPr>
        <w:t> </w:t>
      </w:r>
      <w:r>
        <w:rPr/>
        <w:t>de</w:t>
      </w:r>
      <w:r>
        <w:rPr>
          <w:spacing w:val="-1"/>
        </w:rPr>
        <w:t> </w:t>
      </w:r>
      <w:r>
        <w:rPr/>
        <w:t>los protocolos o normas equivalentes para la</w:t>
      </w:r>
      <w:r>
        <w:rPr>
          <w:spacing w:val="-9"/>
        </w:rPr>
        <w:t> </w:t>
      </w:r>
      <w:r>
        <w:rPr/>
        <w:t>implementación</w:t>
      </w:r>
      <w:r>
        <w:rPr>
          <w:spacing w:val="-11"/>
        </w:rPr>
        <w:t> </w:t>
      </w:r>
      <w:r>
        <w:rPr/>
        <w:t>de</w:t>
      </w:r>
      <w:r>
        <w:rPr>
          <w:spacing w:val="-9"/>
        </w:rPr>
        <w:t> </w:t>
      </w:r>
      <w:r>
        <w:rPr/>
        <w:t>los</w:t>
      </w:r>
      <w:r>
        <w:rPr>
          <w:spacing w:val="-8"/>
        </w:rPr>
        <w:t> </w:t>
      </w:r>
      <w:r>
        <w:rPr/>
        <w:t>servicios</w:t>
      </w:r>
      <w:r>
        <w:rPr>
          <w:spacing w:val="-8"/>
        </w:rPr>
        <w:t> </w:t>
      </w:r>
      <w:r>
        <w:rPr/>
        <w:t>de</w:t>
      </w:r>
      <w:r>
        <w:rPr>
          <w:spacing w:val="-10"/>
        </w:rPr>
        <w:t> </w:t>
      </w:r>
      <w:r>
        <w:rPr/>
        <w:t>la</w:t>
      </w:r>
      <w:r>
        <w:rPr>
          <w:spacing w:val="-9"/>
        </w:rPr>
        <w:t> </w:t>
      </w:r>
      <w:r>
        <w:rPr/>
        <w:t>PNIG,</w:t>
      </w:r>
      <w:r>
        <w:rPr>
          <w:spacing w:val="-8"/>
        </w:rPr>
        <w:t> </w:t>
      </w:r>
      <w:r>
        <w:rPr/>
        <w:t>a</w:t>
      </w:r>
      <w:r>
        <w:rPr>
          <w:spacing w:val="-9"/>
        </w:rPr>
        <w:t> </w:t>
      </w:r>
      <w:r>
        <w:rPr/>
        <w:t>cargo</w:t>
      </w:r>
      <w:r>
        <w:rPr>
          <w:spacing w:val="-10"/>
        </w:rPr>
        <w:t> </w:t>
      </w:r>
      <w:r>
        <w:rPr/>
        <w:t>de</w:t>
      </w:r>
      <w:r>
        <w:rPr>
          <w:spacing w:val="-10"/>
        </w:rPr>
        <w:t> </w:t>
      </w:r>
      <w:r>
        <w:rPr/>
        <w:t>las</w:t>
      </w:r>
      <w:r>
        <w:rPr>
          <w:spacing w:val="-8"/>
        </w:rPr>
        <w:t> </w:t>
      </w:r>
      <w:r>
        <w:rPr/>
        <w:t>entidades</w:t>
      </w:r>
      <w:r>
        <w:rPr>
          <w:spacing w:val="-10"/>
        </w:rPr>
        <w:t> </w:t>
      </w:r>
      <w:r>
        <w:rPr/>
        <w:t>públicas con responsabilidad en su provisión, de manera adecuada y oportuna”.</w:t>
      </w:r>
    </w:p>
    <w:p>
      <w:pPr>
        <w:pStyle w:val="BodyText"/>
        <w:spacing w:before="74"/>
      </w:pPr>
    </w:p>
    <w:p>
      <w:pPr>
        <w:pStyle w:val="BodyText"/>
        <w:ind w:left="143"/>
        <w:jc w:val="both"/>
      </w:pPr>
      <w:r>
        <w:rPr/>
        <w:t>En</w:t>
      </w:r>
      <w:r>
        <w:rPr>
          <w:spacing w:val="1"/>
        </w:rPr>
        <w:t> </w:t>
      </w:r>
      <w:r>
        <w:rPr/>
        <w:t>estos</w:t>
      </w:r>
      <w:r>
        <w:rPr>
          <w:spacing w:val="3"/>
        </w:rPr>
        <w:t> </w:t>
      </w:r>
      <w:r>
        <w:rPr/>
        <w:t>lineamientos</w:t>
      </w:r>
      <w:r>
        <w:rPr>
          <w:spacing w:val="1"/>
        </w:rPr>
        <w:t> </w:t>
      </w:r>
      <w:r>
        <w:rPr/>
        <w:t>se</w:t>
      </w:r>
      <w:r>
        <w:rPr>
          <w:spacing w:val="1"/>
        </w:rPr>
        <w:t> </w:t>
      </w:r>
      <w:r>
        <w:rPr/>
        <w:t>establece que</w:t>
      </w:r>
      <w:r>
        <w:rPr>
          <w:spacing w:val="1"/>
        </w:rPr>
        <w:t> </w:t>
      </w:r>
      <w:r>
        <w:rPr/>
        <w:t>el</w:t>
      </w:r>
      <w:r>
        <w:rPr>
          <w:spacing w:val="1"/>
        </w:rPr>
        <w:t> </w:t>
      </w:r>
      <w:r>
        <w:rPr/>
        <w:t>protocolo</w:t>
      </w:r>
      <w:r>
        <w:rPr>
          <w:spacing w:val="3"/>
        </w:rPr>
        <w:t> </w:t>
      </w:r>
      <w:r>
        <w:rPr/>
        <w:t>de</w:t>
      </w:r>
      <w:r>
        <w:rPr>
          <w:spacing w:val="2"/>
        </w:rPr>
        <w:t> </w:t>
      </w:r>
      <w:r>
        <w:rPr/>
        <w:t>un</w:t>
      </w:r>
      <w:r>
        <w:rPr>
          <w:spacing w:val="1"/>
        </w:rPr>
        <w:t> </w:t>
      </w:r>
      <w:r>
        <w:rPr>
          <w:spacing w:val="-2"/>
        </w:rPr>
        <w:t>servicio:</w:t>
      </w:r>
    </w:p>
    <w:p>
      <w:pPr>
        <w:pStyle w:val="ListParagraph"/>
        <w:numPr>
          <w:ilvl w:val="0"/>
          <w:numId w:val="18"/>
        </w:numPr>
        <w:tabs>
          <w:tab w:pos="862" w:val="left" w:leader="none"/>
        </w:tabs>
        <w:spacing w:line="300" w:lineRule="auto" w:before="219" w:after="0"/>
        <w:ind w:left="862" w:right="713" w:hanging="360"/>
        <w:jc w:val="both"/>
        <w:rPr>
          <w:sz w:val="24"/>
        </w:rPr>
      </w:pPr>
      <w:r>
        <w:rPr>
          <w:sz w:val="24"/>
        </w:rPr>
        <w:t>Opera como un instrumento que facilita la articulación con el marco estratégico y operativo de las entidades, permitiendo lo siguiente:</w:t>
      </w:r>
    </w:p>
    <w:p>
      <w:pPr>
        <w:pStyle w:val="ListParagraph"/>
        <w:numPr>
          <w:ilvl w:val="1"/>
          <w:numId w:val="18"/>
        </w:numPr>
        <w:tabs>
          <w:tab w:pos="1582" w:val="left" w:leader="none"/>
        </w:tabs>
        <w:spacing w:line="295" w:lineRule="auto" w:before="10" w:after="0"/>
        <w:ind w:left="1582" w:right="712" w:hanging="360"/>
        <w:jc w:val="both"/>
        <w:rPr>
          <w:sz w:val="24"/>
        </w:rPr>
      </w:pPr>
      <w:r>
        <w:rPr>
          <w:sz w:val="24"/>
        </w:rPr>
        <w:t>Identificar</w:t>
      </w:r>
      <w:r>
        <w:rPr>
          <w:spacing w:val="-1"/>
          <w:sz w:val="24"/>
        </w:rPr>
        <w:t> </w:t>
      </w:r>
      <w:r>
        <w:rPr>
          <w:sz w:val="24"/>
        </w:rPr>
        <w:t>las entidades participantes en</w:t>
      </w:r>
      <w:r>
        <w:rPr>
          <w:spacing w:val="-1"/>
          <w:sz w:val="24"/>
        </w:rPr>
        <w:t> </w:t>
      </w:r>
      <w:r>
        <w:rPr>
          <w:sz w:val="24"/>
        </w:rPr>
        <w:t>la provisión</w:t>
      </w:r>
      <w:r>
        <w:rPr>
          <w:spacing w:val="-2"/>
          <w:sz w:val="24"/>
        </w:rPr>
        <w:t> </w:t>
      </w:r>
      <w:r>
        <w:rPr>
          <w:sz w:val="24"/>
        </w:rPr>
        <w:t>del</w:t>
      </w:r>
      <w:r>
        <w:rPr>
          <w:spacing w:val="-1"/>
          <w:sz w:val="24"/>
        </w:rPr>
        <w:t> </w:t>
      </w:r>
      <w:r>
        <w:rPr>
          <w:sz w:val="24"/>
        </w:rPr>
        <w:t>servicio y aquellas que incorporan las actividades correspondientes del servicio en su POI.</w:t>
      </w:r>
    </w:p>
    <w:p>
      <w:pPr>
        <w:pStyle w:val="ListParagraph"/>
        <w:spacing w:after="0" w:line="295" w:lineRule="auto"/>
        <w:jc w:val="both"/>
        <w:rPr>
          <w:sz w:val="24"/>
        </w:rPr>
        <w:sectPr>
          <w:pgSz w:w="11910" w:h="16840"/>
          <w:pgMar w:header="713" w:footer="1000" w:top="1420" w:bottom="1200" w:left="1559" w:right="992"/>
        </w:sectPr>
      </w:pPr>
    </w:p>
    <w:p>
      <w:pPr>
        <w:pStyle w:val="ListParagraph"/>
        <w:numPr>
          <w:ilvl w:val="1"/>
          <w:numId w:val="18"/>
        </w:numPr>
        <w:tabs>
          <w:tab w:pos="1582" w:val="left" w:leader="none"/>
        </w:tabs>
        <w:spacing w:line="283" w:lineRule="auto" w:before="123" w:after="0"/>
        <w:ind w:left="1582" w:right="713" w:hanging="360"/>
        <w:jc w:val="both"/>
        <w:rPr>
          <w:sz w:val="24"/>
        </w:rPr>
      </w:pPr>
      <w:r>
        <w:rPr>
          <w:sz w:val="24"/>
        </w:rPr>
        <w:t>Identificar e incorporar en el POI las actividades operativas necesarias para la producción y entrega de estos servicios.</w:t>
      </w:r>
    </w:p>
    <w:p>
      <w:pPr>
        <w:pStyle w:val="ListParagraph"/>
        <w:numPr>
          <w:ilvl w:val="0"/>
          <w:numId w:val="18"/>
        </w:numPr>
        <w:tabs>
          <w:tab w:pos="862" w:val="left" w:leader="none"/>
        </w:tabs>
        <w:spacing w:line="304" w:lineRule="auto" w:before="15" w:after="0"/>
        <w:ind w:left="862" w:right="712" w:hanging="360"/>
        <w:jc w:val="both"/>
        <w:rPr>
          <w:sz w:val="24"/>
        </w:rPr>
      </w:pPr>
      <w:r>
        <w:rPr>
          <w:sz w:val="24"/>
        </w:rPr>
        <w:t>Permite</w:t>
      </w:r>
      <w:r>
        <w:rPr>
          <w:spacing w:val="-1"/>
          <w:sz w:val="24"/>
        </w:rPr>
        <w:t> </w:t>
      </w:r>
      <w:r>
        <w:rPr>
          <w:sz w:val="24"/>
        </w:rPr>
        <w:t>evidenciar</w:t>
      </w:r>
      <w:r>
        <w:rPr>
          <w:spacing w:val="-1"/>
          <w:sz w:val="24"/>
        </w:rPr>
        <w:t> </w:t>
      </w:r>
      <w:r>
        <w:rPr>
          <w:sz w:val="24"/>
        </w:rPr>
        <w:t>cómo,</w:t>
      </w:r>
      <w:r>
        <w:rPr>
          <w:spacing w:val="-1"/>
          <w:sz w:val="24"/>
        </w:rPr>
        <w:t> </w:t>
      </w:r>
      <w:r>
        <w:rPr>
          <w:sz w:val="24"/>
        </w:rPr>
        <w:t>desde</w:t>
      </w:r>
      <w:r>
        <w:rPr>
          <w:spacing w:val="-1"/>
          <w:sz w:val="24"/>
        </w:rPr>
        <w:t> </w:t>
      </w:r>
      <w:r>
        <w:rPr>
          <w:sz w:val="24"/>
        </w:rPr>
        <w:t>la</w:t>
      </w:r>
      <w:r>
        <w:rPr>
          <w:spacing w:val="-2"/>
          <w:sz w:val="24"/>
        </w:rPr>
        <w:t> </w:t>
      </w:r>
      <w:r>
        <w:rPr>
          <w:sz w:val="24"/>
        </w:rPr>
        <w:t>provisión</w:t>
      </w:r>
      <w:r>
        <w:rPr>
          <w:spacing w:val="-4"/>
          <w:sz w:val="24"/>
        </w:rPr>
        <w:t> </w:t>
      </w:r>
      <w:r>
        <w:rPr>
          <w:sz w:val="24"/>
        </w:rPr>
        <w:t>de</w:t>
      </w:r>
      <w:r>
        <w:rPr>
          <w:spacing w:val="-1"/>
          <w:sz w:val="24"/>
        </w:rPr>
        <w:t> </w:t>
      </w:r>
      <w:r>
        <w:rPr>
          <w:sz w:val="24"/>
        </w:rPr>
        <w:t>los</w:t>
      </w:r>
      <w:r>
        <w:rPr>
          <w:spacing w:val="-1"/>
          <w:sz w:val="24"/>
        </w:rPr>
        <w:t> </w:t>
      </w:r>
      <w:r>
        <w:rPr>
          <w:sz w:val="24"/>
        </w:rPr>
        <w:t>servicios,</w:t>
      </w:r>
      <w:r>
        <w:rPr>
          <w:spacing w:val="-1"/>
          <w:sz w:val="24"/>
        </w:rPr>
        <w:t> </w:t>
      </w:r>
      <w:r>
        <w:rPr>
          <w:sz w:val="24"/>
        </w:rPr>
        <w:t>se</w:t>
      </w:r>
      <w:r>
        <w:rPr>
          <w:spacing w:val="-1"/>
          <w:sz w:val="24"/>
        </w:rPr>
        <w:t> </w:t>
      </w:r>
      <w:r>
        <w:rPr>
          <w:sz w:val="24"/>
        </w:rPr>
        <w:t>generan cambios que aportan a la solución del problema público de la PNIG (discriminación estructural contra las mujeres), incorporando en su desarrollo los enfoques de género e interseccionalidad.</w:t>
      </w:r>
    </w:p>
    <w:p>
      <w:pPr>
        <w:pStyle w:val="ListParagraph"/>
        <w:numPr>
          <w:ilvl w:val="0"/>
          <w:numId w:val="18"/>
        </w:numPr>
        <w:tabs>
          <w:tab w:pos="862" w:val="left" w:leader="none"/>
        </w:tabs>
        <w:spacing w:line="304" w:lineRule="auto" w:before="0" w:after="0"/>
        <w:ind w:left="862" w:right="707" w:hanging="360"/>
        <w:jc w:val="both"/>
        <w:rPr>
          <w:sz w:val="24"/>
        </w:rPr>
      </w:pPr>
      <w:r>
        <w:rPr>
          <w:sz w:val="24"/>
        </w:rPr>
        <w:t>Deben contener la sucesión de pasos necesarios para la producción y entrega de un servicio a su usuario/a final, describiendo los roles e interacciones entre los actores que participan en la entrega del servicio con los atributos (estándares) previstos en la PNIG.</w:t>
      </w:r>
    </w:p>
    <w:p>
      <w:pPr>
        <w:pStyle w:val="BodyText"/>
        <w:spacing w:line="326" w:lineRule="auto" w:before="152"/>
        <w:ind w:left="143" w:right="703"/>
        <w:jc w:val="both"/>
      </w:pPr>
      <w:r>
        <w:rPr/>
        <w:t>Para la elaboración de estos protocolos, se estableció una estrategia en el PEMIG</w:t>
      </w:r>
      <w:r>
        <w:rPr>
          <w:spacing w:val="-14"/>
        </w:rPr>
        <w:t> </w:t>
      </w:r>
      <w:r>
        <w:rPr/>
        <w:t>que</w:t>
      </w:r>
      <w:r>
        <w:rPr>
          <w:spacing w:val="-13"/>
        </w:rPr>
        <w:t> </w:t>
      </w:r>
      <w:r>
        <w:rPr/>
        <w:t>incluye</w:t>
      </w:r>
      <w:r>
        <w:rPr>
          <w:spacing w:val="-15"/>
        </w:rPr>
        <w:t> </w:t>
      </w:r>
      <w:r>
        <w:rPr/>
        <w:t>una</w:t>
      </w:r>
      <w:r>
        <w:rPr>
          <w:spacing w:val="-15"/>
        </w:rPr>
        <w:t> </w:t>
      </w:r>
      <w:r>
        <w:rPr/>
        <w:t>etapa</w:t>
      </w:r>
      <w:r>
        <w:rPr>
          <w:spacing w:val="-13"/>
        </w:rPr>
        <w:t> </w:t>
      </w:r>
      <w:r>
        <w:rPr/>
        <w:t>de</w:t>
      </w:r>
      <w:r>
        <w:rPr>
          <w:spacing w:val="-13"/>
        </w:rPr>
        <w:t> </w:t>
      </w:r>
      <w:r>
        <w:rPr/>
        <w:t>priorización</w:t>
      </w:r>
      <w:r>
        <w:rPr>
          <w:spacing w:val="-15"/>
        </w:rPr>
        <w:t> </w:t>
      </w:r>
      <w:r>
        <w:rPr/>
        <w:t>de</w:t>
      </w:r>
      <w:r>
        <w:rPr>
          <w:spacing w:val="-13"/>
        </w:rPr>
        <w:t> </w:t>
      </w:r>
      <w:r>
        <w:rPr/>
        <w:t>SS</w:t>
      </w:r>
      <w:r>
        <w:rPr>
          <w:spacing w:val="-12"/>
        </w:rPr>
        <w:t> </w:t>
      </w:r>
      <w:r>
        <w:rPr/>
        <w:t>y</w:t>
      </w:r>
      <w:r>
        <w:rPr>
          <w:spacing w:val="-15"/>
        </w:rPr>
        <w:t> </w:t>
      </w:r>
      <w:r>
        <w:rPr/>
        <w:t>busca</w:t>
      </w:r>
      <w:r>
        <w:rPr>
          <w:spacing w:val="-15"/>
        </w:rPr>
        <w:t> </w:t>
      </w:r>
      <w:r>
        <w:rPr/>
        <w:t>optimizar</w:t>
      </w:r>
      <w:r>
        <w:rPr>
          <w:spacing w:val="-13"/>
        </w:rPr>
        <w:t> </w:t>
      </w:r>
      <w:r>
        <w:rPr/>
        <w:t>el</w:t>
      </w:r>
      <w:r>
        <w:rPr>
          <w:spacing w:val="-14"/>
        </w:rPr>
        <w:t> </w:t>
      </w:r>
      <w:r>
        <w:rPr/>
        <w:t>proceso de implementación de dichos SS. Como parte de esta estrategia, se desarrolló un "cronograma de implementación de actividades según actividades estratégicas</w:t>
      </w:r>
      <w:r>
        <w:rPr>
          <w:spacing w:val="-8"/>
        </w:rPr>
        <w:t> </w:t>
      </w:r>
      <w:r>
        <w:rPr/>
        <w:t>multisectoriales"</w:t>
      </w:r>
      <w:r>
        <w:rPr>
          <w:spacing w:val="-9"/>
        </w:rPr>
        <w:t> </w:t>
      </w:r>
      <w:r>
        <w:rPr/>
        <w:t>del</w:t>
      </w:r>
      <w:r>
        <w:rPr>
          <w:spacing w:val="-10"/>
        </w:rPr>
        <w:t> </w:t>
      </w:r>
      <w:r>
        <w:rPr/>
        <w:t>PEMIG.</w:t>
      </w:r>
      <w:r>
        <w:rPr>
          <w:spacing w:val="-9"/>
        </w:rPr>
        <w:t> </w:t>
      </w:r>
      <w:r>
        <w:rPr/>
        <w:t>Entre</w:t>
      </w:r>
      <w:r>
        <w:rPr>
          <w:spacing w:val="-9"/>
        </w:rPr>
        <w:t> </w:t>
      </w:r>
      <w:r>
        <w:rPr/>
        <w:t>las</w:t>
      </w:r>
      <w:r>
        <w:rPr>
          <w:spacing w:val="-10"/>
        </w:rPr>
        <w:t> </w:t>
      </w:r>
      <w:r>
        <w:rPr/>
        <w:t>actividades</w:t>
      </w:r>
      <w:r>
        <w:rPr>
          <w:spacing w:val="-9"/>
        </w:rPr>
        <w:t> </w:t>
      </w:r>
      <w:r>
        <w:rPr/>
        <w:t>programadas,</w:t>
      </w:r>
      <w:r>
        <w:rPr>
          <w:spacing w:val="-9"/>
        </w:rPr>
        <w:t> </w:t>
      </w:r>
      <w:r>
        <w:rPr/>
        <w:t>se encontraba la "elaboración y/o adecuación de los protocolos para los servicios de</w:t>
      </w:r>
      <w:r>
        <w:rPr>
          <w:spacing w:val="-3"/>
        </w:rPr>
        <w:t> </w:t>
      </w:r>
      <w:r>
        <w:rPr/>
        <w:t>la</w:t>
      </w:r>
      <w:r>
        <w:rPr>
          <w:spacing w:val="-5"/>
        </w:rPr>
        <w:t> </w:t>
      </w:r>
      <w:r>
        <w:rPr/>
        <w:t>PNIG",</w:t>
      </w:r>
      <w:r>
        <w:rPr>
          <w:spacing w:val="-3"/>
        </w:rPr>
        <w:t> </w:t>
      </w:r>
      <w:r>
        <w:rPr/>
        <w:t>la</w:t>
      </w:r>
      <w:r>
        <w:rPr>
          <w:spacing w:val="-3"/>
        </w:rPr>
        <w:t> </w:t>
      </w:r>
      <w:r>
        <w:rPr/>
        <w:t>cual</w:t>
      </w:r>
      <w:r>
        <w:rPr>
          <w:spacing w:val="-2"/>
        </w:rPr>
        <w:t> </w:t>
      </w:r>
      <w:r>
        <w:rPr/>
        <w:t>sería</w:t>
      </w:r>
      <w:r>
        <w:rPr>
          <w:spacing w:val="-3"/>
        </w:rPr>
        <w:t> </w:t>
      </w:r>
      <w:r>
        <w:rPr/>
        <w:t>implementada</w:t>
      </w:r>
      <w:r>
        <w:rPr>
          <w:spacing w:val="-5"/>
        </w:rPr>
        <w:t> </w:t>
      </w:r>
      <w:r>
        <w:rPr/>
        <w:t>de</w:t>
      </w:r>
      <w:r>
        <w:rPr>
          <w:spacing w:val="-3"/>
        </w:rPr>
        <w:t> </w:t>
      </w:r>
      <w:r>
        <w:rPr/>
        <w:t>manera</w:t>
      </w:r>
      <w:r>
        <w:rPr>
          <w:spacing w:val="-3"/>
        </w:rPr>
        <w:t> </w:t>
      </w:r>
      <w:r>
        <w:rPr/>
        <w:t>progresiva</w:t>
      </w:r>
      <w:r>
        <w:rPr>
          <w:spacing w:val="-5"/>
        </w:rPr>
        <w:t> </w:t>
      </w:r>
      <w:r>
        <w:rPr/>
        <w:t>durante</w:t>
      </w:r>
      <w:r>
        <w:rPr>
          <w:spacing w:val="-3"/>
        </w:rPr>
        <w:t> </w:t>
      </w:r>
      <w:r>
        <w:rPr/>
        <w:t>los</w:t>
      </w:r>
      <w:r>
        <w:rPr>
          <w:spacing w:val="-2"/>
        </w:rPr>
        <w:t> </w:t>
      </w:r>
      <w:r>
        <w:rPr/>
        <w:t>años 2020, 2021 y 2022. No obstante, la aprobación anual de los protocolos los 52 servicios de la PNIG fue menor a lo esperado debido a que el proceso para su elaboración</w:t>
      </w:r>
      <w:r>
        <w:rPr>
          <w:spacing w:val="-5"/>
        </w:rPr>
        <w:t> </w:t>
      </w:r>
      <w:r>
        <w:rPr/>
        <w:t>depende</w:t>
      </w:r>
      <w:r>
        <w:rPr>
          <w:spacing w:val="-7"/>
        </w:rPr>
        <w:t> </w:t>
      </w:r>
      <w:r>
        <w:rPr/>
        <w:t>en</w:t>
      </w:r>
      <w:r>
        <w:rPr>
          <w:spacing w:val="-3"/>
        </w:rPr>
        <w:t> </w:t>
      </w:r>
      <w:r>
        <w:rPr/>
        <w:t>gran</w:t>
      </w:r>
      <w:r>
        <w:rPr>
          <w:spacing w:val="-3"/>
        </w:rPr>
        <w:t> </w:t>
      </w:r>
      <w:r>
        <w:rPr/>
        <w:t>medida</w:t>
      </w:r>
      <w:r>
        <w:rPr>
          <w:spacing w:val="-7"/>
        </w:rPr>
        <w:t> </w:t>
      </w:r>
      <w:r>
        <w:rPr/>
        <w:t>de</w:t>
      </w:r>
      <w:r>
        <w:rPr>
          <w:spacing w:val="-7"/>
        </w:rPr>
        <w:t> </w:t>
      </w:r>
      <w:r>
        <w:rPr/>
        <w:t>la</w:t>
      </w:r>
      <w:r>
        <w:rPr>
          <w:spacing w:val="-7"/>
        </w:rPr>
        <w:t> </w:t>
      </w:r>
      <w:r>
        <w:rPr/>
        <w:t>disposición</w:t>
      </w:r>
      <w:r>
        <w:rPr>
          <w:spacing w:val="-7"/>
        </w:rPr>
        <w:t> </w:t>
      </w:r>
      <w:r>
        <w:rPr/>
        <w:t>de</w:t>
      </w:r>
      <w:r>
        <w:rPr>
          <w:spacing w:val="-7"/>
        </w:rPr>
        <w:t> </w:t>
      </w:r>
      <w:r>
        <w:rPr/>
        <w:t>la</w:t>
      </w:r>
      <w:r>
        <w:rPr>
          <w:spacing w:val="-4"/>
        </w:rPr>
        <w:t> </w:t>
      </w:r>
      <w:r>
        <w:rPr/>
        <w:t>entidad</w:t>
      </w:r>
      <w:r>
        <w:rPr>
          <w:spacing w:val="-3"/>
        </w:rPr>
        <w:t> </w:t>
      </w:r>
      <w:r>
        <w:rPr/>
        <w:t>que</w:t>
      </w:r>
      <w:r>
        <w:rPr>
          <w:spacing w:val="-3"/>
        </w:rPr>
        <w:t> </w:t>
      </w:r>
      <w:r>
        <w:rPr/>
        <w:t>provee el servicio, pudiendo presentarse una serie de dificultades o limitaciones que generan retrasos para sus respectivas aprobaciones. Al cierre del 2022, se identificó un total de 35 SS sin protocolos aprobados (ver Tabla 22).</w:t>
      </w:r>
    </w:p>
    <w:p>
      <w:pPr>
        <w:spacing w:before="161"/>
        <w:ind w:left="200" w:right="0" w:firstLine="0"/>
        <w:jc w:val="both"/>
        <w:rPr>
          <w:rFonts w:ascii="Arial" w:hAnsi="Arial"/>
          <w:i/>
          <w:sz w:val="20"/>
        </w:rPr>
      </w:pPr>
      <w:r>
        <w:rPr>
          <w:rFonts w:ascii="Arial" w:hAnsi="Arial"/>
          <w:i/>
          <w:color w:val="44536A"/>
          <w:spacing w:val="-6"/>
          <w:sz w:val="20"/>
        </w:rPr>
        <w:t>Tabla</w:t>
      </w:r>
      <w:r>
        <w:rPr>
          <w:rFonts w:ascii="Arial" w:hAnsi="Arial"/>
          <w:i/>
          <w:color w:val="44536A"/>
          <w:spacing w:val="-3"/>
          <w:sz w:val="20"/>
        </w:rPr>
        <w:t> </w:t>
      </w:r>
      <w:r>
        <w:rPr>
          <w:rFonts w:ascii="Arial" w:hAnsi="Arial"/>
          <w:i/>
          <w:color w:val="44536A"/>
          <w:spacing w:val="-6"/>
          <w:sz w:val="20"/>
        </w:rPr>
        <w:t>22:</w:t>
      </w:r>
      <w:r>
        <w:rPr>
          <w:rFonts w:ascii="Arial" w:hAnsi="Arial"/>
          <w:i/>
          <w:color w:val="44536A"/>
          <w:spacing w:val="-3"/>
          <w:sz w:val="20"/>
        </w:rPr>
        <w:t> </w:t>
      </w:r>
      <w:r>
        <w:rPr>
          <w:rFonts w:ascii="Arial" w:hAnsi="Arial"/>
          <w:i/>
          <w:color w:val="44536A"/>
          <w:spacing w:val="-6"/>
          <w:sz w:val="20"/>
        </w:rPr>
        <w:t>Proyección</w:t>
      </w:r>
      <w:r>
        <w:rPr>
          <w:rFonts w:ascii="Arial" w:hAnsi="Arial"/>
          <w:i/>
          <w:color w:val="44536A"/>
          <w:spacing w:val="-4"/>
          <w:sz w:val="20"/>
        </w:rPr>
        <w:t> </w:t>
      </w:r>
      <w:r>
        <w:rPr>
          <w:rFonts w:ascii="Arial" w:hAnsi="Arial"/>
          <w:i/>
          <w:color w:val="44536A"/>
          <w:spacing w:val="-6"/>
          <w:sz w:val="20"/>
        </w:rPr>
        <w:t>sobre</w:t>
      </w:r>
      <w:r>
        <w:rPr>
          <w:rFonts w:ascii="Arial" w:hAnsi="Arial"/>
          <w:i/>
          <w:color w:val="44536A"/>
          <w:spacing w:val="-3"/>
          <w:sz w:val="20"/>
        </w:rPr>
        <w:t> </w:t>
      </w:r>
      <w:r>
        <w:rPr>
          <w:rFonts w:ascii="Arial" w:hAnsi="Arial"/>
          <w:i/>
          <w:color w:val="44536A"/>
          <w:spacing w:val="-6"/>
          <w:sz w:val="20"/>
        </w:rPr>
        <w:t>la</w:t>
      </w:r>
      <w:r>
        <w:rPr>
          <w:rFonts w:ascii="Arial" w:hAnsi="Arial"/>
          <w:i/>
          <w:color w:val="44536A"/>
          <w:spacing w:val="-2"/>
          <w:sz w:val="20"/>
        </w:rPr>
        <w:t> </w:t>
      </w:r>
      <w:r>
        <w:rPr>
          <w:rFonts w:ascii="Arial" w:hAnsi="Arial"/>
          <w:i/>
          <w:color w:val="44536A"/>
          <w:spacing w:val="-6"/>
          <w:sz w:val="20"/>
        </w:rPr>
        <w:t>culminación</w:t>
      </w:r>
      <w:r>
        <w:rPr>
          <w:rFonts w:ascii="Arial" w:hAnsi="Arial"/>
          <w:i/>
          <w:color w:val="44536A"/>
          <w:spacing w:val="-4"/>
          <w:sz w:val="20"/>
        </w:rPr>
        <w:t> </w:t>
      </w:r>
      <w:r>
        <w:rPr>
          <w:rFonts w:ascii="Arial" w:hAnsi="Arial"/>
          <w:i/>
          <w:color w:val="44536A"/>
          <w:spacing w:val="-6"/>
          <w:sz w:val="20"/>
        </w:rPr>
        <w:t>de</w:t>
      </w:r>
      <w:r>
        <w:rPr>
          <w:rFonts w:ascii="Arial" w:hAnsi="Arial"/>
          <w:i/>
          <w:color w:val="44536A"/>
          <w:spacing w:val="-2"/>
          <w:sz w:val="20"/>
        </w:rPr>
        <w:t> </w:t>
      </w:r>
      <w:r>
        <w:rPr>
          <w:rFonts w:ascii="Arial" w:hAnsi="Arial"/>
          <w:i/>
          <w:color w:val="44536A"/>
          <w:spacing w:val="-6"/>
          <w:sz w:val="20"/>
        </w:rPr>
        <w:t>elaboración</w:t>
      </w:r>
      <w:r>
        <w:rPr>
          <w:rFonts w:ascii="Arial" w:hAnsi="Arial"/>
          <w:i/>
          <w:color w:val="44536A"/>
          <w:spacing w:val="-4"/>
          <w:sz w:val="20"/>
        </w:rPr>
        <w:t> </w:t>
      </w:r>
      <w:r>
        <w:rPr>
          <w:rFonts w:ascii="Arial" w:hAnsi="Arial"/>
          <w:i/>
          <w:color w:val="44536A"/>
          <w:spacing w:val="-6"/>
          <w:sz w:val="20"/>
        </w:rPr>
        <w:t>de</w:t>
      </w:r>
      <w:r>
        <w:rPr>
          <w:rFonts w:ascii="Arial" w:hAnsi="Arial"/>
          <w:i/>
          <w:color w:val="44536A"/>
          <w:spacing w:val="-1"/>
          <w:sz w:val="20"/>
        </w:rPr>
        <w:t> </w:t>
      </w:r>
      <w:r>
        <w:rPr>
          <w:rFonts w:ascii="Arial" w:hAnsi="Arial"/>
          <w:i/>
          <w:color w:val="44536A"/>
          <w:spacing w:val="-6"/>
          <w:sz w:val="20"/>
        </w:rPr>
        <w:t>protocolos</w:t>
      </w:r>
      <w:r>
        <w:rPr>
          <w:rFonts w:ascii="Arial" w:hAnsi="Arial"/>
          <w:i/>
          <w:color w:val="44536A"/>
          <w:spacing w:val="-2"/>
          <w:sz w:val="20"/>
        </w:rPr>
        <w:t> </w:t>
      </w:r>
      <w:r>
        <w:rPr>
          <w:rFonts w:ascii="Arial" w:hAnsi="Arial"/>
          <w:i/>
          <w:color w:val="44536A"/>
          <w:spacing w:val="-6"/>
          <w:sz w:val="20"/>
        </w:rPr>
        <w:t>de</w:t>
      </w:r>
      <w:r>
        <w:rPr>
          <w:rFonts w:ascii="Arial" w:hAnsi="Arial"/>
          <w:i/>
          <w:color w:val="44536A"/>
          <w:spacing w:val="-5"/>
          <w:sz w:val="20"/>
        </w:rPr>
        <w:t> </w:t>
      </w:r>
      <w:r>
        <w:rPr>
          <w:rFonts w:ascii="Arial" w:hAnsi="Arial"/>
          <w:i/>
          <w:color w:val="44536A"/>
          <w:spacing w:val="-6"/>
          <w:sz w:val="20"/>
        </w:rPr>
        <w:t>los</w:t>
      </w:r>
      <w:r>
        <w:rPr>
          <w:rFonts w:ascii="Arial" w:hAnsi="Arial"/>
          <w:i/>
          <w:color w:val="44536A"/>
          <w:spacing w:val="-5"/>
          <w:sz w:val="20"/>
        </w:rPr>
        <w:t> </w:t>
      </w:r>
      <w:r>
        <w:rPr>
          <w:rFonts w:ascii="Arial" w:hAnsi="Arial"/>
          <w:i/>
          <w:color w:val="44536A"/>
          <w:spacing w:val="-6"/>
          <w:sz w:val="20"/>
        </w:rPr>
        <w:t>servicios</w:t>
      </w:r>
      <w:r>
        <w:rPr>
          <w:rFonts w:ascii="Arial" w:hAnsi="Arial"/>
          <w:i/>
          <w:color w:val="44536A"/>
          <w:spacing w:val="-2"/>
          <w:sz w:val="20"/>
        </w:rPr>
        <w:t> </w:t>
      </w:r>
      <w:r>
        <w:rPr>
          <w:rFonts w:ascii="Arial" w:hAnsi="Arial"/>
          <w:i/>
          <w:color w:val="44536A"/>
          <w:spacing w:val="-6"/>
          <w:sz w:val="20"/>
        </w:rPr>
        <w:t>de</w:t>
      </w:r>
      <w:r>
        <w:rPr>
          <w:rFonts w:ascii="Arial" w:hAnsi="Arial"/>
          <w:i/>
          <w:color w:val="44536A"/>
          <w:spacing w:val="-1"/>
          <w:sz w:val="20"/>
        </w:rPr>
        <w:t> </w:t>
      </w:r>
      <w:r>
        <w:rPr>
          <w:rFonts w:ascii="Arial" w:hAnsi="Arial"/>
          <w:i/>
          <w:color w:val="44536A"/>
          <w:spacing w:val="-6"/>
          <w:sz w:val="20"/>
        </w:rPr>
        <w:t>la</w:t>
      </w:r>
      <w:r>
        <w:rPr>
          <w:rFonts w:ascii="Arial" w:hAnsi="Arial"/>
          <w:i/>
          <w:color w:val="44536A"/>
          <w:spacing w:val="-3"/>
          <w:sz w:val="20"/>
        </w:rPr>
        <w:t> </w:t>
      </w:r>
      <w:r>
        <w:rPr>
          <w:rFonts w:ascii="Arial" w:hAnsi="Arial"/>
          <w:i/>
          <w:color w:val="44536A"/>
          <w:spacing w:val="-6"/>
          <w:sz w:val="20"/>
        </w:rPr>
        <w:t>PNIG</w:t>
      </w:r>
    </w:p>
    <w:p>
      <w:pPr>
        <w:pStyle w:val="BodyText"/>
        <w:spacing w:before="7"/>
        <w:rPr>
          <w:rFonts w:ascii="Arial"/>
          <w:i/>
          <w:sz w:val="18"/>
        </w:rPr>
      </w:pPr>
    </w:p>
    <w:tbl>
      <w:tblPr>
        <w:tblW w:w="0" w:type="auto"/>
        <w:jc w:val="left"/>
        <w:tblInd w:w="9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972"/>
        <w:gridCol w:w="994"/>
        <w:gridCol w:w="994"/>
        <w:gridCol w:w="991"/>
        <w:gridCol w:w="992"/>
      </w:tblGrid>
      <w:tr>
        <w:trPr>
          <w:trHeight w:val="306" w:hRule="atLeast"/>
        </w:trPr>
        <w:tc>
          <w:tcPr>
            <w:tcW w:w="2972" w:type="dxa"/>
            <w:shd w:val="clear" w:color="auto" w:fill="1F4E78"/>
          </w:tcPr>
          <w:p>
            <w:pPr>
              <w:pStyle w:val="TableParagraph"/>
              <w:spacing w:before="73"/>
              <w:ind w:right="37"/>
              <w:jc w:val="center"/>
              <w:rPr>
                <w:sz w:val="18"/>
              </w:rPr>
            </w:pPr>
            <w:r>
              <w:rPr>
                <w:color w:val="FFFFFF"/>
                <w:spacing w:val="-2"/>
                <w:sz w:val="18"/>
              </w:rPr>
              <w:t>Estado</w:t>
            </w:r>
          </w:p>
        </w:tc>
        <w:tc>
          <w:tcPr>
            <w:tcW w:w="994" w:type="dxa"/>
            <w:shd w:val="clear" w:color="auto" w:fill="1F4E78"/>
          </w:tcPr>
          <w:p>
            <w:pPr>
              <w:pStyle w:val="TableParagraph"/>
              <w:spacing w:before="73"/>
              <w:ind w:left="11" w:right="43"/>
              <w:jc w:val="center"/>
              <w:rPr>
                <w:sz w:val="18"/>
              </w:rPr>
            </w:pPr>
            <w:r>
              <w:rPr>
                <w:color w:val="FFFFFF"/>
                <w:spacing w:val="-4"/>
                <w:sz w:val="18"/>
              </w:rPr>
              <w:t>2020</w:t>
            </w:r>
          </w:p>
        </w:tc>
        <w:tc>
          <w:tcPr>
            <w:tcW w:w="994" w:type="dxa"/>
            <w:shd w:val="clear" w:color="auto" w:fill="1F4E78"/>
          </w:tcPr>
          <w:p>
            <w:pPr>
              <w:pStyle w:val="TableParagraph"/>
              <w:spacing w:before="73"/>
              <w:ind w:left="6" w:right="43"/>
              <w:jc w:val="center"/>
              <w:rPr>
                <w:sz w:val="18"/>
              </w:rPr>
            </w:pPr>
            <w:r>
              <w:rPr>
                <w:color w:val="FFFFFF"/>
                <w:spacing w:val="-4"/>
                <w:sz w:val="18"/>
              </w:rPr>
              <w:t>2021</w:t>
            </w:r>
          </w:p>
        </w:tc>
        <w:tc>
          <w:tcPr>
            <w:tcW w:w="991" w:type="dxa"/>
            <w:shd w:val="clear" w:color="auto" w:fill="1F4E78"/>
          </w:tcPr>
          <w:p>
            <w:pPr>
              <w:pStyle w:val="TableParagraph"/>
              <w:spacing w:before="73"/>
              <w:ind w:left="3" w:right="39"/>
              <w:jc w:val="center"/>
              <w:rPr>
                <w:sz w:val="18"/>
              </w:rPr>
            </w:pPr>
            <w:r>
              <w:rPr>
                <w:color w:val="FFFFFF"/>
                <w:spacing w:val="-4"/>
                <w:sz w:val="18"/>
              </w:rPr>
              <w:t>2022</w:t>
            </w:r>
          </w:p>
        </w:tc>
        <w:tc>
          <w:tcPr>
            <w:tcW w:w="992" w:type="dxa"/>
            <w:shd w:val="clear" w:color="auto" w:fill="1F4E78"/>
          </w:tcPr>
          <w:p>
            <w:pPr>
              <w:pStyle w:val="TableParagraph"/>
              <w:spacing w:before="73"/>
              <w:ind w:left="2" w:right="40"/>
              <w:jc w:val="center"/>
              <w:rPr>
                <w:sz w:val="18"/>
              </w:rPr>
            </w:pPr>
            <w:r>
              <w:rPr>
                <w:color w:val="FFFFFF"/>
                <w:spacing w:val="-2"/>
                <w:sz w:val="18"/>
              </w:rPr>
              <w:t>Total</w:t>
            </w:r>
          </w:p>
        </w:tc>
      </w:tr>
      <w:tr>
        <w:trPr>
          <w:trHeight w:val="306" w:hRule="atLeast"/>
        </w:trPr>
        <w:tc>
          <w:tcPr>
            <w:tcW w:w="2972" w:type="dxa"/>
            <w:shd w:val="clear" w:color="auto" w:fill="1F4E78"/>
          </w:tcPr>
          <w:p>
            <w:pPr>
              <w:pStyle w:val="TableParagraph"/>
              <w:spacing w:before="54"/>
              <w:ind w:left="643"/>
              <w:rPr>
                <w:sz w:val="18"/>
              </w:rPr>
            </w:pPr>
            <w:r>
              <w:rPr>
                <w:color w:val="FFFFFF"/>
                <w:spacing w:val="-4"/>
                <w:sz w:val="18"/>
              </w:rPr>
              <w:t>(A)</w:t>
            </w:r>
            <w:r>
              <w:rPr>
                <w:color w:val="FFFFFF"/>
                <w:spacing w:val="-6"/>
                <w:sz w:val="18"/>
              </w:rPr>
              <w:t> </w:t>
            </w:r>
            <w:r>
              <w:rPr>
                <w:color w:val="FFFFFF"/>
                <w:spacing w:val="-4"/>
                <w:sz w:val="18"/>
              </w:rPr>
              <w:t>Total</w:t>
            </w:r>
            <w:r>
              <w:rPr>
                <w:color w:val="FFFFFF"/>
                <w:spacing w:val="-5"/>
                <w:sz w:val="18"/>
              </w:rPr>
              <w:t> </w:t>
            </w:r>
            <w:r>
              <w:rPr>
                <w:color w:val="FFFFFF"/>
                <w:spacing w:val="-4"/>
                <w:sz w:val="18"/>
              </w:rPr>
              <w:t>de</w:t>
            </w:r>
            <w:r>
              <w:rPr>
                <w:color w:val="FFFFFF"/>
                <w:spacing w:val="-6"/>
                <w:sz w:val="18"/>
              </w:rPr>
              <w:t> </w:t>
            </w:r>
            <w:r>
              <w:rPr>
                <w:color w:val="FFFFFF"/>
                <w:spacing w:val="-4"/>
                <w:sz w:val="18"/>
              </w:rPr>
              <w:t>servicios</w:t>
            </w:r>
          </w:p>
        </w:tc>
        <w:tc>
          <w:tcPr>
            <w:tcW w:w="994" w:type="dxa"/>
          </w:tcPr>
          <w:p>
            <w:pPr>
              <w:pStyle w:val="TableParagraph"/>
              <w:spacing w:before="44"/>
              <w:ind w:left="6" w:right="43"/>
              <w:jc w:val="center"/>
              <w:rPr>
                <w:sz w:val="18"/>
              </w:rPr>
            </w:pPr>
            <w:r>
              <w:rPr>
                <w:spacing w:val="-5"/>
                <w:sz w:val="18"/>
              </w:rPr>
              <w:t>17</w:t>
            </w:r>
          </w:p>
        </w:tc>
        <w:tc>
          <w:tcPr>
            <w:tcW w:w="994" w:type="dxa"/>
          </w:tcPr>
          <w:p>
            <w:pPr>
              <w:pStyle w:val="TableParagraph"/>
              <w:spacing w:before="44"/>
              <w:ind w:right="43"/>
              <w:jc w:val="center"/>
              <w:rPr>
                <w:sz w:val="18"/>
              </w:rPr>
            </w:pPr>
            <w:r>
              <w:rPr>
                <w:spacing w:val="-5"/>
                <w:sz w:val="18"/>
              </w:rPr>
              <w:t>17</w:t>
            </w:r>
          </w:p>
        </w:tc>
        <w:tc>
          <w:tcPr>
            <w:tcW w:w="991" w:type="dxa"/>
          </w:tcPr>
          <w:p>
            <w:pPr>
              <w:pStyle w:val="TableParagraph"/>
              <w:spacing w:before="44"/>
              <w:ind w:right="39"/>
              <w:jc w:val="center"/>
              <w:rPr>
                <w:sz w:val="18"/>
              </w:rPr>
            </w:pPr>
            <w:r>
              <w:rPr>
                <w:spacing w:val="-5"/>
                <w:sz w:val="18"/>
              </w:rPr>
              <w:t>18</w:t>
            </w:r>
          </w:p>
        </w:tc>
        <w:tc>
          <w:tcPr>
            <w:tcW w:w="992" w:type="dxa"/>
          </w:tcPr>
          <w:p>
            <w:pPr>
              <w:pStyle w:val="TableParagraph"/>
              <w:spacing w:before="44"/>
              <w:ind w:right="40"/>
              <w:jc w:val="center"/>
              <w:rPr>
                <w:sz w:val="18"/>
              </w:rPr>
            </w:pPr>
            <w:r>
              <w:rPr>
                <w:spacing w:val="-5"/>
                <w:sz w:val="18"/>
              </w:rPr>
              <w:t>52</w:t>
            </w:r>
          </w:p>
        </w:tc>
      </w:tr>
      <w:tr>
        <w:trPr>
          <w:trHeight w:val="304" w:hRule="atLeast"/>
        </w:trPr>
        <w:tc>
          <w:tcPr>
            <w:tcW w:w="2972" w:type="dxa"/>
            <w:shd w:val="clear" w:color="auto" w:fill="1F4E78"/>
          </w:tcPr>
          <w:p>
            <w:pPr>
              <w:pStyle w:val="TableParagraph"/>
              <w:spacing w:before="51"/>
              <w:ind w:left="393"/>
              <w:rPr>
                <w:sz w:val="18"/>
              </w:rPr>
            </w:pPr>
            <w:r>
              <w:rPr>
                <w:color w:val="FFFFFF"/>
                <w:spacing w:val="-4"/>
                <w:sz w:val="18"/>
              </w:rPr>
              <w:t>(B)</w:t>
            </w:r>
            <w:r>
              <w:rPr>
                <w:color w:val="FFFFFF"/>
                <w:spacing w:val="-5"/>
                <w:sz w:val="18"/>
              </w:rPr>
              <w:t> </w:t>
            </w:r>
            <w:r>
              <w:rPr>
                <w:color w:val="FFFFFF"/>
                <w:spacing w:val="-4"/>
                <w:sz w:val="18"/>
              </w:rPr>
              <w:t>Servicios con</w:t>
            </w:r>
            <w:r>
              <w:rPr>
                <w:color w:val="FFFFFF"/>
                <w:spacing w:val="-7"/>
                <w:sz w:val="18"/>
              </w:rPr>
              <w:t> </w:t>
            </w:r>
            <w:r>
              <w:rPr>
                <w:color w:val="FFFFFF"/>
                <w:spacing w:val="-4"/>
                <w:sz w:val="18"/>
              </w:rPr>
              <w:t>protocolo</w:t>
            </w:r>
          </w:p>
        </w:tc>
        <w:tc>
          <w:tcPr>
            <w:tcW w:w="994" w:type="dxa"/>
          </w:tcPr>
          <w:p>
            <w:pPr>
              <w:pStyle w:val="TableParagraph"/>
              <w:spacing w:before="42"/>
              <w:ind w:left="8" w:right="43"/>
              <w:jc w:val="center"/>
              <w:rPr>
                <w:sz w:val="18"/>
              </w:rPr>
            </w:pPr>
            <w:r>
              <w:rPr>
                <w:spacing w:val="-10"/>
                <w:sz w:val="18"/>
              </w:rPr>
              <w:t>7</w:t>
            </w:r>
          </w:p>
        </w:tc>
        <w:tc>
          <w:tcPr>
            <w:tcW w:w="994" w:type="dxa"/>
          </w:tcPr>
          <w:p>
            <w:pPr>
              <w:pStyle w:val="TableParagraph"/>
              <w:spacing w:before="42"/>
              <w:ind w:left="3" w:right="43"/>
              <w:jc w:val="center"/>
              <w:rPr>
                <w:sz w:val="18"/>
              </w:rPr>
            </w:pPr>
            <w:r>
              <w:rPr>
                <w:spacing w:val="-10"/>
                <w:sz w:val="18"/>
              </w:rPr>
              <w:t>7</w:t>
            </w:r>
          </w:p>
        </w:tc>
        <w:tc>
          <w:tcPr>
            <w:tcW w:w="991" w:type="dxa"/>
          </w:tcPr>
          <w:p>
            <w:pPr>
              <w:pStyle w:val="TableParagraph"/>
              <w:spacing w:before="42"/>
              <w:ind w:left="2" w:right="39"/>
              <w:jc w:val="center"/>
              <w:rPr>
                <w:sz w:val="18"/>
              </w:rPr>
            </w:pPr>
            <w:r>
              <w:rPr>
                <w:spacing w:val="-10"/>
                <w:sz w:val="18"/>
              </w:rPr>
              <w:t>3</w:t>
            </w:r>
          </w:p>
        </w:tc>
        <w:tc>
          <w:tcPr>
            <w:tcW w:w="992" w:type="dxa"/>
          </w:tcPr>
          <w:p>
            <w:pPr>
              <w:pStyle w:val="TableParagraph"/>
              <w:spacing w:before="42"/>
              <w:ind w:right="40"/>
              <w:jc w:val="center"/>
              <w:rPr>
                <w:sz w:val="18"/>
              </w:rPr>
            </w:pPr>
            <w:r>
              <w:rPr>
                <w:spacing w:val="-5"/>
                <w:sz w:val="18"/>
              </w:rPr>
              <w:t>17</w:t>
            </w:r>
          </w:p>
        </w:tc>
      </w:tr>
      <w:tr>
        <w:trPr>
          <w:trHeight w:val="491" w:hRule="atLeast"/>
        </w:trPr>
        <w:tc>
          <w:tcPr>
            <w:tcW w:w="2972" w:type="dxa"/>
            <w:shd w:val="clear" w:color="auto" w:fill="1F4E78"/>
          </w:tcPr>
          <w:p>
            <w:pPr>
              <w:pStyle w:val="TableParagraph"/>
              <w:spacing w:before="23"/>
              <w:ind w:left="323"/>
              <w:rPr>
                <w:sz w:val="18"/>
              </w:rPr>
            </w:pPr>
            <w:r>
              <w:rPr>
                <w:color w:val="FFFFFF"/>
                <w:spacing w:val="-4"/>
                <w:sz w:val="18"/>
              </w:rPr>
              <w:t>(A-B)</w:t>
            </w:r>
            <w:r>
              <w:rPr>
                <w:color w:val="FFFFFF"/>
                <w:spacing w:val="-3"/>
                <w:sz w:val="18"/>
              </w:rPr>
              <w:t> </w:t>
            </w:r>
            <w:r>
              <w:rPr>
                <w:color w:val="FFFFFF"/>
                <w:spacing w:val="-4"/>
                <w:sz w:val="18"/>
              </w:rPr>
              <w:t>Brecha</w:t>
            </w:r>
            <w:r>
              <w:rPr>
                <w:color w:val="FFFFFF"/>
                <w:spacing w:val="-1"/>
                <w:sz w:val="18"/>
              </w:rPr>
              <w:t> </w:t>
            </w:r>
            <w:r>
              <w:rPr>
                <w:color w:val="FFFFFF"/>
                <w:spacing w:val="-4"/>
                <w:sz w:val="18"/>
              </w:rPr>
              <w:t>de</w:t>
            </w:r>
            <w:r>
              <w:rPr>
                <w:color w:val="FFFFFF"/>
                <w:spacing w:val="-1"/>
                <w:sz w:val="18"/>
              </w:rPr>
              <w:t> </w:t>
            </w:r>
            <w:r>
              <w:rPr>
                <w:color w:val="FFFFFF"/>
                <w:spacing w:val="-4"/>
                <w:sz w:val="18"/>
              </w:rPr>
              <w:t>Servicios</w:t>
            </w:r>
            <w:r>
              <w:rPr>
                <w:color w:val="FFFFFF"/>
                <w:spacing w:val="-1"/>
                <w:sz w:val="18"/>
              </w:rPr>
              <w:t> </w:t>
            </w:r>
            <w:r>
              <w:rPr>
                <w:color w:val="FFFFFF"/>
                <w:spacing w:val="-5"/>
                <w:sz w:val="18"/>
              </w:rPr>
              <w:t>sin</w:t>
            </w:r>
          </w:p>
          <w:p>
            <w:pPr>
              <w:pStyle w:val="TableParagraph"/>
              <w:spacing w:line="204" w:lineRule="exact" w:before="37"/>
              <w:ind w:left="345"/>
              <w:rPr>
                <w:sz w:val="18"/>
              </w:rPr>
            </w:pPr>
            <w:r>
              <w:rPr>
                <w:color w:val="FFFFFF"/>
                <w:spacing w:val="-2"/>
                <w:w w:val="105"/>
                <w:sz w:val="18"/>
              </w:rPr>
              <w:t>protocolo al</w:t>
            </w:r>
            <w:r>
              <w:rPr>
                <w:color w:val="FFFFFF"/>
                <w:spacing w:val="-6"/>
                <w:w w:val="105"/>
                <w:sz w:val="18"/>
              </w:rPr>
              <w:t> </w:t>
            </w:r>
            <w:r>
              <w:rPr>
                <w:color w:val="FFFFFF"/>
                <w:spacing w:val="-2"/>
                <w:w w:val="105"/>
                <w:sz w:val="18"/>
              </w:rPr>
              <w:t>cierre</w:t>
            </w:r>
            <w:r>
              <w:rPr>
                <w:color w:val="FFFFFF"/>
                <w:spacing w:val="-6"/>
                <w:w w:val="105"/>
                <w:sz w:val="18"/>
              </w:rPr>
              <w:t> </w:t>
            </w:r>
            <w:r>
              <w:rPr>
                <w:color w:val="FFFFFF"/>
                <w:spacing w:val="-2"/>
                <w:w w:val="105"/>
                <w:sz w:val="18"/>
              </w:rPr>
              <w:t>del</w:t>
            </w:r>
            <w:r>
              <w:rPr>
                <w:color w:val="FFFFFF"/>
                <w:spacing w:val="-3"/>
                <w:w w:val="105"/>
                <w:sz w:val="18"/>
              </w:rPr>
              <w:t> </w:t>
            </w:r>
            <w:r>
              <w:rPr>
                <w:color w:val="FFFFFF"/>
                <w:spacing w:val="-4"/>
                <w:w w:val="105"/>
                <w:sz w:val="18"/>
              </w:rPr>
              <w:t>2022</w:t>
            </w:r>
          </w:p>
        </w:tc>
        <w:tc>
          <w:tcPr>
            <w:tcW w:w="994" w:type="dxa"/>
            <w:shd w:val="clear" w:color="auto" w:fill="FAE3D4"/>
          </w:tcPr>
          <w:p>
            <w:pPr>
              <w:pStyle w:val="TableParagraph"/>
              <w:spacing w:before="135"/>
              <w:ind w:left="6" w:right="43"/>
              <w:jc w:val="center"/>
              <w:rPr>
                <w:sz w:val="18"/>
              </w:rPr>
            </w:pPr>
            <w:r>
              <w:rPr>
                <w:spacing w:val="-5"/>
                <w:sz w:val="18"/>
              </w:rPr>
              <w:t>10</w:t>
            </w:r>
          </w:p>
        </w:tc>
        <w:tc>
          <w:tcPr>
            <w:tcW w:w="994" w:type="dxa"/>
            <w:shd w:val="clear" w:color="auto" w:fill="FAE3D4"/>
          </w:tcPr>
          <w:p>
            <w:pPr>
              <w:pStyle w:val="TableParagraph"/>
              <w:spacing w:before="135"/>
              <w:ind w:right="43"/>
              <w:jc w:val="center"/>
              <w:rPr>
                <w:sz w:val="18"/>
              </w:rPr>
            </w:pPr>
            <w:r>
              <w:rPr>
                <w:spacing w:val="-5"/>
                <w:sz w:val="18"/>
              </w:rPr>
              <w:t>10</w:t>
            </w:r>
          </w:p>
        </w:tc>
        <w:tc>
          <w:tcPr>
            <w:tcW w:w="991" w:type="dxa"/>
            <w:shd w:val="clear" w:color="auto" w:fill="FAE3D4"/>
          </w:tcPr>
          <w:p>
            <w:pPr>
              <w:pStyle w:val="TableParagraph"/>
              <w:spacing w:before="135"/>
              <w:ind w:right="39"/>
              <w:jc w:val="center"/>
              <w:rPr>
                <w:sz w:val="18"/>
              </w:rPr>
            </w:pPr>
            <w:r>
              <w:rPr>
                <w:spacing w:val="-5"/>
                <w:sz w:val="18"/>
              </w:rPr>
              <w:t>15</w:t>
            </w:r>
          </w:p>
        </w:tc>
        <w:tc>
          <w:tcPr>
            <w:tcW w:w="992" w:type="dxa"/>
          </w:tcPr>
          <w:p>
            <w:pPr>
              <w:pStyle w:val="TableParagraph"/>
              <w:spacing w:before="135"/>
              <w:ind w:right="40"/>
              <w:jc w:val="center"/>
              <w:rPr>
                <w:sz w:val="18"/>
              </w:rPr>
            </w:pPr>
            <w:r>
              <w:rPr>
                <w:spacing w:val="-5"/>
                <w:sz w:val="18"/>
              </w:rPr>
              <w:t>35</w:t>
            </w:r>
          </w:p>
        </w:tc>
      </w:tr>
    </w:tbl>
    <w:p>
      <w:pPr>
        <w:spacing w:before="3"/>
        <w:ind w:left="0" w:right="615" w:firstLine="0"/>
        <w:jc w:val="center"/>
        <w:rPr>
          <w:rFonts w:ascii="Calibri" w:hAnsi="Calibri"/>
          <w:sz w:val="18"/>
        </w:rPr>
      </w:pPr>
      <w:r>
        <w:rPr>
          <w:rFonts w:ascii="Calibri" w:hAnsi="Calibri"/>
          <w:sz w:val="18"/>
        </w:rPr>
        <w:t>Elaboración</w:t>
      </w:r>
      <w:r>
        <w:rPr>
          <w:rFonts w:ascii="Calibri" w:hAnsi="Calibri"/>
          <w:spacing w:val="-7"/>
          <w:sz w:val="18"/>
        </w:rPr>
        <w:t> </w:t>
      </w:r>
      <w:r>
        <w:rPr>
          <w:rFonts w:ascii="Calibri" w:hAnsi="Calibri"/>
          <w:spacing w:val="-2"/>
          <w:sz w:val="18"/>
        </w:rPr>
        <w:t>propia.</w:t>
      </w:r>
    </w:p>
    <w:p>
      <w:pPr>
        <w:pStyle w:val="BodyText"/>
        <w:spacing w:before="4"/>
        <w:rPr>
          <w:rFonts w:ascii="Calibri"/>
          <w:sz w:val="18"/>
        </w:rPr>
      </w:pPr>
    </w:p>
    <w:p>
      <w:pPr>
        <w:pStyle w:val="BodyText"/>
        <w:spacing w:line="302" w:lineRule="auto"/>
        <w:ind w:left="143" w:right="708"/>
        <w:jc w:val="both"/>
      </w:pPr>
      <w:r>
        <w:rPr/>
        <w:t>Al</w:t>
      </w:r>
      <w:r>
        <w:rPr>
          <w:spacing w:val="-7"/>
        </w:rPr>
        <w:t> </w:t>
      </w:r>
      <w:r>
        <w:rPr/>
        <w:t>cierre</w:t>
      </w:r>
      <w:r>
        <w:rPr>
          <w:spacing w:val="-11"/>
        </w:rPr>
        <w:t> </w:t>
      </w:r>
      <w:r>
        <w:rPr/>
        <w:t>del</w:t>
      </w:r>
      <w:r>
        <w:rPr>
          <w:spacing w:val="-7"/>
        </w:rPr>
        <w:t> </w:t>
      </w:r>
      <w:r>
        <w:rPr/>
        <w:t>2023,</w:t>
      </w:r>
      <w:r>
        <w:rPr>
          <w:spacing w:val="-7"/>
        </w:rPr>
        <w:t> </w:t>
      </w:r>
      <w:r>
        <w:rPr/>
        <w:t>se</w:t>
      </w:r>
      <w:r>
        <w:rPr>
          <w:spacing w:val="-11"/>
        </w:rPr>
        <w:t> </w:t>
      </w:r>
      <w:r>
        <w:rPr/>
        <w:t>identificaron</w:t>
      </w:r>
      <w:r>
        <w:rPr>
          <w:spacing w:val="-12"/>
        </w:rPr>
        <w:t> </w:t>
      </w:r>
      <w:r>
        <w:rPr/>
        <w:t>20</w:t>
      </w:r>
      <w:r>
        <w:rPr>
          <w:spacing w:val="-9"/>
        </w:rPr>
        <w:t> </w:t>
      </w:r>
      <w:r>
        <w:rPr/>
        <w:t>servicios</w:t>
      </w:r>
      <w:r>
        <w:rPr>
          <w:spacing w:val="-11"/>
        </w:rPr>
        <w:t> </w:t>
      </w:r>
      <w:r>
        <w:rPr/>
        <w:t>con</w:t>
      </w:r>
      <w:r>
        <w:rPr>
          <w:spacing w:val="-12"/>
        </w:rPr>
        <w:t> </w:t>
      </w:r>
      <w:r>
        <w:rPr/>
        <w:t>protocolos,</w:t>
      </w:r>
      <w:r>
        <w:rPr>
          <w:spacing w:val="-11"/>
        </w:rPr>
        <w:t> </w:t>
      </w:r>
      <w:r>
        <w:rPr/>
        <w:t>lo</w:t>
      </w:r>
      <w:r>
        <w:rPr>
          <w:spacing w:val="-11"/>
        </w:rPr>
        <w:t> </w:t>
      </w:r>
      <w:r>
        <w:rPr/>
        <w:t>que</w:t>
      </w:r>
      <w:r>
        <w:rPr>
          <w:spacing w:val="-11"/>
        </w:rPr>
        <w:t> </w:t>
      </w:r>
      <w:r>
        <w:rPr/>
        <w:t>representa el</w:t>
      </w:r>
      <w:r>
        <w:rPr>
          <w:spacing w:val="-17"/>
        </w:rPr>
        <w:t> </w:t>
      </w:r>
      <w:r>
        <w:rPr/>
        <w:t>38.5%,</w:t>
      </w:r>
      <w:r>
        <w:rPr>
          <w:spacing w:val="-17"/>
        </w:rPr>
        <w:t> </w:t>
      </w:r>
      <w:r>
        <w:rPr/>
        <w:t>siendo</w:t>
      </w:r>
      <w:r>
        <w:rPr>
          <w:spacing w:val="-16"/>
        </w:rPr>
        <w:t> </w:t>
      </w:r>
      <w:r>
        <w:rPr/>
        <w:t>esto</w:t>
      </w:r>
      <w:r>
        <w:rPr>
          <w:spacing w:val="-17"/>
        </w:rPr>
        <w:t> </w:t>
      </w:r>
      <w:r>
        <w:rPr/>
        <w:t>solo</w:t>
      </w:r>
      <w:r>
        <w:rPr>
          <w:spacing w:val="-17"/>
        </w:rPr>
        <w:t> </w:t>
      </w:r>
      <w:r>
        <w:rPr/>
        <w:t>3</w:t>
      </w:r>
      <w:r>
        <w:rPr>
          <w:spacing w:val="-17"/>
        </w:rPr>
        <w:t> </w:t>
      </w:r>
      <w:r>
        <w:rPr/>
        <w:t>SS</w:t>
      </w:r>
      <w:r>
        <w:rPr>
          <w:spacing w:val="-16"/>
        </w:rPr>
        <w:t> </w:t>
      </w:r>
      <w:r>
        <w:rPr/>
        <w:t>adicionales</w:t>
      </w:r>
      <w:r>
        <w:rPr>
          <w:spacing w:val="-17"/>
        </w:rPr>
        <w:t> </w:t>
      </w:r>
      <w:r>
        <w:rPr/>
        <w:t>a</w:t>
      </w:r>
      <w:r>
        <w:rPr>
          <w:spacing w:val="-17"/>
        </w:rPr>
        <w:t> </w:t>
      </w:r>
      <w:r>
        <w:rPr/>
        <w:t>los</w:t>
      </w:r>
      <w:r>
        <w:rPr>
          <w:spacing w:val="-16"/>
        </w:rPr>
        <w:t> </w:t>
      </w:r>
      <w:r>
        <w:rPr/>
        <w:t>registrados</w:t>
      </w:r>
      <w:r>
        <w:rPr>
          <w:spacing w:val="-17"/>
        </w:rPr>
        <w:t> </w:t>
      </w:r>
      <w:r>
        <w:rPr/>
        <w:t>el</w:t>
      </w:r>
      <w:r>
        <w:rPr>
          <w:spacing w:val="-16"/>
        </w:rPr>
        <w:t> </w:t>
      </w:r>
      <w:r>
        <w:rPr/>
        <w:t>año</w:t>
      </w:r>
      <w:r>
        <w:rPr>
          <w:spacing w:val="-16"/>
        </w:rPr>
        <w:t> </w:t>
      </w:r>
      <w:r>
        <w:rPr/>
        <w:t>anterior.</w:t>
      </w:r>
      <w:r>
        <w:rPr>
          <w:spacing w:val="-16"/>
        </w:rPr>
        <w:t> </w:t>
      </w:r>
      <w:r>
        <w:rPr/>
        <w:t>Esta situación limita el seguimiento y la evaluación que se pueden realizar a la totalidad de servicios establecidos en esta política</w:t>
      </w:r>
      <w:hyperlink w:history="true" w:anchor="_bookmark22">
        <w:r>
          <w:rPr>
            <w:position w:val="9"/>
            <w:sz w:val="16"/>
          </w:rPr>
          <w:t>8</w:t>
        </w:r>
        <w:r>
          <w:rPr/>
          <w:t>.</w:t>
        </w:r>
      </w:hyperlink>
    </w:p>
    <w:p>
      <w:pPr>
        <w:pStyle w:val="BodyText"/>
        <w:rPr>
          <w:sz w:val="20"/>
        </w:rPr>
      </w:pPr>
    </w:p>
    <w:p>
      <w:pPr>
        <w:pStyle w:val="BodyText"/>
        <w:rPr>
          <w:sz w:val="20"/>
        </w:rPr>
      </w:pPr>
    </w:p>
    <w:p>
      <w:pPr>
        <w:pStyle w:val="BodyText"/>
        <w:spacing w:before="78"/>
        <w:rPr>
          <w:sz w:val="20"/>
        </w:rPr>
      </w:pPr>
      <w:r>
        <w:rPr>
          <w:sz w:val="20"/>
        </w:rPr>
        <mc:AlternateContent>
          <mc:Choice Requires="wps">
            <w:drawing>
              <wp:anchor distT="0" distB="0" distL="0" distR="0" allowOverlap="1" layoutInCell="1" locked="0" behindDoc="1" simplePos="0" relativeHeight="487597568">
                <wp:simplePos x="0" y="0"/>
                <wp:positionH relativeFrom="page">
                  <wp:posOffset>1080820</wp:posOffset>
                </wp:positionH>
                <wp:positionV relativeFrom="paragraph">
                  <wp:posOffset>211394</wp:posOffset>
                </wp:positionV>
                <wp:extent cx="1829435" cy="9525"/>
                <wp:effectExtent l="0" t="0" r="0" b="0"/>
                <wp:wrapTopAndBottom/>
                <wp:docPr id="539" name="Graphic 539"/>
                <wp:cNvGraphicFramePr>
                  <a:graphicFrameLocks/>
                </wp:cNvGraphicFramePr>
                <a:graphic>
                  <a:graphicData uri="http://schemas.microsoft.com/office/word/2010/wordprocessingShape">
                    <wps:wsp>
                      <wps:cNvPr id="539" name="Graphic 539"/>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16.645197pt;width:144.020pt;height:.71997pt;mso-position-horizontal-relative:page;mso-position-vertical-relative:paragraph;z-index:-15718912;mso-wrap-distance-left:0;mso-wrap-distance-right:0" id="docshape523" filled="true" fillcolor="#000000" stroked="false">
                <v:fill type="solid"/>
                <w10:wrap type="topAndBottom"/>
              </v:rect>
            </w:pict>
          </mc:Fallback>
        </mc:AlternateContent>
      </w:r>
    </w:p>
    <w:p>
      <w:pPr>
        <w:spacing w:before="100"/>
        <w:ind w:left="143" w:right="710" w:firstLine="0"/>
        <w:jc w:val="left"/>
        <w:rPr>
          <w:rFonts w:ascii="Calibri" w:hAnsi="Calibri"/>
          <w:sz w:val="20"/>
        </w:rPr>
      </w:pPr>
      <w:bookmarkStart w:name="_bookmark22" w:id="23"/>
      <w:bookmarkEnd w:id="23"/>
      <w:r>
        <w:rPr/>
      </w:r>
      <w:r>
        <w:rPr>
          <w:rFonts w:ascii="Calibri" w:hAnsi="Calibri"/>
          <w:position w:val="5"/>
          <w:sz w:val="12"/>
        </w:rPr>
        <w:t>8</w:t>
      </w:r>
      <w:r>
        <w:rPr>
          <w:rFonts w:ascii="Calibri" w:hAnsi="Calibri"/>
          <w:spacing w:val="15"/>
          <w:position w:val="5"/>
          <w:sz w:val="12"/>
        </w:rPr>
        <w:t> </w:t>
      </w:r>
      <w:r>
        <w:rPr>
          <w:rFonts w:ascii="Calibri" w:hAnsi="Calibri"/>
          <w:sz w:val="20"/>
        </w:rPr>
        <w:t>Mediante correo electrónico de fecha 25 de enero de 2024, la DPIGND remitió el estado situacional de la aprobación de los protocolos al cierre del 2023.</w:t>
      </w:r>
    </w:p>
    <w:p>
      <w:pPr>
        <w:spacing w:after="0"/>
        <w:jc w:val="left"/>
        <w:rPr>
          <w:rFonts w:ascii="Calibri" w:hAnsi="Calibri"/>
          <w:sz w:val="20"/>
        </w:rPr>
        <w:sectPr>
          <w:pgSz w:w="11910" w:h="16840"/>
          <w:pgMar w:header="713" w:footer="1000" w:top="1420" w:bottom="1200" w:left="1559" w:right="992"/>
        </w:sect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spacing w:before="168"/>
        <w:rPr>
          <w:rFonts w:ascii="Calibri"/>
          <w:sz w:val="20"/>
        </w:rPr>
      </w:pPr>
    </w:p>
    <w:p>
      <w:pPr>
        <w:spacing w:before="0"/>
        <w:ind w:left="51" w:right="615" w:firstLine="0"/>
        <w:jc w:val="center"/>
        <w:rPr>
          <w:rFonts w:ascii="Arial" w:hAnsi="Arial"/>
          <w:i/>
          <w:sz w:val="20"/>
        </w:rPr>
      </w:pPr>
      <w:r>
        <w:rPr>
          <w:rFonts w:ascii="Arial" w:hAnsi="Arial"/>
          <w:i/>
          <w:color w:val="44536A"/>
          <w:spacing w:val="-6"/>
          <w:sz w:val="20"/>
        </w:rPr>
        <w:t>Gráfico</w:t>
      </w:r>
      <w:r>
        <w:rPr>
          <w:rFonts w:ascii="Arial" w:hAnsi="Arial"/>
          <w:i/>
          <w:color w:val="44536A"/>
          <w:spacing w:val="-8"/>
          <w:sz w:val="20"/>
        </w:rPr>
        <w:t> </w:t>
      </w:r>
      <w:r>
        <w:rPr>
          <w:rFonts w:ascii="Arial" w:hAnsi="Arial"/>
          <w:i/>
          <w:color w:val="44536A"/>
          <w:spacing w:val="-6"/>
          <w:sz w:val="20"/>
        </w:rPr>
        <w:t>13.</w:t>
      </w:r>
      <w:r>
        <w:rPr>
          <w:rFonts w:ascii="Arial" w:hAnsi="Arial"/>
          <w:i/>
          <w:color w:val="44536A"/>
          <w:spacing w:val="40"/>
          <w:sz w:val="20"/>
        </w:rPr>
        <w:t> </w:t>
      </w:r>
      <w:r>
        <w:rPr>
          <w:rFonts w:ascii="Arial" w:hAnsi="Arial"/>
          <w:i/>
          <w:color w:val="44536A"/>
          <w:spacing w:val="-6"/>
          <w:sz w:val="20"/>
        </w:rPr>
        <w:t>Estado</w:t>
      </w:r>
      <w:r>
        <w:rPr>
          <w:rFonts w:ascii="Arial" w:hAnsi="Arial"/>
          <w:i/>
          <w:color w:val="44536A"/>
          <w:spacing w:val="-8"/>
          <w:sz w:val="20"/>
        </w:rPr>
        <w:t> </w:t>
      </w:r>
      <w:r>
        <w:rPr>
          <w:rFonts w:ascii="Arial" w:hAnsi="Arial"/>
          <w:i/>
          <w:color w:val="44536A"/>
          <w:spacing w:val="-6"/>
          <w:sz w:val="20"/>
        </w:rPr>
        <w:t>situacional</w:t>
      </w:r>
      <w:r>
        <w:rPr>
          <w:rFonts w:ascii="Arial" w:hAnsi="Arial"/>
          <w:i/>
          <w:color w:val="44536A"/>
          <w:spacing w:val="-7"/>
          <w:sz w:val="20"/>
        </w:rPr>
        <w:t> </w:t>
      </w:r>
      <w:r>
        <w:rPr>
          <w:rFonts w:ascii="Arial" w:hAnsi="Arial"/>
          <w:i/>
          <w:color w:val="44536A"/>
          <w:spacing w:val="-6"/>
          <w:sz w:val="20"/>
        </w:rPr>
        <w:t>de protocolos de</w:t>
      </w:r>
      <w:r>
        <w:rPr>
          <w:rFonts w:ascii="Arial" w:hAnsi="Arial"/>
          <w:i/>
          <w:color w:val="44536A"/>
          <w:spacing w:val="-8"/>
          <w:sz w:val="20"/>
        </w:rPr>
        <w:t> </w:t>
      </w:r>
      <w:r>
        <w:rPr>
          <w:rFonts w:ascii="Arial" w:hAnsi="Arial"/>
          <w:i/>
          <w:color w:val="44536A"/>
          <w:spacing w:val="-6"/>
          <w:sz w:val="20"/>
        </w:rPr>
        <w:t>SS</w:t>
      </w:r>
      <w:r>
        <w:rPr>
          <w:rFonts w:ascii="Arial" w:hAnsi="Arial"/>
          <w:i/>
          <w:color w:val="44536A"/>
          <w:spacing w:val="-8"/>
          <w:sz w:val="20"/>
        </w:rPr>
        <w:t> </w:t>
      </w:r>
      <w:r>
        <w:rPr>
          <w:rFonts w:ascii="Arial" w:hAnsi="Arial"/>
          <w:i/>
          <w:color w:val="44536A"/>
          <w:spacing w:val="-6"/>
          <w:sz w:val="20"/>
        </w:rPr>
        <w:t>de la</w:t>
      </w:r>
      <w:r>
        <w:rPr>
          <w:rFonts w:ascii="Arial" w:hAnsi="Arial"/>
          <w:i/>
          <w:color w:val="44536A"/>
          <w:spacing w:val="-8"/>
          <w:sz w:val="20"/>
        </w:rPr>
        <w:t> </w:t>
      </w:r>
      <w:r>
        <w:rPr>
          <w:rFonts w:ascii="Arial" w:hAnsi="Arial"/>
          <w:i/>
          <w:color w:val="44536A"/>
          <w:spacing w:val="-6"/>
          <w:sz w:val="20"/>
        </w:rPr>
        <w:t>PNIG al</w:t>
      </w:r>
      <w:r>
        <w:rPr>
          <w:rFonts w:ascii="Arial" w:hAnsi="Arial"/>
          <w:i/>
          <w:color w:val="44536A"/>
          <w:spacing w:val="-8"/>
          <w:sz w:val="20"/>
        </w:rPr>
        <w:t> </w:t>
      </w:r>
      <w:r>
        <w:rPr>
          <w:rFonts w:ascii="Arial" w:hAnsi="Arial"/>
          <w:i/>
          <w:color w:val="44536A"/>
          <w:spacing w:val="-6"/>
          <w:sz w:val="20"/>
        </w:rPr>
        <w:t>cierre</w:t>
      </w:r>
      <w:r>
        <w:rPr>
          <w:rFonts w:ascii="Arial" w:hAnsi="Arial"/>
          <w:i/>
          <w:color w:val="44536A"/>
          <w:spacing w:val="-7"/>
          <w:sz w:val="20"/>
        </w:rPr>
        <w:t> </w:t>
      </w:r>
      <w:r>
        <w:rPr>
          <w:rFonts w:ascii="Arial" w:hAnsi="Arial"/>
          <w:i/>
          <w:color w:val="44536A"/>
          <w:spacing w:val="-6"/>
          <w:sz w:val="20"/>
        </w:rPr>
        <w:t>del</w:t>
      </w:r>
      <w:r>
        <w:rPr>
          <w:rFonts w:ascii="Arial" w:hAnsi="Arial"/>
          <w:i/>
          <w:color w:val="44536A"/>
          <w:spacing w:val="-8"/>
          <w:sz w:val="20"/>
        </w:rPr>
        <w:t> </w:t>
      </w:r>
      <w:r>
        <w:rPr>
          <w:rFonts w:ascii="Arial" w:hAnsi="Arial"/>
          <w:i/>
          <w:color w:val="44536A"/>
          <w:spacing w:val="-6"/>
          <w:sz w:val="20"/>
        </w:rPr>
        <w:t>2023</w:t>
      </w:r>
      <w:r>
        <w:rPr>
          <w:rFonts w:ascii="Arial" w:hAnsi="Arial"/>
          <w:i/>
          <w:color w:val="44536A"/>
          <w:spacing w:val="-7"/>
          <w:sz w:val="20"/>
        </w:rPr>
        <w:t> </w:t>
      </w:r>
      <w:r>
        <w:rPr>
          <w:rFonts w:ascii="Arial" w:hAnsi="Arial"/>
          <w:i/>
          <w:color w:val="44536A"/>
          <w:spacing w:val="-6"/>
          <w:sz w:val="20"/>
        </w:rPr>
        <w:t>(%)</w:t>
      </w:r>
    </w:p>
    <w:p>
      <w:pPr>
        <w:pStyle w:val="BodyText"/>
        <w:spacing w:before="9"/>
        <w:rPr>
          <w:rFonts w:ascii="Arial"/>
          <w:i/>
          <w:sz w:val="15"/>
        </w:rPr>
      </w:pPr>
      <w:r>
        <w:rPr>
          <w:rFonts w:ascii="Arial"/>
          <w:i/>
          <w:sz w:val="15"/>
        </w:rPr>
        <mc:AlternateContent>
          <mc:Choice Requires="wps">
            <w:drawing>
              <wp:anchor distT="0" distB="0" distL="0" distR="0" allowOverlap="1" layoutInCell="1" locked="0" behindDoc="1" simplePos="0" relativeHeight="487598080">
                <wp:simplePos x="0" y="0"/>
                <wp:positionH relativeFrom="page">
                  <wp:posOffset>1918017</wp:posOffset>
                </wp:positionH>
                <wp:positionV relativeFrom="paragraph">
                  <wp:posOffset>130827</wp:posOffset>
                </wp:positionV>
                <wp:extent cx="3709670" cy="2185035"/>
                <wp:effectExtent l="0" t="0" r="0" b="0"/>
                <wp:wrapTopAndBottom/>
                <wp:docPr id="540" name="Group 540"/>
                <wp:cNvGraphicFramePr>
                  <a:graphicFrameLocks/>
                </wp:cNvGraphicFramePr>
                <a:graphic>
                  <a:graphicData uri="http://schemas.microsoft.com/office/word/2010/wordprocessingGroup">
                    <wpg:wgp>
                      <wpg:cNvPr id="540" name="Group 540"/>
                      <wpg:cNvGrpSpPr/>
                      <wpg:grpSpPr>
                        <a:xfrm>
                          <a:off x="0" y="0"/>
                          <a:ext cx="3709670" cy="2185035"/>
                          <a:chExt cx="3709670" cy="2185035"/>
                        </a:xfrm>
                      </wpg:grpSpPr>
                      <wps:wsp>
                        <wps:cNvPr id="541" name="Graphic 541"/>
                        <wps:cNvSpPr/>
                        <wps:spPr>
                          <a:xfrm>
                            <a:off x="1400619" y="262318"/>
                            <a:ext cx="1139190" cy="1370330"/>
                          </a:xfrm>
                          <a:custGeom>
                            <a:avLst/>
                            <a:gdLst/>
                            <a:ahLst/>
                            <a:cxnLst/>
                            <a:rect l="l" t="t" r="r" b="b"/>
                            <a:pathLst>
                              <a:path w="1139190" h="1370330">
                                <a:moveTo>
                                  <a:pt x="454151" y="0"/>
                                </a:moveTo>
                                <a:lnTo>
                                  <a:pt x="454151" y="684911"/>
                                </a:lnTo>
                                <a:lnTo>
                                  <a:pt x="0" y="1197610"/>
                                </a:lnTo>
                                <a:lnTo>
                                  <a:pt x="38629" y="1229408"/>
                                </a:lnTo>
                                <a:lnTo>
                                  <a:pt x="79260" y="1258156"/>
                                </a:lnTo>
                                <a:lnTo>
                                  <a:pt x="121707" y="1283785"/>
                                </a:lnTo>
                                <a:lnTo>
                                  <a:pt x="165786" y="1306224"/>
                                </a:lnTo>
                                <a:lnTo>
                                  <a:pt x="211312" y="1325403"/>
                                </a:lnTo>
                                <a:lnTo>
                                  <a:pt x="258098" y="1341253"/>
                                </a:lnTo>
                                <a:lnTo>
                                  <a:pt x="305960" y="1353702"/>
                                </a:lnTo>
                                <a:lnTo>
                                  <a:pt x="354714" y="1362681"/>
                                </a:lnTo>
                                <a:lnTo>
                                  <a:pt x="404172" y="1368120"/>
                                </a:lnTo>
                                <a:lnTo>
                                  <a:pt x="454151" y="1369949"/>
                                </a:lnTo>
                                <a:lnTo>
                                  <a:pt x="503074" y="1368228"/>
                                </a:lnTo>
                                <a:lnTo>
                                  <a:pt x="551068" y="1363146"/>
                                </a:lnTo>
                                <a:lnTo>
                                  <a:pt x="598017" y="1354816"/>
                                </a:lnTo>
                                <a:lnTo>
                                  <a:pt x="643807" y="1343355"/>
                                </a:lnTo>
                                <a:lnTo>
                                  <a:pt x="688320" y="1328880"/>
                                </a:lnTo>
                                <a:lnTo>
                                  <a:pt x="731441" y="1311505"/>
                                </a:lnTo>
                                <a:lnTo>
                                  <a:pt x="773055" y="1291348"/>
                                </a:lnTo>
                                <a:lnTo>
                                  <a:pt x="813044" y="1268523"/>
                                </a:lnTo>
                                <a:lnTo>
                                  <a:pt x="851294" y="1243146"/>
                                </a:lnTo>
                                <a:lnTo>
                                  <a:pt x="887688" y="1215335"/>
                                </a:lnTo>
                                <a:lnTo>
                                  <a:pt x="922110" y="1185203"/>
                                </a:lnTo>
                                <a:lnTo>
                                  <a:pt x="954444" y="1152869"/>
                                </a:lnTo>
                                <a:lnTo>
                                  <a:pt x="984576" y="1118447"/>
                                </a:lnTo>
                                <a:lnTo>
                                  <a:pt x="1012387" y="1082053"/>
                                </a:lnTo>
                                <a:lnTo>
                                  <a:pt x="1037764" y="1043803"/>
                                </a:lnTo>
                                <a:lnTo>
                                  <a:pt x="1060589" y="1003814"/>
                                </a:lnTo>
                                <a:lnTo>
                                  <a:pt x="1080746" y="962200"/>
                                </a:lnTo>
                                <a:lnTo>
                                  <a:pt x="1098121" y="919079"/>
                                </a:lnTo>
                                <a:lnTo>
                                  <a:pt x="1112596" y="874566"/>
                                </a:lnTo>
                                <a:lnTo>
                                  <a:pt x="1124057" y="828776"/>
                                </a:lnTo>
                                <a:lnTo>
                                  <a:pt x="1132387" y="781827"/>
                                </a:lnTo>
                                <a:lnTo>
                                  <a:pt x="1137469" y="733833"/>
                                </a:lnTo>
                                <a:lnTo>
                                  <a:pt x="1139189" y="684911"/>
                                </a:lnTo>
                                <a:lnTo>
                                  <a:pt x="1137469" y="636004"/>
                                </a:lnTo>
                                <a:lnTo>
                                  <a:pt x="1132387" y="588025"/>
                                </a:lnTo>
                                <a:lnTo>
                                  <a:pt x="1124057" y="541088"/>
                                </a:lnTo>
                                <a:lnTo>
                                  <a:pt x="1112596" y="495311"/>
                                </a:lnTo>
                                <a:lnTo>
                                  <a:pt x="1098121" y="450808"/>
                                </a:lnTo>
                                <a:lnTo>
                                  <a:pt x="1080746" y="407696"/>
                                </a:lnTo>
                                <a:lnTo>
                                  <a:pt x="1060589" y="366092"/>
                                </a:lnTo>
                                <a:lnTo>
                                  <a:pt x="1037764" y="326110"/>
                                </a:lnTo>
                                <a:lnTo>
                                  <a:pt x="1012387" y="287867"/>
                                </a:lnTo>
                                <a:lnTo>
                                  <a:pt x="984576" y="251478"/>
                                </a:lnTo>
                                <a:lnTo>
                                  <a:pt x="954444" y="217061"/>
                                </a:lnTo>
                                <a:lnTo>
                                  <a:pt x="922110" y="184731"/>
                                </a:lnTo>
                                <a:lnTo>
                                  <a:pt x="887688" y="154603"/>
                                </a:lnTo>
                                <a:lnTo>
                                  <a:pt x="851294" y="126794"/>
                                </a:lnTo>
                                <a:lnTo>
                                  <a:pt x="813044" y="101420"/>
                                </a:lnTo>
                                <a:lnTo>
                                  <a:pt x="773055" y="78597"/>
                                </a:lnTo>
                                <a:lnTo>
                                  <a:pt x="731441" y="58440"/>
                                </a:lnTo>
                                <a:lnTo>
                                  <a:pt x="688320" y="41067"/>
                                </a:lnTo>
                                <a:lnTo>
                                  <a:pt x="643807" y="26592"/>
                                </a:lnTo>
                                <a:lnTo>
                                  <a:pt x="598017" y="15132"/>
                                </a:lnTo>
                                <a:lnTo>
                                  <a:pt x="551068" y="6802"/>
                                </a:lnTo>
                                <a:lnTo>
                                  <a:pt x="503074" y="1720"/>
                                </a:lnTo>
                                <a:lnTo>
                                  <a:pt x="454151" y="0"/>
                                </a:lnTo>
                                <a:close/>
                              </a:path>
                            </a:pathLst>
                          </a:custGeom>
                          <a:solidFill>
                            <a:srgbClr val="4471C4"/>
                          </a:solidFill>
                        </wps:spPr>
                        <wps:bodyPr wrap="square" lIns="0" tIns="0" rIns="0" bIns="0" rtlCol="0">
                          <a:prstTxWarp prst="textNoShape">
                            <a:avLst/>
                          </a:prstTxWarp>
                          <a:noAutofit/>
                        </wps:bodyPr>
                      </wps:wsp>
                      <wps:wsp>
                        <wps:cNvPr id="542" name="Graphic 542"/>
                        <wps:cNvSpPr/>
                        <wps:spPr>
                          <a:xfrm>
                            <a:off x="1170080" y="262318"/>
                            <a:ext cx="685165" cy="1197610"/>
                          </a:xfrm>
                          <a:custGeom>
                            <a:avLst/>
                            <a:gdLst/>
                            <a:ahLst/>
                            <a:cxnLst/>
                            <a:rect l="l" t="t" r="r" b="b"/>
                            <a:pathLst>
                              <a:path w="685165" h="1197610">
                                <a:moveTo>
                                  <a:pt x="684690" y="0"/>
                                </a:moveTo>
                                <a:lnTo>
                                  <a:pt x="635921" y="1736"/>
                                </a:lnTo>
                                <a:lnTo>
                                  <a:pt x="587702" y="6897"/>
                                </a:lnTo>
                                <a:lnTo>
                                  <a:pt x="540198" y="15410"/>
                                </a:lnTo>
                                <a:lnTo>
                                  <a:pt x="493574" y="27201"/>
                                </a:lnTo>
                                <a:lnTo>
                                  <a:pt x="447995" y="42197"/>
                                </a:lnTo>
                                <a:lnTo>
                                  <a:pt x="403624" y="60325"/>
                                </a:lnTo>
                                <a:lnTo>
                                  <a:pt x="360626" y="81511"/>
                                </a:lnTo>
                                <a:lnTo>
                                  <a:pt x="319166" y="105682"/>
                                </a:lnTo>
                                <a:lnTo>
                                  <a:pt x="279408" y="132766"/>
                                </a:lnTo>
                                <a:lnTo>
                                  <a:pt x="241516" y="162689"/>
                                </a:lnTo>
                                <a:lnTo>
                                  <a:pt x="205656" y="195377"/>
                                </a:lnTo>
                                <a:lnTo>
                                  <a:pt x="171991" y="230759"/>
                                </a:lnTo>
                                <a:lnTo>
                                  <a:pt x="140844" y="268505"/>
                                </a:lnTo>
                                <a:lnTo>
                                  <a:pt x="112829" y="307787"/>
                                </a:lnTo>
                                <a:lnTo>
                                  <a:pt x="87936" y="348442"/>
                                </a:lnTo>
                                <a:lnTo>
                                  <a:pt x="66154" y="390306"/>
                                </a:lnTo>
                                <a:lnTo>
                                  <a:pt x="47475" y="433214"/>
                                </a:lnTo>
                                <a:lnTo>
                                  <a:pt x="31889" y="477003"/>
                                </a:lnTo>
                                <a:lnTo>
                                  <a:pt x="19385" y="521510"/>
                                </a:lnTo>
                                <a:lnTo>
                                  <a:pt x="9954" y="566571"/>
                                </a:lnTo>
                                <a:lnTo>
                                  <a:pt x="3586" y="612022"/>
                                </a:lnTo>
                                <a:lnTo>
                                  <a:pt x="271" y="657699"/>
                                </a:lnTo>
                                <a:lnTo>
                                  <a:pt x="0" y="703439"/>
                                </a:lnTo>
                                <a:lnTo>
                                  <a:pt x="2761" y="749077"/>
                                </a:lnTo>
                                <a:lnTo>
                                  <a:pt x="8547" y="794451"/>
                                </a:lnTo>
                                <a:lnTo>
                                  <a:pt x="17346" y="839396"/>
                                </a:lnTo>
                                <a:lnTo>
                                  <a:pt x="29149" y="883750"/>
                                </a:lnTo>
                                <a:lnTo>
                                  <a:pt x="43947" y="927347"/>
                                </a:lnTo>
                                <a:lnTo>
                                  <a:pt x="61728" y="970024"/>
                                </a:lnTo>
                                <a:lnTo>
                                  <a:pt x="82485" y="1011618"/>
                                </a:lnTo>
                                <a:lnTo>
                                  <a:pt x="106205" y="1051966"/>
                                </a:lnTo>
                                <a:lnTo>
                                  <a:pt x="132881" y="1090902"/>
                                </a:lnTo>
                                <a:lnTo>
                                  <a:pt x="162502" y="1128264"/>
                                </a:lnTo>
                                <a:lnTo>
                                  <a:pt x="195057" y="1163888"/>
                                </a:lnTo>
                                <a:lnTo>
                                  <a:pt x="230538" y="1197610"/>
                                </a:lnTo>
                                <a:lnTo>
                                  <a:pt x="684690" y="684911"/>
                                </a:lnTo>
                                <a:lnTo>
                                  <a:pt x="684690" y="0"/>
                                </a:lnTo>
                                <a:close/>
                              </a:path>
                            </a:pathLst>
                          </a:custGeom>
                          <a:solidFill>
                            <a:srgbClr val="EC7C30"/>
                          </a:solidFill>
                        </wps:spPr>
                        <wps:bodyPr wrap="square" lIns="0" tIns="0" rIns="0" bIns="0" rtlCol="0">
                          <a:prstTxWarp prst="textNoShape">
                            <a:avLst/>
                          </a:prstTxWarp>
                          <a:noAutofit/>
                        </wps:bodyPr>
                      </wps:wsp>
                      <wps:wsp>
                        <wps:cNvPr id="543" name="Graphic 543"/>
                        <wps:cNvSpPr/>
                        <wps:spPr>
                          <a:xfrm>
                            <a:off x="1170080" y="262318"/>
                            <a:ext cx="685165" cy="1197610"/>
                          </a:xfrm>
                          <a:custGeom>
                            <a:avLst/>
                            <a:gdLst/>
                            <a:ahLst/>
                            <a:cxnLst/>
                            <a:rect l="l" t="t" r="r" b="b"/>
                            <a:pathLst>
                              <a:path w="685165" h="1197610">
                                <a:moveTo>
                                  <a:pt x="230538" y="1197610"/>
                                </a:moveTo>
                                <a:lnTo>
                                  <a:pt x="195057" y="1163888"/>
                                </a:lnTo>
                                <a:lnTo>
                                  <a:pt x="162502" y="1128264"/>
                                </a:lnTo>
                                <a:lnTo>
                                  <a:pt x="132881" y="1090902"/>
                                </a:lnTo>
                                <a:lnTo>
                                  <a:pt x="106205" y="1051966"/>
                                </a:lnTo>
                                <a:lnTo>
                                  <a:pt x="82485" y="1011618"/>
                                </a:lnTo>
                                <a:lnTo>
                                  <a:pt x="61728" y="970024"/>
                                </a:lnTo>
                                <a:lnTo>
                                  <a:pt x="43947" y="927347"/>
                                </a:lnTo>
                                <a:lnTo>
                                  <a:pt x="29149" y="883750"/>
                                </a:lnTo>
                                <a:lnTo>
                                  <a:pt x="17346" y="839396"/>
                                </a:lnTo>
                                <a:lnTo>
                                  <a:pt x="8547" y="794451"/>
                                </a:lnTo>
                                <a:lnTo>
                                  <a:pt x="2761" y="749077"/>
                                </a:lnTo>
                                <a:lnTo>
                                  <a:pt x="0" y="703439"/>
                                </a:lnTo>
                                <a:lnTo>
                                  <a:pt x="271" y="657699"/>
                                </a:lnTo>
                                <a:lnTo>
                                  <a:pt x="3586" y="612022"/>
                                </a:lnTo>
                                <a:lnTo>
                                  <a:pt x="9954" y="566571"/>
                                </a:lnTo>
                                <a:lnTo>
                                  <a:pt x="19385" y="521510"/>
                                </a:lnTo>
                                <a:lnTo>
                                  <a:pt x="31889" y="477003"/>
                                </a:lnTo>
                                <a:lnTo>
                                  <a:pt x="47475" y="433214"/>
                                </a:lnTo>
                                <a:lnTo>
                                  <a:pt x="66154" y="390306"/>
                                </a:lnTo>
                                <a:lnTo>
                                  <a:pt x="87936" y="348442"/>
                                </a:lnTo>
                                <a:lnTo>
                                  <a:pt x="112829" y="307787"/>
                                </a:lnTo>
                                <a:lnTo>
                                  <a:pt x="140844" y="268505"/>
                                </a:lnTo>
                                <a:lnTo>
                                  <a:pt x="171991" y="230759"/>
                                </a:lnTo>
                                <a:lnTo>
                                  <a:pt x="205656" y="195377"/>
                                </a:lnTo>
                                <a:lnTo>
                                  <a:pt x="241516" y="162689"/>
                                </a:lnTo>
                                <a:lnTo>
                                  <a:pt x="279408" y="132766"/>
                                </a:lnTo>
                                <a:lnTo>
                                  <a:pt x="319166" y="105682"/>
                                </a:lnTo>
                                <a:lnTo>
                                  <a:pt x="360626" y="81511"/>
                                </a:lnTo>
                                <a:lnTo>
                                  <a:pt x="403624" y="60325"/>
                                </a:lnTo>
                                <a:lnTo>
                                  <a:pt x="447995" y="42197"/>
                                </a:lnTo>
                                <a:lnTo>
                                  <a:pt x="493574" y="27201"/>
                                </a:lnTo>
                                <a:lnTo>
                                  <a:pt x="540198" y="15410"/>
                                </a:lnTo>
                                <a:lnTo>
                                  <a:pt x="587702" y="6897"/>
                                </a:lnTo>
                                <a:lnTo>
                                  <a:pt x="635921" y="1736"/>
                                </a:lnTo>
                                <a:lnTo>
                                  <a:pt x="684690" y="0"/>
                                </a:lnTo>
                                <a:lnTo>
                                  <a:pt x="684690" y="684911"/>
                                </a:lnTo>
                                <a:lnTo>
                                  <a:pt x="230538" y="1197610"/>
                                </a:lnTo>
                                <a:close/>
                              </a:path>
                            </a:pathLst>
                          </a:custGeom>
                          <a:ln w="19050">
                            <a:solidFill>
                              <a:srgbClr val="FFFFFF"/>
                            </a:solidFill>
                            <a:prstDash val="solid"/>
                          </a:ln>
                        </wps:spPr>
                        <wps:bodyPr wrap="square" lIns="0" tIns="0" rIns="0" bIns="0" rtlCol="0">
                          <a:prstTxWarp prst="textNoShape">
                            <a:avLst/>
                          </a:prstTxWarp>
                          <a:noAutofit/>
                        </wps:bodyPr>
                      </wps:wsp>
                      <wps:wsp>
                        <wps:cNvPr id="544" name="Graphic 544"/>
                        <wps:cNvSpPr/>
                        <wps:spPr>
                          <a:xfrm>
                            <a:off x="497903" y="1965473"/>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4471C4"/>
                          </a:solidFill>
                        </wps:spPr>
                        <wps:bodyPr wrap="square" lIns="0" tIns="0" rIns="0" bIns="0" rtlCol="0">
                          <a:prstTxWarp prst="textNoShape">
                            <a:avLst/>
                          </a:prstTxWarp>
                          <a:noAutofit/>
                        </wps:bodyPr>
                      </wps:wsp>
                      <wps:wsp>
                        <wps:cNvPr id="545" name="Graphic 545"/>
                        <wps:cNvSpPr/>
                        <wps:spPr>
                          <a:xfrm>
                            <a:off x="2010727" y="1965473"/>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EC7C30"/>
                          </a:solidFill>
                        </wps:spPr>
                        <wps:bodyPr wrap="square" lIns="0" tIns="0" rIns="0" bIns="0" rtlCol="0">
                          <a:prstTxWarp prst="textNoShape">
                            <a:avLst/>
                          </a:prstTxWarp>
                          <a:noAutofit/>
                        </wps:bodyPr>
                      </wps:wsp>
                      <wps:wsp>
                        <wps:cNvPr id="546" name="Graphic 546"/>
                        <wps:cNvSpPr/>
                        <wps:spPr>
                          <a:xfrm>
                            <a:off x="4762" y="4762"/>
                            <a:ext cx="3700145" cy="2175510"/>
                          </a:xfrm>
                          <a:custGeom>
                            <a:avLst/>
                            <a:gdLst/>
                            <a:ahLst/>
                            <a:cxnLst/>
                            <a:rect l="l" t="t" r="r" b="b"/>
                            <a:pathLst>
                              <a:path w="3700145" h="2175510">
                                <a:moveTo>
                                  <a:pt x="0" y="2175509"/>
                                </a:moveTo>
                                <a:lnTo>
                                  <a:pt x="3700145" y="2175509"/>
                                </a:lnTo>
                                <a:lnTo>
                                  <a:pt x="3700145" y="0"/>
                                </a:lnTo>
                                <a:lnTo>
                                  <a:pt x="0" y="0"/>
                                </a:lnTo>
                                <a:lnTo>
                                  <a:pt x="0" y="2175509"/>
                                </a:lnTo>
                                <a:close/>
                              </a:path>
                            </a:pathLst>
                          </a:custGeom>
                          <a:ln w="9525">
                            <a:solidFill>
                              <a:srgbClr val="D9D9D9"/>
                            </a:solidFill>
                            <a:prstDash val="solid"/>
                          </a:ln>
                        </wps:spPr>
                        <wps:bodyPr wrap="square" lIns="0" tIns="0" rIns="0" bIns="0" rtlCol="0">
                          <a:prstTxWarp prst="textNoShape">
                            <a:avLst/>
                          </a:prstTxWarp>
                          <a:noAutofit/>
                        </wps:bodyPr>
                      </wps:wsp>
                      <wps:wsp>
                        <wps:cNvPr id="547" name="Textbox 547"/>
                        <wps:cNvSpPr txBox="1"/>
                        <wps:spPr>
                          <a:xfrm>
                            <a:off x="1372298" y="726757"/>
                            <a:ext cx="300355"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2"/>
                                  <w:sz w:val="18"/>
                                </w:rPr>
                                <w:t>38.5%</w:t>
                              </w:r>
                            </w:p>
                          </w:txbxContent>
                        </wps:txbx>
                        <wps:bodyPr wrap="square" lIns="0" tIns="0" rIns="0" bIns="0" rtlCol="0">
                          <a:noAutofit/>
                        </wps:bodyPr>
                      </wps:wsp>
                      <wps:wsp>
                        <wps:cNvPr id="548" name="Textbox 548"/>
                        <wps:cNvSpPr txBox="1"/>
                        <wps:spPr>
                          <a:xfrm>
                            <a:off x="1949259" y="991933"/>
                            <a:ext cx="300355"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2"/>
                                  <w:sz w:val="18"/>
                                </w:rPr>
                                <w:t>61.5%</w:t>
                              </w:r>
                            </w:p>
                          </w:txbxContent>
                        </wps:txbx>
                        <wps:bodyPr wrap="square" lIns="0" tIns="0" rIns="0" bIns="0" rtlCol="0">
                          <a:noAutofit/>
                        </wps:bodyPr>
                      </wps:wsp>
                      <wps:wsp>
                        <wps:cNvPr id="549" name="Textbox 549"/>
                        <wps:cNvSpPr txBox="1"/>
                        <wps:spPr>
                          <a:xfrm>
                            <a:off x="587692" y="1943798"/>
                            <a:ext cx="122428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No</w:t>
                              </w:r>
                              <w:r>
                                <w:rPr>
                                  <w:rFonts w:ascii="Calibri"/>
                                  <w:color w:val="585858"/>
                                  <w:spacing w:val="-3"/>
                                  <w:sz w:val="18"/>
                                </w:rPr>
                                <w:t> </w:t>
                              </w:r>
                              <w:r>
                                <w:rPr>
                                  <w:rFonts w:ascii="Calibri"/>
                                  <w:color w:val="585858"/>
                                  <w:sz w:val="18"/>
                                </w:rPr>
                                <w:t>cuentan</w:t>
                              </w:r>
                              <w:r>
                                <w:rPr>
                                  <w:rFonts w:ascii="Calibri"/>
                                  <w:color w:val="585858"/>
                                  <w:spacing w:val="-3"/>
                                  <w:sz w:val="18"/>
                                </w:rPr>
                                <w:t> </w:t>
                              </w:r>
                              <w:r>
                                <w:rPr>
                                  <w:rFonts w:ascii="Calibri"/>
                                  <w:color w:val="585858"/>
                                  <w:sz w:val="18"/>
                                </w:rPr>
                                <w:t>con</w:t>
                              </w:r>
                              <w:r>
                                <w:rPr>
                                  <w:rFonts w:ascii="Calibri"/>
                                  <w:color w:val="585858"/>
                                  <w:spacing w:val="-1"/>
                                  <w:sz w:val="18"/>
                                </w:rPr>
                                <w:t> </w:t>
                              </w:r>
                              <w:r>
                                <w:rPr>
                                  <w:rFonts w:ascii="Calibri"/>
                                  <w:color w:val="585858"/>
                                  <w:spacing w:val="-2"/>
                                  <w:sz w:val="18"/>
                                </w:rPr>
                                <w:t>protocolo</w:t>
                              </w:r>
                            </w:p>
                          </w:txbxContent>
                        </wps:txbx>
                        <wps:bodyPr wrap="square" lIns="0" tIns="0" rIns="0" bIns="0" rtlCol="0">
                          <a:noAutofit/>
                        </wps:bodyPr>
                      </wps:wsp>
                      <wps:wsp>
                        <wps:cNvPr id="550" name="Textbox 550"/>
                        <wps:cNvSpPr txBox="1"/>
                        <wps:spPr>
                          <a:xfrm>
                            <a:off x="2100770" y="1943798"/>
                            <a:ext cx="116903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Sí</w:t>
                              </w:r>
                              <w:r>
                                <w:rPr>
                                  <w:rFonts w:ascii="Calibri" w:hAnsi="Calibri"/>
                                  <w:color w:val="585858"/>
                                  <w:spacing w:val="-2"/>
                                  <w:sz w:val="18"/>
                                </w:rPr>
                                <w:t> </w:t>
                              </w:r>
                              <w:r>
                                <w:rPr>
                                  <w:rFonts w:ascii="Calibri" w:hAnsi="Calibri"/>
                                  <w:color w:val="585858"/>
                                  <w:sz w:val="18"/>
                                </w:rPr>
                                <w:t>cuentan</w:t>
                              </w:r>
                              <w:r>
                                <w:rPr>
                                  <w:rFonts w:ascii="Calibri" w:hAnsi="Calibri"/>
                                  <w:color w:val="585858"/>
                                  <w:spacing w:val="-4"/>
                                  <w:sz w:val="18"/>
                                </w:rPr>
                                <w:t> </w:t>
                              </w:r>
                              <w:r>
                                <w:rPr>
                                  <w:rFonts w:ascii="Calibri" w:hAnsi="Calibri"/>
                                  <w:color w:val="585858"/>
                                  <w:sz w:val="18"/>
                                </w:rPr>
                                <w:t>con</w:t>
                              </w:r>
                              <w:r>
                                <w:rPr>
                                  <w:rFonts w:ascii="Calibri" w:hAnsi="Calibri"/>
                                  <w:color w:val="585858"/>
                                  <w:spacing w:val="-1"/>
                                  <w:sz w:val="18"/>
                                </w:rPr>
                                <w:t> </w:t>
                              </w:r>
                              <w:r>
                                <w:rPr>
                                  <w:rFonts w:ascii="Calibri" w:hAnsi="Calibri"/>
                                  <w:color w:val="585858"/>
                                  <w:spacing w:val="-2"/>
                                  <w:sz w:val="18"/>
                                </w:rPr>
                                <w:t>protocolo</w:t>
                              </w:r>
                            </w:p>
                          </w:txbxContent>
                        </wps:txbx>
                        <wps:bodyPr wrap="square" lIns="0" tIns="0" rIns="0" bIns="0" rtlCol="0">
                          <a:noAutofit/>
                        </wps:bodyPr>
                      </wps:wsp>
                    </wpg:wgp>
                  </a:graphicData>
                </a:graphic>
              </wp:anchor>
            </w:drawing>
          </mc:Choice>
          <mc:Fallback>
            <w:pict>
              <v:group style="position:absolute;margin-left:151.024994pt;margin-top:10.301387pt;width:292.1pt;height:172.05pt;mso-position-horizontal-relative:page;mso-position-vertical-relative:paragraph;z-index:-15718400;mso-wrap-distance-left:0;mso-wrap-distance-right:0" id="docshapegroup524" coordorigin="3020,206" coordsize="5842,3441">
                <v:shape style="position:absolute;left:5226;top:619;width:1794;height:2158" id="docshape525" coordorigin="5226,619" coordsize="1794,2158" path="m5941,619l5941,1698,5226,2505,5287,2555,5351,2600,5418,2641,5487,2676,5559,2706,5633,2731,5708,2751,5785,2765,5863,2774,5941,2777,6018,2774,6094,2766,6168,2753,6240,2735,6310,2712,6378,2684,6444,2653,6507,2617,6567,2577,6624,2533,6678,2486,6729,2435,6777,2380,6821,2323,6860,2263,6896,2200,6928,2134,6956,2066,6978,1996,6996,1924,7009,1850,7017,1775,7020,1698,7017,1621,7009,1545,6996,1471,6978,1399,6956,1329,6928,1261,6896,1196,6860,1133,6821,1072,6777,1015,6729,961,6678,910,6624,863,6567,819,6507,779,6444,743,6378,711,6310,684,6240,661,6168,643,6094,630,6018,622,5941,619xe" filled="true" fillcolor="#4471c4" stroked="false">
                  <v:path arrowok="t"/>
                  <v:fill type="solid"/>
                </v:shape>
                <v:shape style="position:absolute;left:4863;top:619;width:1079;height:1886" id="docshape526" coordorigin="4863,619" coordsize="1079,1886" path="m5941,619l5865,622,5789,630,5714,643,5640,662,5569,686,5499,714,5431,747,5366,786,5303,828,5243,875,5187,927,5134,983,5085,1042,5041,1104,5002,1168,4967,1234,4938,1301,4913,1370,4894,1440,4879,1511,4869,1583,4864,1655,4863,1727,4867,1799,4877,1870,4890,1941,4909,2011,4932,2080,4960,2147,4993,2212,5030,2276,5072,2337,5119,2396,5170,2452,5226,2505,5941,1698,5941,619xe" filled="true" fillcolor="#ec7c30" stroked="false">
                  <v:path arrowok="t"/>
                  <v:fill type="solid"/>
                </v:shape>
                <v:shape style="position:absolute;left:4863;top:619;width:1079;height:1886" id="docshape527" coordorigin="4863,619" coordsize="1079,1886" path="m5226,2505l5170,2452,5119,2396,5072,2337,5030,2276,4993,2212,4960,2147,4932,2080,4909,2011,4890,1941,4877,1870,4867,1799,4863,1727,4864,1655,4869,1583,4879,1511,4894,1440,4913,1370,4938,1301,4967,1234,5002,1168,5041,1104,5085,1042,5134,983,5187,927,5243,875,5303,828,5366,786,5431,747,5499,714,5569,686,5640,662,5714,643,5789,630,5865,622,5941,619,5941,1698,5226,2505xe" filled="false" stroked="true" strokeweight="1.5pt" strokecolor="#ffffff">
                  <v:path arrowok="t"/>
                  <v:stroke dashstyle="solid"/>
                </v:shape>
                <v:rect style="position:absolute;left:3804;top:3301;width:99;height:99" id="docshape528" filled="true" fillcolor="#4471c4" stroked="false">
                  <v:fill type="solid"/>
                </v:rect>
                <v:rect style="position:absolute;left:6187;top:3301;width:99;height:99" id="docshape529" filled="true" fillcolor="#ec7c30" stroked="false">
                  <v:fill type="solid"/>
                </v:rect>
                <v:rect style="position:absolute;left:3028;top:213;width:5827;height:3426" id="docshape530" filled="false" stroked="true" strokeweight=".75pt" strokecolor="#d9d9d9">
                  <v:stroke dashstyle="solid"/>
                </v:rect>
                <v:shape style="position:absolute;left:5181;top:1350;width:473;height:180" type="#_x0000_t202" id="docshape531" filled="false" stroked="false">
                  <v:textbox inset="0,0,0,0">
                    <w:txbxContent>
                      <w:p>
                        <w:pPr>
                          <w:spacing w:line="180" w:lineRule="exact" w:before="0"/>
                          <w:ind w:left="0" w:right="0" w:firstLine="0"/>
                          <w:jc w:val="left"/>
                          <w:rPr>
                            <w:rFonts w:ascii="Calibri"/>
                            <w:b/>
                            <w:sz w:val="18"/>
                          </w:rPr>
                        </w:pPr>
                        <w:r>
                          <w:rPr>
                            <w:rFonts w:ascii="Calibri"/>
                            <w:b/>
                            <w:color w:val="FFFFFF"/>
                            <w:spacing w:val="-2"/>
                            <w:sz w:val="18"/>
                          </w:rPr>
                          <w:t>38.5%</w:t>
                        </w:r>
                      </w:p>
                    </w:txbxContent>
                  </v:textbox>
                  <w10:wrap type="none"/>
                </v:shape>
                <v:shape style="position:absolute;left:6090;top:1768;width:473;height:180" type="#_x0000_t202" id="docshape532" filled="false" stroked="false">
                  <v:textbox inset="0,0,0,0">
                    <w:txbxContent>
                      <w:p>
                        <w:pPr>
                          <w:spacing w:line="180" w:lineRule="exact" w:before="0"/>
                          <w:ind w:left="0" w:right="0" w:firstLine="0"/>
                          <w:jc w:val="left"/>
                          <w:rPr>
                            <w:rFonts w:ascii="Calibri"/>
                            <w:b/>
                            <w:sz w:val="18"/>
                          </w:rPr>
                        </w:pPr>
                        <w:r>
                          <w:rPr>
                            <w:rFonts w:ascii="Calibri"/>
                            <w:b/>
                            <w:color w:val="FFFFFF"/>
                            <w:spacing w:val="-2"/>
                            <w:sz w:val="18"/>
                          </w:rPr>
                          <w:t>61.5%</w:t>
                        </w:r>
                      </w:p>
                    </w:txbxContent>
                  </v:textbox>
                  <w10:wrap type="none"/>
                </v:shape>
                <v:shape style="position:absolute;left:3946;top:3267;width:1928;height:180" type="#_x0000_t202" id="docshape533" filled="false" stroked="false">
                  <v:textbox inset="0,0,0,0">
                    <w:txbxContent>
                      <w:p>
                        <w:pPr>
                          <w:spacing w:line="180" w:lineRule="exact" w:before="0"/>
                          <w:ind w:left="0" w:right="0" w:firstLine="0"/>
                          <w:jc w:val="left"/>
                          <w:rPr>
                            <w:rFonts w:ascii="Calibri"/>
                            <w:sz w:val="18"/>
                          </w:rPr>
                        </w:pPr>
                        <w:r>
                          <w:rPr>
                            <w:rFonts w:ascii="Calibri"/>
                            <w:color w:val="585858"/>
                            <w:sz w:val="18"/>
                          </w:rPr>
                          <w:t>No</w:t>
                        </w:r>
                        <w:r>
                          <w:rPr>
                            <w:rFonts w:ascii="Calibri"/>
                            <w:color w:val="585858"/>
                            <w:spacing w:val="-3"/>
                            <w:sz w:val="18"/>
                          </w:rPr>
                          <w:t> </w:t>
                        </w:r>
                        <w:r>
                          <w:rPr>
                            <w:rFonts w:ascii="Calibri"/>
                            <w:color w:val="585858"/>
                            <w:sz w:val="18"/>
                          </w:rPr>
                          <w:t>cuentan</w:t>
                        </w:r>
                        <w:r>
                          <w:rPr>
                            <w:rFonts w:ascii="Calibri"/>
                            <w:color w:val="585858"/>
                            <w:spacing w:val="-3"/>
                            <w:sz w:val="18"/>
                          </w:rPr>
                          <w:t> </w:t>
                        </w:r>
                        <w:r>
                          <w:rPr>
                            <w:rFonts w:ascii="Calibri"/>
                            <w:color w:val="585858"/>
                            <w:sz w:val="18"/>
                          </w:rPr>
                          <w:t>con</w:t>
                        </w:r>
                        <w:r>
                          <w:rPr>
                            <w:rFonts w:ascii="Calibri"/>
                            <w:color w:val="585858"/>
                            <w:spacing w:val="-1"/>
                            <w:sz w:val="18"/>
                          </w:rPr>
                          <w:t> </w:t>
                        </w:r>
                        <w:r>
                          <w:rPr>
                            <w:rFonts w:ascii="Calibri"/>
                            <w:color w:val="585858"/>
                            <w:spacing w:val="-2"/>
                            <w:sz w:val="18"/>
                          </w:rPr>
                          <w:t>protocolo</w:t>
                        </w:r>
                      </w:p>
                    </w:txbxContent>
                  </v:textbox>
                  <w10:wrap type="none"/>
                </v:shape>
                <v:shape style="position:absolute;left:6328;top:3267;width:1841;height:180" type="#_x0000_t202" id="docshape534"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Sí</w:t>
                        </w:r>
                        <w:r>
                          <w:rPr>
                            <w:rFonts w:ascii="Calibri" w:hAnsi="Calibri"/>
                            <w:color w:val="585858"/>
                            <w:spacing w:val="-2"/>
                            <w:sz w:val="18"/>
                          </w:rPr>
                          <w:t> </w:t>
                        </w:r>
                        <w:r>
                          <w:rPr>
                            <w:rFonts w:ascii="Calibri" w:hAnsi="Calibri"/>
                            <w:color w:val="585858"/>
                            <w:sz w:val="18"/>
                          </w:rPr>
                          <w:t>cuentan</w:t>
                        </w:r>
                        <w:r>
                          <w:rPr>
                            <w:rFonts w:ascii="Calibri" w:hAnsi="Calibri"/>
                            <w:color w:val="585858"/>
                            <w:spacing w:val="-4"/>
                            <w:sz w:val="18"/>
                          </w:rPr>
                          <w:t> </w:t>
                        </w:r>
                        <w:r>
                          <w:rPr>
                            <w:rFonts w:ascii="Calibri" w:hAnsi="Calibri"/>
                            <w:color w:val="585858"/>
                            <w:sz w:val="18"/>
                          </w:rPr>
                          <w:t>con</w:t>
                        </w:r>
                        <w:r>
                          <w:rPr>
                            <w:rFonts w:ascii="Calibri" w:hAnsi="Calibri"/>
                            <w:color w:val="585858"/>
                            <w:spacing w:val="-1"/>
                            <w:sz w:val="18"/>
                          </w:rPr>
                          <w:t> </w:t>
                        </w:r>
                        <w:r>
                          <w:rPr>
                            <w:rFonts w:ascii="Calibri" w:hAnsi="Calibri"/>
                            <w:color w:val="585858"/>
                            <w:spacing w:val="-2"/>
                            <w:sz w:val="18"/>
                          </w:rPr>
                          <w:t>protocolo</w:t>
                        </w:r>
                      </w:p>
                    </w:txbxContent>
                  </v:textbox>
                  <w10:wrap type="none"/>
                </v:shape>
                <w10:wrap type="topAndBottom"/>
              </v:group>
            </w:pict>
          </mc:Fallback>
        </mc:AlternateContent>
      </w:r>
    </w:p>
    <w:p>
      <w:pPr>
        <w:spacing w:before="40"/>
        <w:ind w:left="5" w:right="615" w:firstLine="0"/>
        <w:jc w:val="center"/>
        <w:rPr>
          <w:sz w:val="18"/>
        </w:rPr>
      </w:pPr>
      <w:r>
        <w:rPr>
          <w:sz w:val="18"/>
        </w:rPr>
        <w:t>Elaboración</w:t>
      </w:r>
      <w:r>
        <w:rPr>
          <w:spacing w:val="-10"/>
          <w:sz w:val="18"/>
        </w:rPr>
        <w:t> </w:t>
      </w:r>
      <w:r>
        <w:rPr>
          <w:spacing w:val="-2"/>
          <w:sz w:val="18"/>
        </w:rPr>
        <w:t>propia.</w:t>
      </w:r>
    </w:p>
    <w:p>
      <w:pPr>
        <w:pStyle w:val="BodyText"/>
        <w:spacing w:before="36"/>
        <w:rPr>
          <w:sz w:val="18"/>
        </w:rPr>
      </w:pPr>
    </w:p>
    <w:p>
      <w:pPr>
        <w:pStyle w:val="BodyText"/>
        <w:spacing w:line="307" w:lineRule="auto"/>
        <w:ind w:left="143" w:right="706"/>
        <w:jc w:val="both"/>
      </w:pPr>
      <w:r>
        <w:rPr/>
        <w:t>A nivel desagregado por OP se observa que de los 7 servicios que contribuyen al OP.02 ninguno cuenta con un protocolo, dificultando evidenciar cómo, desde la provisión de sus servicios, se generan cambios que aportan a la solución del problema público de la PNIG, dado que no incorporan en su desarrollo los enfoques de género e interseccionalidad (aspecto que se incorpora en el proceso de elaboración de protocolos).</w:t>
      </w:r>
    </w:p>
    <w:p>
      <w:pPr>
        <w:spacing w:before="156"/>
        <w:ind w:left="204" w:right="772" w:firstLine="0"/>
        <w:jc w:val="center"/>
        <w:rPr>
          <w:rFonts w:ascii="Arial" w:hAnsi="Arial"/>
          <w:i/>
          <w:sz w:val="20"/>
        </w:rPr>
      </w:pPr>
      <w:r>
        <w:rPr>
          <w:rFonts w:ascii="Arial" w:hAnsi="Arial"/>
          <w:i/>
          <w:color w:val="44536A"/>
          <w:spacing w:val="-6"/>
          <w:sz w:val="20"/>
        </w:rPr>
        <w:t>Gráfico</w:t>
      </w:r>
      <w:r>
        <w:rPr>
          <w:rFonts w:ascii="Arial" w:hAnsi="Arial"/>
          <w:i/>
          <w:color w:val="44536A"/>
          <w:spacing w:val="-8"/>
          <w:sz w:val="20"/>
        </w:rPr>
        <w:t> </w:t>
      </w:r>
      <w:r>
        <w:rPr>
          <w:rFonts w:ascii="Arial" w:hAnsi="Arial"/>
          <w:i/>
          <w:color w:val="44536A"/>
          <w:spacing w:val="-6"/>
          <w:sz w:val="20"/>
        </w:rPr>
        <w:t>14.</w:t>
      </w:r>
      <w:r>
        <w:rPr>
          <w:rFonts w:ascii="Arial" w:hAnsi="Arial"/>
          <w:i/>
          <w:color w:val="44536A"/>
          <w:spacing w:val="38"/>
          <w:sz w:val="20"/>
        </w:rPr>
        <w:t> </w:t>
      </w:r>
      <w:r>
        <w:rPr>
          <w:rFonts w:ascii="Arial" w:hAnsi="Arial"/>
          <w:i/>
          <w:color w:val="44536A"/>
          <w:spacing w:val="-6"/>
          <w:sz w:val="20"/>
        </w:rPr>
        <w:t>Estado</w:t>
      </w:r>
      <w:r>
        <w:rPr>
          <w:rFonts w:ascii="Arial" w:hAnsi="Arial"/>
          <w:i/>
          <w:color w:val="44536A"/>
          <w:spacing w:val="-8"/>
          <w:sz w:val="20"/>
        </w:rPr>
        <w:t> </w:t>
      </w:r>
      <w:r>
        <w:rPr>
          <w:rFonts w:ascii="Arial" w:hAnsi="Arial"/>
          <w:i/>
          <w:color w:val="44536A"/>
          <w:spacing w:val="-6"/>
          <w:sz w:val="20"/>
        </w:rPr>
        <w:t>situacional</w:t>
      </w:r>
      <w:r>
        <w:rPr>
          <w:rFonts w:ascii="Arial" w:hAnsi="Arial"/>
          <w:i/>
          <w:color w:val="44536A"/>
          <w:spacing w:val="-8"/>
          <w:sz w:val="20"/>
        </w:rPr>
        <w:t> </w:t>
      </w:r>
      <w:r>
        <w:rPr>
          <w:rFonts w:ascii="Arial" w:hAnsi="Arial"/>
          <w:i/>
          <w:color w:val="44536A"/>
          <w:spacing w:val="-6"/>
          <w:sz w:val="20"/>
        </w:rPr>
        <w:t>de protocolos de</w:t>
      </w:r>
      <w:r>
        <w:rPr>
          <w:rFonts w:ascii="Arial" w:hAnsi="Arial"/>
          <w:i/>
          <w:color w:val="44536A"/>
          <w:spacing w:val="-8"/>
          <w:sz w:val="20"/>
        </w:rPr>
        <w:t> </w:t>
      </w:r>
      <w:r>
        <w:rPr>
          <w:rFonts w:ascii="Arial" w:hAnsi="Arial"/>
          <w:i/>
          <w:color w:val="44536A"/>
          <w:spacing w:val="-6"/>
          <w:sz w:val="20"/>
        </w:rPr>
        <w:t>SS</w:t>
      </w:r>
      <w:r>
        <w:rPr>
          <w:rFonts w:ascii="Arial" w:hAnsi="Arial"/>
          <w:i/>
          <w:color w:val="44536A"/>
          <w:spacing w:val="-8"/>
          <w:sz w:val="20"/>
        </w:rPr>
        <w:t> </w:t>
      </w:r>
      <w:r>
        <w:rPr>
          <w:rFonts w:ascii="Arial" w:hAnsi="Arial"/>
          <w:i/>
          <w:color w:val="44536A"/>
          <w:spacing w:val="-6"/>
          <w:sz w:val="20"/>
        </w:rPr>
        <w:t>de la</w:t>
      </w:r>
      <w:r>
        <w:rPr>
          <w:rFonts w:ascii="Arial" w:hAnsi="Arial"/>
          <w:i/>
          <w:color w:val="44536A"/>
          <w:spacing w:val="-8"/>
          <w:sz w:val="20"/>
        </w:rPr>
        <w:t> </w:t>
      </w:r>
      <w:r>
        <w:rPr>
          <w:rFonts w:ascii="Arial" w:hAnsi="Arial"/>
          <w:i/>
          <w:color w:val="44536A"/>
          <w:spacing w:val="-6"/>
          <w:sz w:val="20"/>
        </w:rPr>
        <w:t>PNIG</w:t>
      </w:r>
      <w:r>
        <w:rPr>
          <w:rFonts w:ascii="Arial" w:hAnsi="Arial"/>
          <w:i/>
          <w:color w:val="44536A"/>
          <w:spacing w:val="-7"/>
          <w:sz w:val="20"/>
        </w:rPr>
        <w:t> </w:t>
      </w:r>
      <w:r>
        <w:rPr>
          <w:rFonts w:ascii="Arial" w:hAnsi="Arial"/>
          <w:i/>
          <w:color w:val="44536A"/>
          <w:spacing w:val="-6"/>
          <w:sz w:val="20"/>
        </w:rPr>
        <w:t>al</w:t>
      </w:r>
      <w:r>
        <w:rPr>
          <w:rFonts w:ascii="Arial" w:hAnsi="Arial"/>
          <w:i/>
          <w:color w:val="44536A"/>
          <w:spacing w:val="-8"/>
          <w:sz w:val="20"/>
        </w:rPr>
        <w:t> </w:t>
      </w:r>
      <w:r>
        <w:rPr>
          <w:rFonts w:ascii="Arial" w:hAnsi="Arial"/>
          <w:i/>
          <w:color w:val="44536A"/>
          <w:spacing w:val="-6"/>
          <w:sz w:val="20"/>
        </w:rPr>
        <w:t>cierre</w:t>
      </w:r>
      <w:r>
        <w:rPr>
          <w:rFonts w:ascii="Arial" w:hAnsi="Arial"/>
          <w:i/>
          <w:color w:val="44536A"/>
          <w:spacing w:val="-7"/>
          <w:sz w:val="20"/>
        </w:rPr>
        <w:t> </w:t>
      </w:r>
      <w:r>
        <w:rPr>
          <w:rFonts w:ascii="Arial" w:hAnsi="Arial"/>
          <w:i/>
          <w:color w:val="44536A"/>
          <w:spacing w:val="-6"/>
          <w:sz w:val="20"/>
        </w:rPr>
        <w:t>del</w:t>
      </w:r>
      <w:r>
        <w:rPr>
          <w:rFonts w:ascii="Arial" w:hAnsi="Arial"/>
          <w:i/>
          <w:color w:val="44536A"/>
          <w:spacing w:val="-8"/>
          <w:sz w:val="20"/>
        </w:rPr>
        <w:t> </w:t>
      </w:r>
      <w:r>
        <w:rPr>
          <w:rFonts w:ascii="Arial" w:hAnsi="Arial"/>
          <w:i/>
          <w:color w:val="44536A"/>
          <w:spacing w:val="-6"/>
          <w:sz w:val="20"/>
        </w:rPr>
        <w:t>2023,</w:t>
      </w:r>
      <w:r>
        <w:rPr>
          <w:rFonts w:ascii="Arial" w:hAnsi="Arial"/>
          <w:i/>
          <w:color w:val="44536A"/>
          <w:spacing w:val="-8"/>
          <w:sz w:val="20"/>
        </w:rPr>
        <w:t> </w:t>
      </w:r>
      <w:r>
        <w:rPr>
          <w:rFonts w:ascii="Arial" w:hAnsi="Arial"/>
          <w:i/>
          <w:color w:val="44536A"/>
          <w:spacing w:val="-6"/>
          <w:sz w:val="20"/>
        </w:rPr>
        <w:t>por</w:t>
      </w:r>
      <w:r>
        <w:rPr>
          <w:rFonts w:ascii="Arial" w:hAnsi="Arial"/>
          <w:i/>
          <w:color w:val="44536A"/>
          <w:spacing w:val="-8"/>
          <w:sz w:val="20"/>
        </w:rPr>
        <w:t> </w:t>
      </w:r>
      <w:r>
        <w:rPr>
          <w:rFonts w:ascii="Arial" w:hAnsi="Arial"/>
          <w:i/>
          <w:color w:val="44536A"/>
          <w:spacing w:val="-6"/>
          <w:sz w:val="20"/>
        </w:rPr>
        <w:t>OP</w:t>
      </w:r>
      <w:r>
        <w:rPr>
          <w:rFonts w:ascii="Arial" w:hAnsi="Arial"/>
          <w:i/>
          <w:color w:val="44536A"/>
          <w:spacing w:val="-8"/>
          <w:sz w:val="20"/>
        </w:rPr>
        <w:t> </w:t>
      </w:r>
      <w:r>
        <w:rPr>
          <w:rFonts w:ascii="Arial" w:hAnsi="Arial"/>
          <w:i/>
          <w:color w:val="44536A"/>
          <w:spacing w:val="-6"/>
          <w:sz w:val="20"/>
        </w:rPr>
        <w:t>(%)</w:t>
      </w:r>
    </w:p>
    <w:p>
      <w:pPr>
        <w:pStyle w:val="BodyText"/>
        <w:spacing w:before="7"/>
        <w:rPr>
          <w:rFonts w:ascii="Arial"/>
          <w:i/>
          <w:sz w:val="15"/>
        </w:rPr>
      </w:pPr>
      <w:r>
        <w:rPr>
          <w:rFonts w:ascii="Arial"/>
          <w:i/>
          <w:sz w:val="15"/>
        </w:rPr>
        <mc:AlternateContent>
          <mc:Choice Requires="wps">
            <w:drawing>
              <wp:anchor distT="0" distB="0" distL="0" distR="0" allowOverlap="1" layoutInCell="1" locked="0" behindDoc="1" simplePos="0" relativeHeight="487598592">
                <wp:simplePos x="0" y="0"/>
                <wp:positionH relativeFrom="page">
                  <wp:posOffset>1645348</wp:posOffset>
                </wp:positionH>
                <wp:positionV relativeFrom="paragraph">
                  <wp:posOffset>129638</wp:posOffset>
                </wp:positionV>
                <wp:extent cx="4233545" cy="2811780"/>
                <wp:effectExtent l="0" t="0" r="0" b="0"/>
                <wp:wrapTopAndBottom/>
                <wp:docPr id="551" name="Group 551"/>
                <wp:cNvGraphicFramePr>
                  <a:graphicFrameLocks/>
                </wp:cNvGraphicFramePr>
                <a:graphic>
                  <a:graphicData uri="http://schemas.microsoft.com/office/word/2010/wordprocessingGroup">
                    <wpg:wgp>
                      <wpg:cNvPr id="551" name="Group 551"/>
                      <wpg:cNvGrpSpPr/>
                      <wpg:grpSpPr>
                        <a:xfrm>
                          <a:off x="0" y="0"/>
                          <a:ext cx="4233545" cy="2811780"/>
                          <a:chExt cx="4233545" cy="2811780"/>
                        </a:xfrm>
                      </wpg:grpSpPr>
                      <wps:wsp>
                        <wps:cNvPr id="552" name="Graphic 552"/>
                        <wps:cNvSpPr/>
                        <wps:spPr>
                          <a:xfrm>
                            <a:off x="341947" y="1183576"/>
                            <a:ext cx="3549650" cy="1038225"/>
                          </a:xfrm>
                          <a:custGeom>
                            <a:avLst/>
                            <a:gdLst/>
                            <a:ahLst/>
                            <a:cxnLst/>
                            <a:rect l="l" t="t" r="r" b="b"/>
                            <a:pathLst>
                              <a:path w="3549650" h="1038225">
                                <a:moveTo>
                                  <a:pt x="262128" y="259080"/>
                                </a:moveTo>
                                <a:lnTo>
                                  <a:pt x="0" y="259080"/>
                                </a:lnTo>
                                <a:lnTo>
                                  <a:pt x="0" y="1038225"/>
                                </a:lnTo>
                                <a:lnTo>
                                  <a:pt x="262128" y="1038225"/>
                                </a:lnTo>
                                <a:lnTo>
                                  <a:pt x="262128" y="259080"/>
                                </a:lnTo>
                                <a:close/>
                              </a:path>
                              <a:path w="3549650" h="1038225">
                                <a:moveTo>
                                  <a:pt x="1577340" y="908304"/>
                                </a:moveTo>
                                <a:lnTo>
                                  <a:pt x="1315212" y="908304"/>
                                </a:lnTo>
                                <a:lnTo>
                                  <a:pt x="1315212" y="1038225"/>
                                </a:lnTo>
                                <a:lnTo>
                                  <a:pt x="1577340" y="1038225"/>
                                </a:lnTo>
                                <a:lnTo>
                                  <a:pt x="1577340" y="908304"/>
                                </a:lnTo>
                                <a:close/>
                              </a:path>
                              <a:path w="3549650" h="1038225">
                                <a:moveTo>
                                  <a:pt x="2235708" y="0"/>
                                </a:moveTo>
                                <a:lnTo>
                                  <a:pt x="1972056" y="0"/>
                                </a:lnTo>
                                <a:lnTo>
                                  <a:pt x="1972056" y="1038225"/>
                                </a:lnTo>
                                <a:lnTo>
                                  <a:pt x="2235708" y="1038225"/>
                                </a:lnTo>
                                <a:lnTo>
                                  <a:pt x="2235708" y="0"/>
                                </a:lnTo>
                                <a:close/>
                              </a:path>
                              <a:path w="3549650" h="1038225">
                                <a:moveTo>
                                  <a:pt x="2892552" y="778764"/>
                                </a:moveTo>
                                <a:lnTo>
                                  <a:pt x="2628900" y="778764"/>
                                </a:lnTo>
                                <a:lnTo>
                                  <a:pt x="2628900" y="1038225"/>
                                </a:lnTo>
                                <a:lnTo>
                                  <a:pt x="2892552" y="1038225"/>
                                </a:lnTo>
                                <a:lnTo>
                                  <a:pt x="2892552" y="778764"/>
                                </a:lnTo>
                                <a:close/>
                              </a:path>
                              <a:path w="3549650" h="1038225">
                                <a:moveTo>
                                  <a:pt x="3549396" y="0"/>
                                </a:moveTo>
                                <a:lnTo>
                                  <a:pt x="3287268" y="0"/>
                                </a:lnTo>
                                <a:lnTo>
                                  <a:pt x="3287268" y="1038225"/>
                                </a:lnTo>
                                <a:lnTo>
                                  <a:pt x="3549396" y="1038225"/>
                                </a:lnTo>
                                <a:lnTo>
                                  <a:pt x="3549396" y="0"/>
                                </a:lnTo>
                                <a:close/>
                              </a:path>
                            </a:pathLst>
                          </a:custGeom>
                          <a:solidFill>
                            <a:srgbClr val="4471C4"/>
                          </a:solidFill>
                        </wps:spPr>
                        <wps:bodyPr wrap="square" lIns="0" tIns="0" rIns="0" bIns="0" rtlCol="0">
                          <a:prstTxWarp prst="textNoShape">
                            <a:avLst/>
                          </a:prstTxWarp>
                          <a:noAutofit/>
                        </wps:bodyPr>
                      </wps:wsp>
                      <wps:wsp>
                        <wps:cNvPr id="553" name="Graphic 553"/>
                        <wps:cNvSpPr/>
                        <wps:spPr>
                          <a:xfrm>
                            <a:off x="341947" y="273748"/>
                            <a:ext cx="3549650" cy="1689100"/>
                          </a:xfrm>
                          <a:custGeom>
                            <a:avLst/>
                            <a:gdLst/>
                            <a:ahLst/>
                            <a:cxnLst/>
                            <a:rect l="l" t="t" r="r" b="b"/>
                            <a:pathLst>
                              <a:path w="3549650" h="1689100">
                                <a:moveTo>
                                  <a:pt x="262128" y="0"/>
                                </a:moveTo>
                                <a:lnTo>
                                  <a:pt x="0" y="0"/>
                                </a:lnTo>
                                <a:lnTo>
                                  <a:pt x="0" y="1168908"/>
                                </a:lnTo>
                                <a:lnTo>
                                  <a:pt x="262128" y="1168908"/>
                                </a:lnTo>
                                <a:lnTo>
                                  <a:pt x="262128" y="0"/>
                                </a:lnTo>
                                <a:close/>
                              </a:path>
                              <a:path w="3549650" h="1689100">
                                <a:moveTo>
                                  <a:pt x="2235708" y="260604"/>
                                </a:moveTo>
                                <a:lnTo>
                                  <a:pt x="1972056" y="260604"/>
                                </a:lnTo>
                                <a:lnTo>
                                  <a:pt x="1972056" y="909828"/>
                                </a:lnTo>
                                <a:lnTo>
                                  <a:pt x="2235708" y="909828"/>
                                </a:lnTo>
                                <a:lnTo>
                                  <a:pt x="2235708" y="260604"/>
                                </a:lnTo>
                                <a:close/>
                              </a:path>
                              <a:path w="3549650" h="1689100">
                                <a:moveTo>
                                  <a:pt x="2892552" y="1298448"/>
                                </a:moveTo>
                                <a:lnTo>
                                  <a:pt x="2628900" y="1298448"/>
                                </a:lnTo>
                                <a:lnTo>
                                  <a:pt x="2628900" y="1688592"/>
                                </a:lnTo>
                                <a:lnTo>
                                  <a:pt x="2892552" y="1688592"/>
                                </a:lnTo>
                                <a:lnTo>
                                  <a:pt x="2892552" y="1298448"/>
                                </a:lnTo>
                                <a:close/>
                              </a:path>
                              <a:path w="3549650" h="1689100">
                                <a:moveTo>
                                  <a:pt x="3549396" y="649224"/>
                                </a:moveTo>
                                <a:lnTo>
                                  <a:pt x="3287268" y="649224"/>
                                </a:lnTo>
                                <a:lnTo>
                                  <a:pt x="3287268" y="909828"/>
                                </a:lnTo>
                                <a:lnTo>
                                  <a:pt x="3549396" y="909828"/>
                                </a:lnTo>
                                <a:lnTo>
                                  <a:pt x="3549396" y="649224"/>
                                </a:lnTo>
                                <a:close/>
                              </a:path>
                            </a:pathLst>
                          </a:custGeom>
                          <a:solidFill>
                            <a:srgbClr val="EC7C30"/>
                          </a:solidFill>
                        </wps:spPr>
                        <wps:bodyPr wrap="square" lIns="0" tIns="0" rIns="0" bIns="0" rtlCol="0">
                          <a:prstTxWarp prst="textNoShape">
                            <a:avLst/>
                          </a:prstTxWarp>
                          <a:noAutofit/>
                        </wps:bodyPr>
                      </wps:wsp>
                      <wps:wsp>
                        <wps:cNvPr id="554" name="Graphic 554"/>
                        <wps:cNvSpPr/>
                        <wps:spPr>
                          <a:xfrm>
                            <a:off x="144462" y="2221801"/>
                            <a:ext cx="3944620" cy="1270"/>
                          </a:xfrm>
                          <a:custGeom>
                            <a:avLst/>
                            <a:gdLst/>
                            <a:ahLst/>
                            <a:cxnLst/>
                            <a:rect l="l" t="t" r="r" b="b"/>
                            <a:pathLst>
                              <a:path w="3944620" h="0">
                                <a:moveTo>
                                  <a:pt x="0" y="0"/>
                                </a:moveTo>
                                <a:lnTo>
                                  <a:pt x="3944619" y="0"/>
                                </a:lnTo>
                              </a:path>
                            </a:pathLst>
                          </a:custGeom>
                          <a:ln w="9525">
                            <a:solidFill>
                              <a:srgbClr val="D9D9D9"/>
                            </a:solidFill>
                            <a:prstDash val="solid"/>
                          </a:ln>
                        </wps:spPr>
                        <wps:bodyPr wrap="square" lIns="0" tIns="0" rIns="0" bIns="0" rtlCol="0">
                          <a:prstTxWarp prst="textNoShape">
                            <a:avLst/>
                          </a:prstTxWarp>
                          <a:noAutofit/>
                        </wps:bodyPr>
                      </wps:wsp>
                      <wps:wsp>
                        <wps:cNvPr id="555" name="Graphic 555"/>
                        <wps:cNvSpPr/>
                        <wps:spPr>
                          <a:xfrm>
                            <a:off x="759777" y="2592218"/>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4471C4"/>
                          </a:solidFill>
                        </wps:spPr>
                        <wps:bodyPr wrap="square" lIns="0" tIns="0" rIns="0" bIns="0" rtlCol="0">
                          <a:prstTxWarp prst="textNoShape">
                            <a:avLst/>
                          </a:prstTxWarp>
                          <a:noAutofit/>
                        </wps:bodyPr>
                      </wps:wsp>
                      <wps:wsp>
                        <wps:cNvPr id="556" name="Graphic 556"/>
                        <wps:cNvSpPr/>
                        <wps:spPr>
                          <a:xfrm>
                            <a:off x="2272601" y="2592218"/>
                            <a:ext cx="62865" cy="62865"/>
                          </a:xfrm>
                          <a:custGeom>
                            <a:avLst/>
                            <a:gdLst/>
                            <a:ahLst/>
                            <a:cxnLst/>
                            <a:rect l="l" t="t" r="r" b="b"/>
                            <a:pathLst>
                              <a:path w="62865" h="62865">
                                <a:moveTo>
                                  <a:pt x="62779" y="0"/>
                                </a:moveTo>
                                <a:lnTo>
                                  <a:pt x="0" y="0"/>
                                </a:lnTo>
                                <a:lnTo>
                                  <a:pt x="0" y="62779"/>
                                </a:lnTo>
                                <a:lnTo>
                                  <a:pt x="62779" y="62779"/>
                                </a:lnTo>
                                <a:lnTo>
                                  <a:pt x="62779" y="0"/>
                                </a:lnTo>
                                <a:close/>
                              </a:path>
                            </a:pathLst>
                          </a:custGeom>
                          <a:solidFill>
                            <a:srgbClr val="EC7C30"/>
                          </a:solidFill>
                        </wps:spPr>
                        <wps:bodyPr wrap="square" lIns="0" tIns="0" rIns="0" bIns="0" rtlCol="0">
                          <a:prstTxWarp prst="textNoShape">
                            <a:avLst/>
                          </a:prstTxWarp>
                          <a:noAutofit/>
                        </wps:bodyPr>
                      </wps:wsp>
                      <wps:wsp>
                        <wps:cNvPr id="557" name="Graphic 557"/>
                        <wps:cNvSpPr/>
                        <wps:spPr>
                          <a:xfrm>
                            <a:off x="4762" y="4762"/>
                            <a:ext cx="4224020" cy="2802255"/>
                          </a:xfrm>
                          <a:custGeom>
                            <a:avLst/>
                            <a:gdLst/>
                            <a:ahLst/>
                            <a:cxnLst/>
                            <a:rect l="l" t="t" r="r" b="b"/>
                            <a:pathLst>
                              <a:path w="4224020" h="2802255">
                                <a:moveTo>
                                  <a:pt x="0" y="2802255"/>
                                </a:moveTo>
                                <a:lnTo>
                                  <a:pt x="4224020" y="2802255"/>
                                </a:lnTo>
                                <a:lnTo>
                                  <a:pt x="4224020" y="0"/>
                                </a:lnTo>
                                <a:lnTo>
                                  <a:pt x="0" y="0"/>
                                </a:lnTo>
                                <a:lnTo>
                                  <a:pt x="0" y="2802255"/>
                                </a:lnTo>
                                <a:close/>
                              </a:path>
                            </a:pathLst>
                          </a:custGeom>
                          <a:ln w="9525">
                            <a:solidFill>
                              <a:srgbClr val="D9D9D9"/>
                            </a:solidFill>
                            <a:prstDash val="solid"/>
                          </a:ln>
                        </wps:spPr>
                        <wps:bodyPr wrap="square" lIns="0" tIns="0" rIns="0" bIns="0" rtlCol="0">
                          <a:prstTxWarp prst="textNoShape">
                            <a:avLst/>
                          </a:prstTxWarp>
                          <a:noAutofit/>
                        </wps:bodyPr>
                      </wps:wsp>
                      <wps:wsp>
                        <wps:cNvPr id="558" name="Textbox 558"/>
                        <wps:cNvSpPr txBox="1"/>
                        <wps:spPr>
                          <a:xfrm>
                            <a:off x="2362771" y="2571305"/>
                            <a:ext cx="1169035" cy="114300"/>
                          </a:xfrm>
                          <a:prstGeom prst="rect">
                            <a:avLst/>
                          </a:prstGeom>
                        </wps:spPr>
                        <wps:txbx>
                          <w:txbxContent>
                            <w:p>
                              <w:pPr>
                                <w:spacing w:line="180" w:lineRule="exact" w:before="0"/>
                                <w:ind w:left="0" w:right="0" w:firstLine="0"/>
                                <w:jc w:val="left"/>
                                <w:rPr>
                                  <w:rFonts w:ascii="Calibri" w:hAnsi="Calibri"/>
                                  <w:sz w:val="18"/>
                                </w:rPr>
                              </w:pPr>
                              <w:r>
                                <w:rPr>
                                  <w:rFonts w:ascii="Calibri" w:hAnsi="Calibri"/>
                                  <w:color w:val="585858"/>
                                  <w:sz w:val="18"/>
                                </w:rPr>
                                <w:t>Sí</w:t>
                              </w:r>
                              <w:r>
                                <w:rPr>
                                  <w:rFonts w:ascii="Calibri" w:hAnsi="Calibri"/>
                                  <w:color w:val="585858"/>
                                  <w:spacing w:val="-2"/>
                                  <w:sz w:val="18"/>
                                </w:rPr>
                                <w:t> </w:t>
                              </w:r>
                              <w:r>
                                <w:rPr>
                                  <w:rFonts w:ascii="Calibri" w:hAnsi="Calibri"/>
                                  <w:color w:val="585858"/>
                                  <w:sz w:val="18"/>
                                </w:rPr>
                                <w:t>cuentan</w:t>
                              </w:r>
                              <w:r>
                                <w:rPr>
                                  <w:rFonts w:ascii="Calibri" w:hAnsi="Calibri"/>
                                  <w:color w:val="585858"/>
                                  <w:spacing w:val="-4"/>
                                  <w:sz w:val="18"/>
                                </w:rPr>
                                <w:t> </w:t>
                              </w:r>
                              <w:r>
                                <w:rPr>
                                  <w:rFonts w:ascii="Calibri" w:hAnsi="Calibri"/>
                                  <w:color w:val="585858"/>
                                  <w:sz w:val="18"/>
                                </w:rPr>
                                <w:t>con</w:t>
                              </w:r>
                              <w:r>
                                <w:rPr>
                                  <w:rFonts w:ascii="Calibri" w:hAnsi="Calibri"/>
                                  <w:color w:val="585858"/>
                                  <w:spacing w:val="-1"/>
                                  <w:sz w:val="18"/>
                                </w:rPr>
                                <w:t> </w:t>
                              </w:r>
                              <w:r>
                                <w:rPr>
                                  <w:rFonts w:ascii="Calibri" w:hAnsi="Calibri"/>
                                  <w:color w:val="585858"/>
                                  <w:spacing w:val="-2"/>
                                  <w:sz w:val="18"/>
                                </w:rPr>
                                <w:t>protocolo</w:t>
                              </w:r>
                            </w:p>
                          </w:txbxContent>
                        </wps:txbx>
                        <wps:bodyPr wrap="square" lIns="0" tIns="0" rIns="0" bIns="0" rtlCol="0">
                          <a:noAutofit/>
                        </wps:bodyPr>
                      </wps:wsp>
                      <wps:wsp>
                        <wps:cNvPr id="559" name="Textbox 559"/>
                        <wps:cNvSpPr txBox="1"/>
                        <wps:spPr>
                          <a:xfrm>
                            <a:off x="849693" y="2571305"/>
                            <a:ext cx="1224280" cy="114300"/>
                          </a:xfrm>
                          <a:prstGeom prst="rect">
                            <a:avLst/>
                          </a:prstGeom>
                        </wps:spPr>
                        <wps:txbx>
                          <w:txbxContent>
                            <w:p>
                              <w:pPr>
                                <w:spacing w:line="180" w:lineRule="exact" w:before="0"/>
                                <w:ind w:left="0" w:right="0" w:firstLine="0"/>
                                <w:jc w:val="left"/>
                                <w:rPr>
                                  <w:rFonts w:ascii="Calibri"/>
                                  <w:sz w:val="18"/>
                                </w:rPr>
                              </w:pPr>
                              <w:r>
                                <w:rPr>
                                  <w:rFonts w:ascii="Calibri"/>
                                  <w:color w:val="585858"/>
                                  <w:sz w:val="18"/>
                                </w:rPr>
                                <w:t>No</w:t>
                              </w:r>
                              <w:r>
                                <w:rPr>
                                  <w:rFonts w:ascii="Calibri"/>
                                  <w:color w:val="585858"/>
                                  <w:spacing w:val="-3"/>
                                  <w:sz w:val="18"/>
                                </w:rPr>
                                <w:t> </w:t>
                              </w:r>
                              <w:r>
                                <w:rPr>
                                  <w:rFonts w:ascii="Calibri"/>
                                  <w:color w:val="585858"/>
                                  <w:sz w:val="18"/>
                                </w:rPr>
                                <w:t>cuentan</w:t>
                              </w:r>
                              <w:r>
                                <w:rPr>
                                  <w:rFonts w:ascii="Calibri"/>
                                  <w:color w:val="585858"/>
                                  <w:spacing w:val="-3"/>
                                  <w:sz w:val="18"/>
                                </w:rPr>
                                <w:t> </w:t>
                              </w:r>
                              <w:r>
                                <w:rPr>
                                  <w:rFonts w:ascii="Calibri"/>
                                  <w:color w:val="585858"/>
                                  <w:sz w:val="18"/>
                                </w:rPr>
                                <w:t>con</w:t>
                              </w:r>
                              <w:r>
                                <w:rPr>
                                  <w:rFonts w:ascii="Calibri"/>
                                  <w:color w:val="585858"/>
                                  <w:spacing w:val="-1"/>
                                  <w:sz w:val="18"/>
                                </w:rPr>
                                <w:t> </w:t>
                              </w:r>
                              <w:r>
                                <w:rPr>
                                  <w:rFonts w:ascii="Calibri"/>
                                  <w:color w:val="585858"/>
                                  <w:spacing w:val="-2"/>
                                  <w:sz w:val="18"/>
                                </w:rPr>
                                <w:t>protocolo</w:t>
                              </w:r>
                            </w:p>
                          </w:txbxContent>
                        </wps:txbx>
                        <wps:bodyPr wrap="square" lIns="0" tIns="0" rIns="0" bIns="0" rtlCol="0">
                          <a:noAutofit/>
                        </wps:bodyPr>
                      </wps:wsp>
                      <wps:wsp>
                        <wps:cNvPr id="560" name="Textbox 560"/>
                        <wps:cNvSpPr txBox="1"/>
                        <wps:spPr>
                          <a:xfrm>
                            <a:off x="3621595" y="2317940"/>
                            <a:ext cx="292100"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2"/>
                                  <w:sz w:val="18"/>
                                </w:rPr>
                                <w:t>OP.06</w:t>
                              </w:r>
                            </w:p>
                          </w:txbxContent>
                        </wps:txbx>
                        <wps:bodyPr wrap="square" lIns="0" tIns="0" rIns="0" bIns="0" rtlCol="0">
                          <a:noAutofit/>
                        </wps:bodyPr>
                      </wps:wsp>
                      <wps:wsp>
                        <wps:cNvPr id="561" name="Textbox 561"/>
                        <wps:cNvSpPr txBox="1"/>
                        <wps:spPr>
                          <a:xfrm>
                            <a:off x="2964116" y="2317940"/>
                            <a:ext cx="292100"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2"/>
                                  <w:sz w:val="18"/>
                                </w:rPr>
                                <w:t>OP.05</w:t>
                              </w:r>
                            </w:p>
                          </w:txbxContent>
                        </wps:txbx>
                        <wps:bodyPr wrap="square" lIns="0" tIns="0" rIns="0" bIns="0" rtlCol="0">
                          <a:noAutofit/>
                        </wps:bodyPr>
                      </wps:wsp>
                      <wps:wsp>
                        <wps:cNvPr id="562" name="Textbox 562"/>
                        <wps:cNvSpPr txBox="1"/>
                        <wps:spPr>
                          <a:xfrm>
                            <a:off x="2306383" y="2317940"/>
                            <a:ext cx="292100"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2"/>
                                  <w:sz w:val="18"/>
                                </w:rPr>
                                <w:t>OP.04</w:t>
                              </w:r>
                            </w:p>
                          </w:txbxContent>
                        </wps:txbx>
                        <wps:bodyPr wrap="square" lIns="0" tIns="0" rIns="0" bIns="0" rtlCol="0">
                          <a:noAutofit/>
                        </wps:bodyPr>
                      </wps:wsp>
                      <wps:wsp>
                        <wps:cNvPr id="563" name="Textbox 563"/>
                        <wps:cNvSpPr txBox="1"/>
                        <wps:spPr>
                          <a:xfrm>
                            <a:off x="991425" y="2317940"/>
                            <a:ext cx="292100"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2"/>
                                  <w:sz w:val="18"/>
                                </w:rPr>
                                <w:t>OP.02</w:t>
                              </w:r>
                            </w:p>
                          </w:txbxContent>
                        </wps:txbx>
                        <wps:bodyPr wrap="square" lIns="0" tIns="0" rIns="0" bIns="0" rtlCol="0">
                          <a:noAutofit/>
                        </wps:bodyPr>
                      </wps:wsp>
                      <wps:wsp>
                        <wps:cNvPr id="564" name="Textbox 564"/>
                        <wps:cNvSpPr txBox="1"/>
                        <wps:spPr>
                          <a:xfrm>
                            <a:off x="333692" y="2317940"/>
                            <a:ext cx="292100" cy="114300"/>
                          </a:xfrm>
                          <a:prstGeom prst="rect">
                            <a:avLst/>
                          </a:prstGeom>
                        </wps:spPr>
                        <wps:txbx>
                          <w:txbxContent>
                            <w:p>
                              <w:pPr>
                                <w:spacing w:line="180" w:lineRule="exact" w:before="0"/>
                                <w:ind w:left="0" w:right="0" w:firstLine="0"/>
                                <w:jc w:val="left"/>
                                <w:rPr>
                                  <w:rFonts w:ascii="Calibri"/>
                                  <w:sz w:val="18"/>
                                </w:rPr>
                              </w:pPr>
                              <w:r>
                                <w:rPr>
                                  <w:rFonts w:ascii="Calibri"/>
                                  <w:color w:val="585858"/>
                                  <w:spacing w:val="-2"/>
                                  <w:sz w:val="18"/>
                                </w:rPr>
                                <w:t>OP.01</w:t>
                              </w:r>
                            </w:p>
                          </w:txbxContent>
                        </wps:txbx>
                        <wps:bodyPr wrap="square" lIns="0" tIns="0" rIns="0" bIns="0" rtlCol="0">
                          <a:noAutofit/>
                        </wps:bodyPr>
                      </wps:wsp>
                      <wps:wsp>
                        <wps:cNvPr id="565" name="Textbox 565"/>
                        <wps:cNvSpPr txBox="1"/>
                        <wps:spPr>
                          <a:xfrm>
                            <a:off x="3074479" y="2045779"/>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2</w:t>
                              </w:r>
                            </w:p>
                          </w:txbxContent>
                        </wps:txbx>
                        <wps:bodyPr wrap="square" lIns="0" tIns="0" rIns="0" bIns="0" rtlCol="0">
                          <a:noAutofit/>
                        </wps:bodyPr>
                      </wps:wsp>
                      <wps:wsp>
                        <wps:cNvPr id="566" name="Textbox 566"/>
                        <wps:cNvSpPr txBox="1"/>
                        <wps:spPr>
                          <a:xfrm>
                            <a:off x="1648904" y="1980882"/>
                            <a:ext cx="292100" cy="451484"/>
                          </a:xfrm>
                          <a:prstGeom prst="rect">
                            <a:avLst/>
                          </a:prstGeom>
                        </wps:spPr>
                        <wps:txbx>
                          <w:txbxContent>
                            <w:p>
                              <w:pPr>
                                <w:spacing w:line="176" w:lineRule="exact" w:before="0"/>
                                <w:ind w:left="0" w:right="18" w:firstLine="0"/>
                                <w:jc w:val="center"/>
                                <w:rPr>
                                  <w:rFonts w:ascii="Calibri"/>
                                  <w:b/>
                                  <w:sz w:val="18"/>
                                </w:rPr>
                              </w:pPr>
                              <w:r>
                                <w:rPr>
                                  <w:rFonts w:ascii="Calibri"/>
                                  <w:b/>
                                  <w:color w:val="FFFFFF"/>
                                  <w:spacing w:val="39"/>
                                  <w:sz w:val="18"/>
                                  <w:shd w:fill="EC7C30" w:color="auto" w:val="clear"/>
                                </w:rPr>
                                <w:t>  </w:t>
                              </w:r>
                              <w:r>
                                <w:rPr>
                                  <w:rFonts w:ascii="Calibri"/>
                                  <w:b/>
                                  <w:color w:val="FFFFFF"/>
                                  <w:spacing w:val="-10"/>
                                  <w:sz w:val="18"/>
                                  <w:shd w:fill="EC7C30" w:color="auto" w:val="clear"/>
                                </w:rPr>
                                <w:t>1</w:t>
                              </w:r>
                              <w:r>
                                <w:rPr>
                                  <w:rFonts w:ascii="Calibri"/>
                                  <w:b/>
                                  <w:color w:val="FFFFFF"/>
                                  <w:spacing w:val="40"/>
                                  <w:sz w:val="18"/>
                                  <w:shd w:fill="EC7C30" w:color="auto" w:val="clear"/>
                                </w:rPr>
                                <w:t> </w:t>
                              </w:r>
                            </w:p>
                            <w:p>
                              <w:pPr>
                                <w:spacing w:line="212" w:lineRule="exact" w:before="0"/>
                                <w:ind w:left="0" w:right="18" w:firstLine="0"/>
                                <w:jc w:val="center"/>
                                <w:rPr>
                                  <w:rFonts w:ascii="Calibri"/>
                                  <w:b/>
                                  <w:sz w:val="18"/>
                                </w:rPr>
                              </w:pPr>
                              <w:r>
                                <w:rPr>
                                  <w:rFonts w:ascii="Calibri"/>
                                  <w:b/>
                                  <w:color w:val="FFFFFF"/>
                                  <w:spacing w:val="-10"/>
                                  <w:sz w:val="18"/>
                                </w:rPr>
                                <w:t>1</w:t>
                              </w:r>
                            </w:p>
                            <w:p>
                              <w:pPr>
                                <w:spacing w:line="216" w:lineRule="exact" w:before="106"/>
                                <w:ind w:left="0" w:right="18" w:firstLine="0"/>
                                <w:jc w:val="center"/>
                                <w:rPr>
                                  <w:rFonts w:ascii="Calibri"/>
                                  <w:sz w:val="18"/>
                                </w:rPr>
                              </w:pPr>
                              <w:r>
                                <w:rPr>
                                  <w:rFonts w:ascii="Calibri"/>
                                  <w:color w:val="585858"/>
                                  <w:spacing w:val="-2"/>
                                  <w:sz w:val="18"/>
                                </w:rPr>
                                <w:t>OP.03</w:t>
                              </w:r>
                            </w:p>
                          </w:txbxContent>
                        </wps:txbx>
                        <wps:bodyPr wrap="square" lIns="0" tIns="0" rIns="0" bIns="0" rtlCol="0">
                          <a:noAutofit/>
                        </wps:bodyPr>
                      </wps:wsp>
                      <wps:wsp>
                        <wps:cNvPr id="567" name="Textbox 567"/>
                        <wps:cNvSpPr txBox="1"/>
                        <wps:spPr>
                          <a:xfrm>
                            <a:off x="3731958" y="1656270"/>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8</w:t>
                              </w:r>
                            </w:p>
                          </w:txbxContent>
                        </wps:txbx>
                        <wps:bodyPr wrap="square" lIns="0" tIns="0" rIns="0" bIns="0" rtlCol="0">
                          <a:noAutofit/>
                        </wps:bodyPr>
                      </wps:wsp>
                      <wps:wsp>
                        <wps:cNvPr id="568" name="Textbox 568"/>
                        <wps:cNvSpPr txBox="1"/>
                        <wps:spPr>
                          <a:xfrm>
                            <a:off x="3074479" y="1721167"/>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3</w:t>
                              </w:r>
                            </w:p>
                          </w:txbxContent>
                        </wps:txbx>
                        <wps:bodyPr wrap="square" lIns="0" tIns="0" rIns="0" bIns="0" rtlCol="0">
                          <a:noAutofit/>
                        </wps:bodyPr>
                      </wps:wsp>
                      <wps:wsp>
                        <wps:cNvPr id="569" name="Textbox 569"/>
                        <wps:cNvSpPr txBox="1"/>
                        <wps:spPr>
                          <a:xfrm>
                            <a:off x="444309" y="1786064"/>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6</w:t>
                              </w:r>
                            </w:p>
                          </w:txbxContent>
                        </wps:txbx>
                        <wps:bodyPr wrap="square" lIns="0" tIns="0" rIns="0" bIns="0" rtlCol="0">
                          <a:noAutofit/>
                        </wps:bodyPr>
                      </wps:wsp>
                      <wps:wsp>
                        <wps:cNvPr id="570" name="Textbox 570"/>
                        <wps:cNvSpPr txBox="1"/>
                        <wps:spPr>
                          <a:xfrm>
                            <a:off x="2417000" y="1656270"/>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8</w:t>
                              </w:r>
                            </w:p>
                          </w:txbxContent>
                        </wps:txbx>
                        <wps:bodyPr wrap="square" lIns="0" tIns="0" rIns="0" bIns="0" rtlCol="0">
                          <a:noAutofit/>
                        </wps:bodyPr>
                      </wps:wsp>
                      <wps:wsp>
                        <wps:cNvPr id="571" name="Textbox 571"/>
                        <wps:cNvSpPr txBox="1"/>
                        <wps:spPr>
                          <a:xfrm>
                            <a:off x="3731958" y="1007046"/>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2</w:t>
                              </w:r>
                            </w:p>
                          </w:txbxContent>
                        </wps:txbx>
                        <wps:bodyPr wrap="square" lIns="0" tIns="0" rIns="0" bIns="0" rtlCol="0">
                          <a:noAutofit/>
                        </wps:bodyPr>
                      </wps:wsp>
                      <wps:wsp>
                        <wps:cNvPr id="572" name="Textbox 572"/>
                        <wps:cNvSpPr txBox="1"/>
                        <wps:spPr>
                          <a:xfrm>
                            <a:off x="2417000" y="812228"/>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5</w:t>
                              </w:r>
                            </w:p>
                          </w:txbxContent>
                        </wps:txbx>
                        <wps:bodyPr wrap="square" lIns="0" tIns="0" rIns="0" bIns="0" rtlCol="0">
                          <a:noAutofit/>
                        </wps:bodyPr>
                      </wps:wsp>
                      <wps:wsp>
                        <wps:cNvPr id="573" name="Textbox 573"/>
                        <wps:cNvSpPr txBox="1"/>
                        <wps:spPr>
                          <a:xfrm>
                            <a:off x="444309" y="812228"/>
                            <a:ext cx="71120" cy="114300"/>
                          </a:xfrm>
                          <a:prstGeom prst="rect">
                            <a:avLst/>
                          </a:prstGeom>
                        </wps:spPr>
                        <wps:txbx>
                          <w:txbxContent>
                            <w:p>
                              <w:pPr>
                                <w:spacing w:line="180" w:lineRule="exact" w:before="0"/>
                                <w:ind w:left="0" w:right="0" w:firstLine="0"/>
                                <w:jc w:val="left"/>
                                <w:rPr>
                                  <w:rFonts w:ascii="Calibri"/>
                                  <w:b/>
                                  <w:sz w:val="18"/>
                                </w:rPr>
                              </w:pPr>
                              <w:r>
                                <w:rPr>
                                  <w:rFonts w:ascii="Calibri"/>
                                  <w:b/>
                                  <w:color w:val="FFFFFF"/>
                                  <w:spacing w:val="-10"/>
                                  <w:sz w:val="18"/>
                                </w:rPr>
                                <w:t>9</w:t>
                              </w:r>
                            </w:p>
                          </w:txbxContent>
                        </wps:txbx>
                        <wps:bodyPr wrap="square" lIns="0" tIns="0" rIns="0" bIns="0" rtlCol="0">
                          <a:noAutofit/>
                        </wps:bodyPr>
                      </wps:wsp>
                      <wps:wsp>
                        <wps:cNvPr id="574" name="Textbox 574"/>
                        <wps:cNvSpPr txBox="1"/>
                        <wps:spPr>
                          <a:xfrm>
                            <a:off x="998791" y="1313116"/>
                            <a:ext cx="264160" cy="908685"/>
                          </a:xfrm>
                          <a:prstGeom prst="rect">
                            <a:avLst/>
                          </a:prstGeom>
                          <a:solidFill>
                            <a:srgbClr val="4471C4"/>
                          </a:solidFill>
                        </wps:spPr>
                        <wps:txbx>
                          <w:txbxContent>
                            <w:p>
                              <w:pPr>
                                <w:spacing w:line="240" w:lineRule="auto" w:before="0"/>
                                <w:rPr>
                                  <w:rFonts w:ascii="Arial"/>
                                  <w:i/>
                                  <w:color w:val="000000"/>
                                  <w:sz w:val="18"/>
                                </w:rPr>
                              </w:pPr>
                            </w:p>
                            <w:p>
                              <w:pPr>
                                <w:spacing w:line="240" w:lineRule="auto" w:before="192"/>
                                <w:rPr>
                                  <w:rFonts w:ascii="Arial"/>
                                  <w:i/>
                                  <w:color w:val="000000"/>
                                  <w:sz w:val="18"/>
                                </w:rPr>
                              </w:pPr>
                            </w:p>
                            <w:p>
                              <w:pPr>
                                <w:spacing w:before="0"/>
                                <w:ind w:left="0" w:right="0" w:firstLine="0"/>
                                <w:jc w:val="center"/>
                                <w:rPr>
                                  <w:rFonts w:ascii="Calibri"/>
                                  <w:b/>
                                  <w:color w:val="000000"/>
                                  <w:sz w:val="18"/>
                                </w:rPr>
                              </w:pPr>
                              <w:r>
                                <w:rPr>
                                  <w:rFonts w:ascii="Calibri"/>
                                  <w:b/>
                                  <w:color w:val="FFFFFF"/>
                                  <w:spacing w:val="-10"/>
                                  <w:sz w:val="18"/>
                                </w:rPr>
                                <w:t>7</w:t>
                              </w:r>
                            </w:p>
                          </w:txbxContent>
                        </wps:txbx>
                        <wps:bodyPr wrap="square" lIns="0" tIns="0" rIns="0" bIns="0" rtlCol="0">
                          <a:noAutofit/>
                        </wps:bodyPr>
                      </wps:wsp>
                    </wpg:wgp>
                  </a:graphicData>
                </a:graphic>
              </wp:anchor>
            </w:drawing>
          </mc:Choice>
          <mc:Fallback>
            <w:pict>
              <v:group style="position:absolute;margin-left:129.554993pt;margin-top:10.207734pt;width:333.35pt;height:221.4pt;mso-position-horizontal-relative:page;mso-position-vertical-relative:paragraph;z-index:-15717888;mso-wrap-distance-left:0;mso-wrap-distance-right:0" id="docshapegroup535" coordorigin="2591,204" coordsize="6667,4428">
                <v:shape style="position:absolute;left:3129;top:2068;width:5590;height:1635" id="docshape536" coordorigin="3130,2068" coordsize="5590,1635" path="m3542,2476l3130,2476,3130,3703,3542,3703,3542,2476xm5614,3498l5201,3498,5201,3703,5614,3703,5614,3498xm6650,2068l6235,2068,6235,3703,6650,3703,6650,2068xm7685,3294l7270,3294,7270,3703,7685,3703,7685,3294xm8719,2068l8306,2068,8306,3703,8719,3703,8719,2068xe" filled="true" fillcolor="#4471c4" stroked="false">
                  <v:path arrowok="t"/>
                  <v:fill type="solid"/>
                </v:shape>
                <v:shape style="position:absolute;left:3129;top:635;width:5590;height:2660" id="docshape537" coordorigin="3130,635" coordsize="5590,2660" path="m3542,635l3130,635,3130,2476,3542,2476,3542,635xm6650,1046l6235,1046,6235,2068,6650,2068,6650,1046xm7685,2680l7270,2680,7270,3294,7685,3294,7685,2680xm8719,1658l8306,1658,8306,2068,8719,2068,8719,1658xe" filled="true" fillcolor="#ec7c30" stroked="false">
                  <v:path arrowok="t"/>
                  <v:fill type="solid"/>
                </v:shape>
                <v:line style="position:absolute" from="2819,3703" to="9031,3703" stroked="true" strokeweight=".75pt" strokecolor="#d9d9d9">
                  <v:stroke dashstyle="solid"/>
                </v:line>
                <v:rect style="position:absolute;left:3787;top:4286;width:99;height:99" id="docshape538" filled="true" fillcolor="#4471c4" stroked="false">
                  <v:fill type="solid"/>
                </v:rect>
                <v:rect style="position:absolute;left:6170;top:4286;width:99;height:99" id="docshape539" filled="true" fillcolor="#ec7c30" stroked="false">
                  <v:fill type="solid"/>
                </v:rect>
                <v:rect style="position:absolute;left:2598;top:211;width:6652;height:4413" id="docshape540" filled="false" stroked="true" strokeweight=".75pt" strokecolor="#d9d9d9">
                  <v:stroke dashstyle="solid"/>
                </v:rect>
                <v:shape style="position:absolute;left:6312;top:4253;width:1841;height:180" type="#_x0000_t202" id="docshape541" filled="false" stroked="false">
                  <v:textbox inset="0,0,0,0">
                    <w:txbxContent>
                      <w:p>
                        <w:pPr>
                          <w:spacing w:line="180" w:lineRule="exact" w:before="0"/>
                          <w:ind w:left="0" w:right="0" w:firstLine="0"/>
                          <w:jc w:val="left"/>
                          <w:rPr>
                            <w:rFonts w:ascii="Calibri" w:hAnsi="Calibri"/>
                            <w:sz w:val="18"/>
                          </w:rPr>
                        </w:pPr>
                        <w:r>
                          <w:rPr>
                            <w:rFonts w:ascii="Calibri" w:hAnsi="Calibri"/>
                            <w:color w:val="585858"/>
                            <w:sz w:val="18"/>
                          </w:rPr>
                          <w:t>Sí</w:t>
                        </w:r>
                        <w:r>
                          <w:rPr>
                            <w:rFonts w:ascii="Calibri" w:hAnsi="Calibri"/>
                            <w:color w:val="585858"/>
                            <w:spacing w:val="-2"/>
                            <w:sz w:val="18"/>
                          </w:rPr>
                          <w:t> </w:t>
                        </w:r>
                        <w:r>
                          <w:rPr>
                            <w:rFonts w:ascii="Calibri" w:hAnsi="Calibri"/>
                            <w:color w:val="585858"/>
                            <w:sz w:val="18"/>
                          </w:rPr>
                          <w:t>cuentan</w:t>
                        </w:r>
                        <w:r>
                          <w:rPr>
                            <w:rFonts w:ascii="Calibri" w:hAnsi="Calibri"/>
                            <w:color w:val="585858"/>
                            <w:spacing w:val="-4"/>
                            <w:sz w:val="18"/>
                          </w:rPr>
                          <w:t> </w:t>
                        </w:r>
                        <w:r>
                          <w:rPr>
                            <w:rFonts w:ascii="Calibri" w:hAnsi="Calibri"/>
                            <w:color w:val="585858"/>
                            <w:sz w:val="18"/>
                          </w:rPr>
                          <w:t>con</w:t>
                        </w:r>
                        <w:r>
                          <w:rPr>
                            <w:rFonts w:ascii="Calibri" w:hAnsi="Calibri"/>
                            <w:color w:val="585858"/>
                            <w:spacing w:val="-1"/>
                            <w:sz w:val="18"/>
                          </w:rPr>
                          <w:t> </w:t>
                        </w:r>
                        <w:r>
                          <w:rPr>
                            <w:rFonts w:ascii="Calibri" w:hAnsi="Calibri"/>
                            <w:color w:val="585858"/>
                            <w:spacing w:val="-2"/>
                            <w:sz w:val="18"/>
                          </w:rPr>
                          <w:t>protocolo</w:t>
                        </w:r>
                      </w:p>
                    </w:txbxContent>
                  </v:textbox>
                  <w10:wrap type="none"/>
                </v:shape>
                <v:shape style="position:absolute;left:3929;top:4253;width:1928;height:180" type="#_x0000_t202" id="docshape542" filled="false" stroked="false">
                  <v:textbox inset="0,0,0,0">
                    <w:txbxContent>
                      <w:p>
                        <w:pPr>
                          <w:spacing w:line="180" w:lineRule="exact" w:before="0"/>
                          <w:ind w:left="0" w:right="0" w:firstLine="0"/>
                          <w:jc w:val="left"/>
                          <w:rPr>
                            <w:rFonts w:ascii="Calibri"/>
                            <w:sz w:val="18"/>
                          </w:rPr>
                        </w:pPr>
                        <w:r>
                          <w:rPr>
                            <w:rFonts w:ascii="Calibri"/>
                            <w:color w:val="585858"/>
                            <w:sz w:val="18"/>
                          </w:rPr>
                          <w:t>No</w:t>
                        </w:r>
                        <w:r>
                          <w:rPr>
                            <w:rFonts w:ascii="Calibri"/>
                            <w:color w:val="585858"/>
                            <w:spacing w:val="-3"/>
                            <w:sz w:val="18"/>
                          </w:rPr>
                          <w:t> </w:t>
                        </w:r>
                        <w:r>
                          <w:rPr>
                            <w:rFonts w:ascii="Calibri"/>
                            <w:color w:val="585858"/>
                            <w:sz w:val="18"/>
                          </w:rPr>
                          <w:t>cuentan</w:t>
                        </w:r>
                        <w:r>
                          <w:rPr>
                            <w:rFonts w:ascii="Calibri"/>
                            <w:color w:val="585858"/>
                            <w:spacing w:val="-3"/>
                            <w:sz w:val="18"/>
                          </w:rPr>
                          <w:t> </w:t>
                        </w:r>
                        <w:r>
                          <w:rPr>
                            <w:rFonts w:ascii="Calibri"/>
                            <w:color w:val="585858"/>
                            <w:sz w:val="18"/>
                          </w:rPr>
                          <w:t>con</w:t>
                        </w:r>
                        <w:r>
                          <w:rPr>
                            <w:rFonts w:ascii="Calibri"/>
                            <w:color w:val="585858"/>
                            <w:spacing w:val="-1"/>
                            <w:sz w:val="18"/>
                          </w:rPr>
                          <w:t> </w:t>
                        </w:r>
                        <w:r>
                          <w:rPr>
                            <w:rFonts w:ascii="Calibri"/>
                            <w:color w:val="585858"/>
                            <w:spacing w:val="-2"/>
                            <w:sz w:val="18"/>
                          </w:rPr>
                          <w:t>protocolo</w:t>
                        </w:r>
                      </w:p>
                    </w:txbxContent>
                  </v:textbox>
                  <w10:wrap type="none"/>
                </v:shape>
                <v:shape style="position:absolute;left:8294;top:3854;width:460;height:180" type="#_x0000_t202" id="docshape543" filled="false" stroked="false">
                  <v:textbox inset="0,0,0,0">
                    <w:txbxContent>
                      <w:p>
                        <w:pPr>
                          <w:spacing w:line="180" w:lineRule="exact" w:before="0"/>
                          <w:ind w:left="0" w:right="0" w:firstLine="0"/>
                          <w:jc w:val="left"/>
                          <w:rPr>
                            <w:rFonts w:ascii="Calibri"/>
                            <w:sz w:val="18"/>
                          </w:rPr>
                        </w:pPr>
                        <w:r>
                          <w:rPr>
                            <w:rFonts w:ascii="Calibri"/>
                            <w:color w:val="585858"/>
                            <w:spacing w:val="-2"/>
                            <w:sz w:val="18"/>
                          </w:rPr>
                          <w:t>OP.06</w:t>
                        </w:r>
                      </w:p>
                    </w:txbxContent>
                  </v:textbox>
                  <w10:wrap type="none"/>
                </v:shape>
                <v:shape style="position:absolute;left:7259;top:3854;width:460;height:180" type="#_x0000_t202" id="docshape544" filled="false" stroked="false">
                  <v:textbox inset="0,0,0,0">
                    <w:txbxContent>
                      <w:p>
                        <w:pPr>
                          <w:spacing w:line="180" w:lineRule="exact" w:before="0"/>
                          <w:ind w:left="0" w:right="0" w:firstLine="0"/>
                          <w:jc w:val="left"/>
                          <w:rPr>
                            <w:rFonts w:ascii="Calibri"/>
                            <w:sz w:val="18"/>
                          </w:rPr>
                        </w:pPr>
                        <w:r>
                          <w:rPr>
                            <w:rFonts w:ascii="Calibri"/>
                            <w:color w:val="585858"/>
                            <w:spacing w:val="-2"/>
                            <w:sz w:val="18"/>
                          </w:rPr>
                          <w:t>OP.05</w:t>
                        </w:r>
                      </w:p>
                    </w:txbxContent>
                  </v:textbox>
                  <w10:wrap type="none"/>
                </v:shape>
                <v:shape style="position:absolute;left:6223;top:3854;width:460;height:180" type="#_x0000_t202" id="docshape545" filled="false" stroked="false">
                  <v:textbox inset="0,0,0,0">
                    <w:txbxContent>
                      <w:p>
                        <w:pPr>
                          <w:spacing w:line="180" w:lineRule="exact" w:before="0"/>
                          <w:ind w:left="0" w:right="0" w:firstLine="0"/>
                          <w:jc w:val="left"/>
                          <w:rPr>
                            <w:rFonts w:ascii="Calibri"/>
                            <w:sz w:val="18"/>
                          </w:rPr>
                        </w:pPr>
                        <w:r>
                          <w:rPr>
                            <w:rFonts w:ascii="Calibri"/>
                            <w:color w:val="585858"/>
                            <w:spacing w:val="-2"/>
                            <w:sz w:val="18"/>
                          </w:rPr>
                          <w:t>OP.04</w:t>
                        </w:r>
                      </w:p>
                    </w:txbxContent>
                  </v:textbox>
                  <w10:wrap type="none"/>
                </v:shape>
                <v:shape style="position:absolute;left:4152;top:3854;width:460;height:180" type="#_x0000_t202" id="docshape546" filled="false" stroked="false">
                  <v:textbox inset="0,0,0,0">
                    <w:txbxContent>
                      <w:p>
                        <w:pPr>
                          <w:spacing w:line="180" w:lineRule="exact" w:before="0"/>
                          <w:ind w:left="0" w:right="0" w:firstLine="0"/>
                          <w:jc w:val="left"/>
                          <w:rPr>
                            <w:rFonts w:ascii="Calibri"/>
                            <w:sz w:val="18"/>
                          </w:rPr>
                        </w:pPr>
                        <w:r>
                          <w:rPr>
                            <w:rFonts w:ascii="Calibri"/>
                            <w:color w:val="585858"/>
                            <w:spacing w:val="-2"/>
                            <w:sz w:val="18"/>
                          </w:rPr>
                          <w:t>OP.02</w:t>
                        </w:r>
                      </w:p>
                    </w:txbxContent>
                  </v:textbox>
                  <w10:wrap type="none"/>
                </v:shape>
                <v:shape style="position:absolute;left:3116;top:3854;width:460;height:180" type="#_x0000_t202" id="docshape547" filled="false" stroked="false">
                  <v:textbox inset="0,0,0,0">
                    <w:txbxContent>
                      <w:p>
                        <w:pPr>
                          <w:spacing w:line="180" w:lineRule="exact" w:before="0"/>
                          <w:ind w:left="0" w:right="0" w:firstLine="0"/>
                          <w:jc w:val="left"/>
                          <w:rPr>
                            <w:rFonts w:ascii="Calibri"/>
                            <w:sz w:val="18"/>
                          </w:rPr>
                        </w:pPr>
                        <w:r>
                          <w:rPr>
                            <w:rFonts w:ascii="Calibri"/>
                            <w:color w:val="585858"/>
                            <w:spacing w:val="-2"/>
                            <w:sz w:val="18"/>
                          </w:rPr>
                          <w:t>OP.01</w:t>
                        </w:r>
                      </w:p>
                    </w:txbxContent>
                  </v:textbox>
                  <w10:wrap type="none"/>
                </v:shape>
                <v:shape style="position:absolute;left:7432;top:3425;width:112;height:180" type="#_x0000_t202" id="docshape548"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2</w:t>
                        </w:r>
                      </w:p>
                    </w:txbxContent>
                  </v:textbox>
                  <w10:wrap type="none"/>
                </v:shape>
                <v:shape style="position:absolute;left:5187;top:3323;width:460;height:711" type="#_x0000_t202" id="docshape549" filled="false" stroked="false">
                  <v:textbox inset="0,0,0,0">
                    <w:txbxContent>
                      <w:p>
                        <w:pPr>
                          <w:spacing w:line="176" w:lineRule="exact" w:before="0"/>
                          <w:ind w:left="0" w:right="18" w:firstLine="0"/>
                          <w:jc w:val="center"/>
                          <w:rPr>
                            <w:rFonts w:ascii="Calibri"/>
                            <w:b/>
                            <w:sz w:val="18"/>
                          </w:rPr>
                        </w:pPr>
                        <w:r>
                          <w:rPr>
                            <w:rFonts w:ascii="Calibri"/>
                            <w:b/>
                            <w:color w:val="FFFFFF"/>
                            <w:spacing w:val="39"/>
                            <w:sz w:val="18"/>
                            <w:shd w:fill="EC7C30" w:color="auto" w:val="clear"/>
                          </w:rPr>
                          <w:t>  </w:t>
                        </w:r>
                        <w:r>
                          <w:rPr>
                            <w:rFonts w:ascii="Calibri"/>
                            <w:b/>
                            <w:color w:val="FFFFFF"/>
                            <w:spacing w:val="-10"/>
                            <w:sz w:val="18"/>
                            <w:shd w:fill="EC7C30" w:color="auto" w:val="clear"/>
                          </w:rPr>
                          <w:t>1</w:t>
                        </w:r>
                        <w:r>
                          <w:rPr>
                            <w:rFonts w:ascii="Calibri"/>
                            <w:b/>
                            <w:color w:val="FFFFFF"/>
                            <w:spacing w:val="40"/>
                            <w:sz w:val="18"/>
                            <w:shd w:fill="EC7C30" w:color="auto" w:val="clear"/>
                          </w:rPr>
                          <w:t> </w:t>
                        </w:r>
                      </w:p>
                      <w:p>
                        <w:pPr>
                          <w:spacing w:line="212" w:lineRule="exact" w:before="0"/>
                          <w:ind w:left="0" w:right="18" w:firstLine="0"/>
                          <w:jc w:val="center"/>
                          <w:rPr>
                            <w:rFonts w:ascii="Calibri"/>
                            <w:b/>
                            <w:sz w:val="18"/>
                          </w:rPr>
                        </w:pPr>
                        <w:r>
                          <w:rPr>
                            <w:rFonts w:ascii="Calibri"/>
                            <w:b/>
                            <w:color w:val="FFFFFF"/>
                            <w:spacing w:val="-10"/>
                            <w:sz w:val="18"/>
                          </w:rPr>
                          <w:t>1</w:t>
                        </w:r>
                      </w:p>
                      <w:p>
                        <w:pPr>
                          <w:spacing w:line="216" w:lineRule="exact" w:before="106"/>
                          <w:ind w:left="0" w:right="18" w:firstLine="0"/>
                          <w:jc w:val="center"/>
                          <w:rPr>
                            <w:rFonts w:ascii="Calibri"/>
                            <w:sz w:val="18"/>
                          </w:rPr>
                        </w:pPr>
                        <w:r>
                          <w:rPr>
                            <w:rFonts w:ascii="Calibri"/>
                            <w:color w:val="585858"/>
                            <w:spacing w:val="-2"/>
                            <w:sz w:val="18"/>
                          </w:rPr>
                          <w:t>OP.03</w:t>
                        </w:r>
                      </w:p>
                    </w:txbxContent>
                  </v:textbox>
                  <w10:wrap type="none"/>
                </v:shape>
                <v:shape style="position:absolute;left:8468;top:2812;width:112;height:180" type="#_x0000_t202" id="docshape550"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8</w:t>
                        </w:r>
                      </w:p>
                    </w:txbxContent>
                  </v:textbox>
                  <w10:wrap type="none"/>
                </v:shape>
                <v:shape style="position:absolute;left:7432;top:2914;width:112;height:180" type="#_x0000_t202" id="docshape551"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3</w:t>
                        </w:r>
                      </w:p>
                    </w:txbxContent>
                  </v:textbox>
                  <w10:wrap type="none"/>
                </v:shape>
                <v:shape style="position:absolute;left:3290;top:3016;width:112;height:180" type="#_x0000_t202" id="docshape552"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6</w:t>
                        </w:r>
                      </w:p>
                    </w:txbxContent>
                  </v:textbox>
                  <w10:wrap type="none"/>
                </v:shape>
                <v:shape style="position:absolute;left:6397;top:2812;width:112;height:180" type="#_x0000_t202" id="docshape553"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8</w:t>
                        </w:r>
                      </w:p>
                    </w:txbxContent>
                  </v:textbox>
                  <w10:wrap type="none"/>
                </v:shape>
                <v:shape style="position:absolute;left:8468;top:1790;width:112;height:180" type="#_x0000_t202" id="docshape554"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2</w:t>
                        </w:r>
                      </w:p>
                    </w:txbxContent>
                  </v:textbox>
                  <w10:wrap type="none"/>
                </v:shape>
                <v:shape style="position:absolute;left:6397;top:1483;width:112;height:180" type="#_x0000_t202" id="docshape555"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5</w:t>
                        </w:r>
                      </w:p>
                    </w:txbxContent>
                  </v:textbox>
                  <w10:wrap type="none"/>
                </v:shape>
                <v:shape style="position:absolute;left:3290;top:1483;width:112;height:180" type="#_x0000_t202" id="docshape556" filled="false" stroked="false">
                  <v:textbox inset="0,0,0,0">
                    <w:txbxContent>
                      <w:p>
                        <w:pPr>
                          <w:spacing w:line="180" w:lineRule="exact" w:before="0"/>
                          <w:ind w:left="0" w:right="0" w:firstLine="0"/>
                          <w:jc w:val="left"/>
                          <w:rPr>
                            <w:rFonts w:ascii="Calibri"/>
                            <w:b/>
                            <w:sz w:val="18"/>
                          </w:rPr>
                        </w:pPr>
                        <w:r>
                          <w:rPr>
                            <w:rFonts w:ascii="Calibri"/>
                            <w:b/>
                            <w:color w:val="FFFFFF"/>
                            <w:spacing w:val="-10"/>
                            <w:sz w:val="18"/>
                          </w:rPr>
                          <w:t>9</w:t>
                        </w:r>
                      </w:p>
                    </w:txbxContent>
                  </v:textbox>
                  <w10:wrap type="none"/>
                </v:shape>
                <v:shape style="position:absolute;left:4164;top:2272;width:416;height:1431" type="#_x0000_t202" id="docshape557" filled="true" fillcolor="#4471c4" stroked="false">
                  <v:textbox inset="0,0,0,0">
                    <w:txbxContent>
                      <w:p>
                        <w:pPr>
                          <w:spacing w:line="240" w:lineRule="auto" w:before="0"/>
                          <w:rPr>
                            <w:rFonts w:ascii="Arial"/>
                            <w:i/>
                            <w:color w:val="000000"/>
                            <w:sz w:val="18"/>
                          </w:rPr>
                        </w:pPr>
                      </w:p>
                      <w:p>
                        <w:pPr>
                          <w:spacing w:line="240" w:lineRule="auto" w:before="192"/>
                          <w:rPr>
                            <w:rFonts w:ascii="Arial"/>
                            <w:i/>
                            <w:color w:val="000000"/>
                            <w:sz w:val="18"/>
                          </w:rPr>
                        </w:pPr>
                      </w:p>
                      <w:p>
                        <w:pPr>
                          <w:spacing w:before="0"/>
                          <w:ind w:left="0" w:right="0" w:firstLine="0"/>
                          <w:jc w:val="center"/>
                          <w:rPr>
                            <w:rFonts w:ascii="Calibri"/>
                            <w:b/>
                            <w:color w:val="000000"/>
                            <w:sz w:val="18"/>
                          </w:rPr>
                        </w:pPr>
                        <w:r>
                          <w:rPr>
                            <w:rFonts w:ascii="Calibri"/>
                            <w:b/>
                            <w:color w:val="FFFFFF"/>
                            <w:spacing w:val="-10"/>
                            <w:sz w:val="18"/>
                          </w:rPr>
                          <w:t>7</w:t>
                        </w:r>
                      </w:p>
                    </w:txbxContent>
                  </v:textbox>
                  <v:fill type="solid"/>
                  <w10:wrap type="none"/>
                </v:shape>
                <w10:wrap type="topAndBottom"/>
              </v:group>
            </w:pict>
          </mc:Fallback>
        </mc:AlternateContent>
      </w:r>
    </w:p>
    <w:p>
      <w:pPr>
        <w:spacing w:before="21"/>
        <w:ind w:left="0" w:right="615" w:firstLine="0"/>
        <w:jc w:val="center"/>
        <w:rPr>
          <w:rFonts w:ascii="Calibri" w:hAnsi="Calibri"/>
          <w:sz w:val="18"/>
        </w:rPr>
      </w:pPr>
      <w:r>
        <w:rPr>
          <w:rFonts w:ascii="Calibri" w:hAnsi="Calibri"/>
          <w:sz w:val="18"/>
        </w:rPr>
        <w:t>Elaboración</w:t>
      </w:r>
      <w:r>
        <w:rPr>
          <w:rFonts w:ascii="Calibri" w:hAnsi="Calibri"/>
          <w:spacing w:val="-7"/>
          <w:sz w:val="18"/>
        </w:rPr>
        <w:t> </w:t>
      </w:r>
      <w:r>
        <w:rPr>
          <w:rFonts w:ascii="Calibri" w:hAnsi="Calibri"/>
          <w:spacing w:val="-2"/>
          <w:sz w:val="18"/>
        </w:rPr>
        <w:t>propia.</w:t>
      </w:r>
    </w:p>
    <w:p>
      <w:pPr>
        <w:pStyle w:val="BodyText"/>
        <w:spacing w:before="4"/>
        <w:rPr>
          <w:rFonts w:ascii="Calibri"/>
          <w:sz w:val="18"/>
        </w:rPr>
      </w:pPr>
    </w:p>
    <w:p>
      <w:pPr>
        <w:pStyle w:val="BodyText"/>
        <w:spacing w:line="307" w:lineRule="auto"/>
        <w:ind w:left="143" w:right="703"/>
        <w:jc w:val="both"/>
      </w:pPr>
      <w:r>
        <w:rPr/>
        <w:t>Teniendo en cuenta que en el año 2023 se aprobaron 3 protocolos, se estima una</w:t>
      </w:r>
      <w:r>
        <w:rPr>
          <w:spacing w:val="30"/>
        </w:rPr>
        <w:t> </w:t>
      </w:r>
      <w:r>
        <w:rPr/>
        <w:t>tasa</w:t>
      </w:r>
      <w:r>
        <w:rPr>
          <w:spacing w:val="30"/>
        </w:rPr>
        <w:t> </w:t>
      </w:r>
      <w:r>
        <w:rPr/>
        <w:t>promedio</w:t>
      </w:r>
      <w:r>
        <w:rPr>
          <w:spacing w:val="30"/>
        </w:rPr>
        <w:t> </w:t>
      </w:r>
      <w:r>
        <w:rPr/>
        <w:t>de</w:t>
      </w:r>
      <w:r>
        <w:rPr>
          <w:spacing w:val="27"/>
        </w:rPr>
        <w:t> </w:t>
      </w:r>
      <w:r>
        <w:rPr/>
        <w:t>5</w:t>
      </w:r>
      <w:r>
        <w:rPr>
          <w:spacing w:val="29"/>
        </w:rPr>
        <w:t> </w:t>
      </w:r>
      <w:r>
        <w:rPr/>
        <w:t>protocolos</w:t>
      </w:r>
      <w:r>
        <w:rPr>
          <w:spacing w:val="30"/>
        </w:rPr>
        <w:t> </w:t>
      </w:r>
      <w:r>
        <w:rPr/>
        <w:t>aprobados</w:t>
      </w:r>
      <w:r>
        <w:rPr>
          <w:spacing w:val="28"/>
        </w:rPr>
        <w:t> </w:t>
      </w:r>
      <w:r>
        <w:rPr/>
        <w:t>por</w:t>
      </w:r>
      <w:r>
        <w:rPr>
          <w:spacing w:val="30"/>
        </w:rPr>
        <w:t> </w:t>
      </w:r>
      <w:r>
        <w:rPr/>
        <w:t>año.</w:t>
      </w:r>
      <w:r>
        <w:rPr>
          <w:spacing w:val="30"/>
        </w:rPr>
        <w:t> </w:t>
      </w:r>
      <w:r>
        <w:rPr/>
        <w:t>Esto</w:t>
      </w:r>
      <w:r>
        <w:rPr>
          <w:spacing w:val="30"/>
        </w:rPr>
        <w:t> </w:t>
      </w:r>
      <w:r>
        <w:rPr/>
        <w:t>sugiere</w:t>
      </w:r>
      <w:r>
        <w:rPr>
          <w:spacing w:val="30"/>
        </w:rPr>
        <w:t> </w:t>
      </w:r>
      <w:r>
        <w:rPr/>
        <w:t>que,</w:t>
      </w:r>
      <w:r>
        <w:rPr>
          <w:spacing w:val="31"/>
        </w:rPr>
        <w:t> </w:t>
      </w:r>
      <w:r>
        <w:rPr/>
        <w:t>de</w:t>
      </w:r>
    </w:p>
    <w:p>
      <w:pPr>
        <w:pStyle w:val="BodyText"/>
        <w:spacing w:after="0" w:line="307" w:lineRule="auto"/>
        <w:jc w:val="both"/>
        <w:sectPr>
          <w:pgSz w:w="11910" w:h="16840"/>
          <w:pgMar w:header="713" w:footer="1000" w:top="1420" w:bottom="1200" w:left="1559" w:right="992"/>
        </w:sectPr>
      </w:pPr>
    </w:p>
    <w:p>
      <w:pPr>
        <w:pStyle w:val="BodyText"/>
        <w:spacing w:line="304" w:lineRule="auto" w:before="123"/>
        <w:ind w:left="143" w:right="707"/>
        <w:jc w:val="both"/>
      </w:pPr>
      <w:r>
        <w:rPr/>
        <w:t>mantenerse la tendencia, la aprobación de los 32 protocolos pendientes culminaría en el año 2030 según el siguiente cuadro:</w:t>
      </w:r>
    </w:p>
    <w:p>
      <w:pPr>
        <w:pStyle w:val="BodyText"/>
        <w:spacing w:before="49"/>
      </w:pPr>
    </w:p>
    <w:p>
      <w:pPr>
        <w:spacing w:before="0"/>
        <w:ind w:left="0" w:right="611" w:firstLine="0"/>
        <w:jc w:val="center"/>
        <w:rPr>
          <w:rFonts w:ascii="Calibri" w:hAnsi="Calibri"/>
          <w:i/>
          <w:sz w:val="18"/>
        </w:rPr>
      </w:pPr>
      <w:r>
        <w:rPr>
          <w:rFonts w:ascii="Calibri" w:hAnsi="Calibri"/>
          <w:i/>
          <w:color w:val="44536A"/>
          <w:sz w:val="18"/>
        </w:rPr>
        <w:t>Tabla</w:t>
      </w:r>
      <w:r>
        <w:rPr>
          <w:rFonts w:ascii="Calibri" w:hAnsi="Calibri"/>
          <w:i/>
          <w:color w:val="44536A"/>
          <w:spacing w:val="-4"/>
          <w:sz w:val="18"/>
        </w:rPr>
        <w:t> </w:t>
      </w:r>
      <w:r>
        <w:rPr>
          <w:rFonts w:ascii="Calibri" w:hAnsi="Calibri"/>
          <w:i/>
          <w:color w:val="44536A"/>
          <w:sz w:val="18"/>
        </w:rPr>
        <w:t>23:</w:t>
      </w:r>
      <w:r>
        <w:rPr>
          <w:rFonts w:ascii="Calibri" w:hAnsi="Calibri"/>
          <w:i/>
          <w:color w:val="44536A"/>
          <w:spacing w:val="-5"/>
          <w:sz w:val="18"/>
        </w:rPr>
        <w:t> </w:t>
      </w:r>
      <w:r>
        <w:rPr>
          <w:rFonts w:ascii="Calibri" w:hAnsi="Calibri"/>
          <w:i/>
          <w:color w:val="44536A"/>
          <w:sz w:val="18"/>
        </w:rPr>
        <w:t>Proyección</w:t>
      </w:r>
      <w:r>
        <w:rPr>
          <w:rFonts w:ascii="Calibri" w:hAnsi="Calibri"/>
          <w:i/>
          <w:color w:val="44536A"/>
          <w:spacing w:val="-1"/>
          <w:sz w:val="18"/>
        </w:rPr>
        <w:t> </w:t>
      </w:r>
      <w:r>
        <w:rPr>
          <w:rFonts w:ascii="Calibri" w:hAnsi="Calibri"/>
          <w:i/>
          <w:color w:val="44536A"/>
          <w:sz w:val="18"/>
        </w:rPr>
        <w:t>de</w:t>
      </w:r>
      <w:r>
        <w:rPr>
          <w:rFonts w:ascii="Calibri" w:hAnsi="Calibri"/>
          <w:i/>
          <w:color w:val="44536A"/>
          <w:spacing w:val="-2"/>
          <w:sz w:val="18"/>
        </w:rPr>
        <w:t> </w:t>
      </w:r>
      <w:r>
        <w:rPr>
          <w:rFonts w:ascii="Calibri" w:hAnsi="Calibri"/>
          <w:i/>
          <w:color w:val="44536A"/>
          <w:sz w:val="18"/>
        </w:rPr>
        <w:t>la</w:t>
      </w:r>
      <w:r>
        <w:rPr>
          <w:rFonts w:ascii="Calibri" w:hAnsi="Calibri"/>
          <w:i/>
          <w:color w:val="44536A"/>
          <w:spacing w:val="-2"/>
          <w:sz w:val="18"/>
        </w:rPr>
        <w:t> </w:t>
      </w:r>
      <w:r>
        <w:rPr>
          <w:rFonts w:ascii="Calibri" w:hAnsi="Calibri"/>
          <w:i/>
          <w:color w:val="44536A"/>
          <w:sz w:val="18"/>
        </w:rPr>
        <w:t>aprobación de</w:t>
      </w:r>
      <w:r>
        <w:rPr>
          <w:rFonts w:ascii="Calibri" w:hAnsi="Calibri"/>
          <w:i/>
          <w:color w:val="44536A"/>
          <w:spacing w:val="-2"/>
          <w:sz w:val="18"/>
        </w:rPr>
        <w:t> </w:t>
      </w:r>
      <w:r>
        <w:rPr>
          <w:rFonts w:ascii="Calibri" w:hAnsi="Calibri"/>
          <w:i/>
          <w:color w:val="44536A"/>
          <w:sz w:val="18"/>
        </w:rPr>
        <w:t>protocolos</w:t>
      </w:r>
      <w:r>
        <w:rPr>
          <w:rFonts w:ascii="Calibri" w:hAnsi="Calibri"/>
          <w:i/>
          <w:color w:val="44536A"/>
          <w:spacing w:val="-3"/>
          <w:sz w:val="18"/>
        </w:rPr>
        <w:t> </w:t>
      </w:r>
      <w:r>
        <w:rPr>
          <w:rFonts w:ascii="Calibri" w:hAnsi="Calibri"/>
          <w:i/>
          <w:color w:val="44536A"/>
          <w:sz w:val="18"/>
        </w:rPr>
        <w:t>de</w:t>
      </w:r>
      <w:r>
        <w:rPr>
          <w:rFonts w:ascii="Calibri" w:hAnsi="Calibri"/>
          <w:i/>
          <w:color w:val="44536A"/>
          <w:spacing w:val="-2"/>
          <w:sz w:val="18"/>
        </w:rPr>
        <w:t> </w:t>
      </w:r>
      <w:r>
        <w:rPr>
          <w:rFonts w:ascii="Calibri" w:hAnsi="Calibri"/>
          <w:i/>
          <w:color w:val="44536A"/>
          <w:sz w:val="18"/>
        </w:rPr>
        <w:t>los</w:t>
      </w:r>
      <w:r>
        <w:rPr>
          <w:rFonts w:ascii="Calibri" w:hAnsi="Calibri"/>
          <w:i/>
          <w:color w:val="44536A"/>
          <w:spacing w:val="-3"/>
          <w:sz w:val="18"/>
        </w:rPr>
        <w:t> </w:t>
      </w:r>
      <w:r>
        <w:rPr>
          <w:rFonts w:ascii="Calibri" w:hAnsi="Calibri"/>
          <w:i/>
          <w:color w:val="44536A"/>
          <w:sz w:val="18"/>
        </w:rPr>
        <w:t>servicios</w:t>
      </w:r>
      <w:r>
        <w:rPr>
          <w:rFonts w:ascii="Calibri" w:hAnsi="Calibri"/>
          <w:i/>
          <w:color w:val="44536A"/>
          <w:spacing w:val="-3"/>
          <w:sz w:val="18"/>
        </w:rPr>
        <w:t> </w:t>
      </w:r>
      <w:r>
        <w:rPr>
          <w:rFonts w:ascii="Calibri" w:hAnsi="Calibri"/>
          <w:i/>
          <w:color w:val="44536A"/>
          <w:sz w:val="18"/>
        </w:rPr>
        <w:t>de</w:t>
      </w:r>
      <w:r>
        <w:rPr>
          <w:rFonts w:ascii="Calibri" w:hAnsi="Calibri"/>
          <w:i/>
          <w:color w:val="44536A"/>
          <w:spacing w:val="-2"/>
          <w:sz w:val="18"/>
        </w:rPr>
        <w:t> </w:t>
      </w:r>
      <w:r>
        <w:rPr>
          <w:rFonts w:ascii="Calibri" w:hAnsi="Calibri"/>
          <w:i/>
          <w:color w:val="44536A"/>
          <w:sz w:val="18"/>
        </w:rPr>
        <w:t>la</w:t>
      </w:r>
      <w:r>
        <w:rPr>
          <w:rFonts w:ascii="Calibri" w:hAnsi="Calibri"/>
          <w:i/>
          <w:color w:val="44536A"/>
          <w:spacing w:val="-4"/>
          <w:sz w:val="18"/>
        </w:rPr>
        <w:t> </w:t>
      </w:r>
      <w:r>
        <w:rPr>
          <w:rFonts w:ascii="Calibri" w:hAnsi="Calibri"/>
          <w:i/>
          <w:color w:val="44536A"/>
          <w:sz w:val="18"/>
        </w:rPr>
        <w:t>PNIG</w:t>
      </w:r>
      <w:r>
        <w:rPr>
          <w:rFonts w:ascii="Calibri" w:hAnsi="Calibri"/>
          <w:i/>
          <w:color w:val="44536A"/>
          <w:spacing w:val="-1"/>
          <w:sz w:val="18"/>
        </w:rPr>
        <w:t> </w:t>
      </w:r>
      <w:r>
        <w:rPr>
          <w:rFonts w:ascii="Calibri" w:hAnsi="Calibri"/>
          <w:i/>
          <w:color w:val="44536A"/>
          <w:sz w:val="18"/>
        </w:rPr>
        <w:t>posterior</w:t>
      </w:r>
      <w:r>
        <w:rPr>
          <w:rFonts w:ascii="Calibri" w:hAnsi="Calibri"/>
          <w:i/>
          <w:color w:val="44536A"/>
          <w:spacing w:val="-2"/>
          <w:sz w:val="18"/>
        </w:rPr>
        <w:t> </w:t>
      </w:r>
      <w:r>
        <w:rPr>
          <w:rFonts w:ascii="Calibri" w:hAnsi="Calibri"/>
          <w:i/>
          <w:color w:val="44536A"/>
          <w:sz w:val="18"/>
        </w:rPr>
        <w:t>al</w:t>
      </w:r>
      <w:r>
        <w:rPr>
          <w:rFonts w:ascii="Calibri" w:hAnsi="Calibri"/>
          <w:i/>
          <w:color w:val="44536A"/>
          <w:spacing w:val="-3"/>
          <w:sz w:val="18"/>
        </w:rPr>
        <w:t> </w:t>
      </w:r>
      <w:r>
        <w:rPr>
          <w:rFonts w:ascii="Calibri" w:hAnsi="Calibri"/>
          <w:i/>
          <w:color w:val="44536A"/>
          <w:sz w:val="18"/>
        </w:rPr>
        <w:t>año</w:t>
      </w:r>
      <w:r>
        <w:rPr>
          <w:rFonts w:ascii="Calibri" w:hAnsi="Calibri"/>
          <w:i/>
          <w:color w:val="44536A"/>
          <w:spacing w:val="-1"/>
          <w:sz w:val="18"/>
        </w:rPr>
        <w:t> </w:t>
      </w:r>
      <w:r>
        <w:rPr>
          <w:rFonts w:ascii="Calibri" w:hAnsi="Calibri"/>
          <w:i/>
          <w:color w:val="44536A"/>
          <w:spacing w:val="-4"/>
          <w:sz w:val="18"/>
        </w:rPr>
        <w:t>2023</w:t>
      </w:r>
    </w:p>
    <w:p>
      <w:pPr>
        <w:pStyle w:val="BodyText"/>
        <w:spacing w:before="3" w:after="1"/>
        <w:rPr>
          <w:rFonts w:ascii="Calibri"/>
          <w:i/>
          <w:sz w:val="16"/>
        </w:rPr>
      </w:pPr>
    </w:p>
    <w:tbl>
      <w:tblPr>
        <w:tblW w:w="0" w:type="auto"/>
        <w:jc w:val="left"/>
        <w:tblInd w:w="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18"/>
        <w:gridCol w:w="850"/>
        <w:gridCol w:w="852"/>
        <w:gridCol w:w="708"/>
        <w:gridCol w:w="708"/>
        <w:gridCol w:w="708"/>
        <w:gridCol w:w="852"/>
        <w:gridCol w:w="708"/>
        <w:gridCol w:w="853"/>
      </w:tblGrid>
      <w:tr>
        <w:trPr>
          <w:trHeight w:val="299" w:hRule="atLeast"/>
        </w:trPr>
        <w:tc>
          <w:tcPr>
            <w:tcW w:w="1418" w:type="dxa"/>
            <w:tcBorders>
              <w:top w:val="nil"/>
              <w:left w:val="nil"/>
            </w:tcBorders>
          </w:tcPr>
          <w:p>
            <w:pPr>
              <w:pStyle w:val="TableParagraph"/>
              <w:rPr>
                <w:rFonts w:ascii="Times New Roman"/>
                <w:sz w:val="22"/>
              </w:rPr>
            </w:pPr>
          </w:p>
        </w:tc>
        <w:tc>
          <w:tcPr>
            <w:tcW w:w="850" w:type="dxa"/>
            <w:shd w:val="clear" w:color="auto" w:fill="1F4E78"/>
          </w:tcPr>
          <w:p>
            <w:pPr>
              <w:pStyle w:val="TableParagraph"/>
              <w:spacing w:before="51"/>
              <w:ind w:left="10"/>
              <w:jc w:val="center"/>
              <w:rPr>
                <w:sz w:val="18"/>
              </w:rPr>
            </w:pPr>
            <w:r>
              <w:rPr>
                <w:color w:val="FFFFFF"/>
                <w:spacing w:val="-4"/>
                <w:sz w:val="18"/>
              </w:rPr>
              <w:t>2024</w:t>
            </w:r>
          </w:p>
        </w:tc>
        <w:tc>
          <w:tcPr>
            <w:tcW w:w="852" w:type="dxa"/>
            <w:shd w:val="clear" w:color="auto" w:fill="1F4E78"/>
          </w:tcPr>
          <w:p>
            <w:pPr>
              <w:pStyle w:val="TableParagraph"/>
              <w:spacing w:before="51"/>
              <w:ind w:left="9" w:right="1"/>
              <w:jc w:val="center"/>
              <w:rPr>
                <w:sz w:val="18"/>
              </w:rPr>
            </w:pPr>
            <w:r>
              <w:rPr>
                <w:color w:val="FFFFFF"/>
                <w:spacing w:val="-4"/>
                <w:sz w:val="18"/>
              </w:rPr>
              <w:t>2025</w:t>
            </w:r>
          </w:p>
        </w:tc>
        <w:tc>
          <w:tcPr>
            <w:tcW w:w="708" w:type="dxa"/>
            <w:shd w:val="clear" w:color="auto" w:fill="1F4E78"/>
          </w:tcPr>
          <w:p>
            <w:pPr>
              <w:pStyle w:val="TableParagraph"/>
              <w:spacing w:before="51"/>
              <w:ind w:left="14" w:right="6"/>
              <w:jc w:val="center"/>
              <w:rPr>
                <w:sz w:val="18"/>
              </w:rPr>
            </w:pPr>
            <w:r>
              <w:rPr>
                <w:color w:val="FFFFFF"/>
                <w:spacing w:val="-4"/>
                <w:sz w:val="18"/>
              </w:rPr>
              <w:t>2026</w:t>
            </w:r>
          </w:p>
        </w:tc>
        <w:tc>
          <w:tcPr>
            <w:tcW w:w="708" w:type="dxa"/>
            <w:shd w:val="clear" w:color="auto" w:fill="1F4E78"/>
          </w:tcPr>
          <w:p>
            <w:pPr>
              <w:pStyle w:val="TableParagraph"/>
              <w:spacing w:before="51"/>
              <w:ind w:left="14" w:right="1"/>
              <w:jc w:val="center"/>
              <w:rPr>
                <w:sz w:val="18"/>
              </w:rPr>
            </w:pPr>
            <w:r>
              <w:rPr>
                <w:color w:val="FFFFFF"/>
                <w:spacing w:val="-4"/>
                <w:sz w:val="18"/>
              </w:rPr>
              <w:t>2027</w:t>
            </w:r>
          </w:p>
        </w:tc>
        <w:tc>
          <w:tcPr>
            <w:tcW w:w="708" w:type="dxa"/>
            <w:shd w:val="clear" w:color="auto" w:fill="1F4E78"/>
          </w:tcPr>
          <w:p>
            <w:pPr>
              <w:pStyle w:val="TableParagraph"/>
              <w:spacing w:before="51"/>
              <w:ind w:left="14"/>
              <w:jc w:val="center"/>
              <w:rPr>
                <w:sz w:val="18"/>
              </w:rPr>
            </w:pPr>
            <w:r>
              <w:rPr>
                <w:color w:val="FFFFFF"/>
                <w:spacing w:val="-4"/>
                <w:sz w:val="18"/>
              </w:rPr>
              <w:t>2028</w:t>
            </w:r>
          </w:p>
        </w:tc>
        <w:tc>
          <w:tcPr>
            <w:tcW w:w="852" w:type="dxa"/>
            <w:shd w:val="clear" w:color="auto" w:fill="1F4E78"/>
          </w:tcPr>
          <w:p>
            <w:pPr>
              <w:pStyle w:val="TableParagraph"/>
              <w:spacing w:before="51"/>
              <w:ind w:left="9"/>
              <w:jc w:val="center"/>
              <w:rPr>
                <w:sz w:val="18"/>
              </w:rPr>
            </w:pPr>
            <w:r>
              <w:rPr>
                <w:color w:val="FFFFFF"/>
                <w:spacing w:val="-4"/>
                <w:sz w:val="18"/>
              </w:rPr>
              <w:t>2029</w:t>
            </w:r>
          </w:p>
        </w:tc>
        <w:tc>
          <w:tcPr>
            <w:tcW w:w="708" w:type="dxa"/>
            <w:shd w:val="clear" w:color="auto" w:fill="1F4E78"/>
          </w:tcPr>
          <w:p>
            <w:pPr>
              <w:pStyle w:val="TableParagraph"/>
              <w:spacing w:before="51"/>
              <w:ind w:left="14"/>
              <w:jc w:val="center"/>
              <w:rPr>
                <w:sz w:val="18"/>
              </w:rPr>
            </w:pPr>
            <w:r>
              <w:rPr>
                <w:color w:val="FFFFFF"/>
                <w:spacing w:val="-4"/>
                <w:sz w:val="18"/>
              </w:rPr>
              <w:t>2030</w:t>
            </w:r>
          </w:p>
        </w:tc>
        <w:tc>
          <w:tcPr>
            <w:tcW w:w="853" w:type="dxa"/>
            <w:shd w:val="clear" w:color="auto" w:fill="1F4E78"/>
          </w:tcPr>
          <w:p>
            <w:pPr>
              <w:pStyle w:val="TableParagraph"/>
              <w:spacing w:before="51"/>
              <w:ind w:left="8" w:right="3"/>
              <w:jc w:val="center"/>
              <w:rPr>
                <w:sz w:val="18"/>
              </w:rPr>
            </w:pPr>
            <w:r>
              <w:rPr>
                <w:color w:val="FFFFFF"/>
                <w:spacing w:val="-2"/>
                <w:sz w:val="18"/>
              </w:rPr>
              <w:t>Total</w:t>
            </w:r>
          </w:p>
        </w:tc>
      </w:tr>
      <w:tr>
        <w:trPr>
          <w:trHeight w:val="491" w:hRule="atLeast"/>
        </w:trPr>
        <w:tc>
          <w:tcPr>
            <w:tcW w:w="1418" w:type="dxa"/>
            <w:shd w:val="clear" w:color="auto" w:fill="1F4E78"/>
          </w:tcPr>
          <w:p>
            <w:pPr>
              <w:pStyle w:val="TableParagraph"/>
              <w:spacing w:before="25"/>
              <w:ind w:left="9" w:right="2"/>
              <w:jc w:val="center"/>
              <w:rPr>
                <w:sz w:val="18"/>
              </w:rPr>
            </w:pPr>
            <w:r>
              <w:rPr>
                <w:color w:val="FFFFFF"/>
                <w:sz w:val="18"/>
              </w:rPr>
              <w:t>Aprobación</w:t>
            </w:r>
            <w:r>
              <w:rPr>
                <w:color w:val="FFFFFF"/>
                <w:spacing w:val="9"/>
                <w:sz w:val="18"/>
              </w:rPr>
              <w:t> </w:t>
            </w:r>
            <w:r>
              <w:rPr>
                <w:color w:val="FFFFFF"/>
                <w:spacing w:val="-5"/>
                <w:sz w:val="18"/>
              </w:rPr>
              <w:t>de</w:t>
            </w:r>
          </w:p>
          <w:p>
            <w:pPr>
              <w:pStyle w:val="TableParagraph"/>
              <w:spacing w:line="201" w:lineRule="exact" w:before="38"/>
              <w:ind w:left="9"/>
              <w:jc w:val="center"/>
              <w:rPr>
                <w:sz w:val="18"/>
              </w:rPr>
            </w:pPr>
            <w:r>
              <w:rPr>
                <w:color w:val="FFFFFF"/>
                <w:spacing w:val="-2"/>
                <w:w w:val="105"/>
                <w:sz w:val="18"/>
              </w:rPr>
              <w:t>protocolos</w:t>
            </w:r>
          </w:p>
        </w:tc>
        <w:tc>
          <w:tcPr>
            <w:tcW w:w="850" w:type="dxa"/>
          </w:tcPr>
          <w:p>
            <w:pPr>
              <w:pStyle w:val="TableParagraph"/>
              <w:spacing w:before="147"/>
              <w:ind w:left="10" w:right="3"/>
              <w:jc w:val="center"/>
              <w:rPr>
                <w:sz w:val="18"/>
              </w:rPr>
            </w:pPr>
            <w:r>
              <w:rPr>
                <w:spacing w:val="-10"/>
                <w:sz w:val="18"/>
              </w:rPr>
              <w:t>5</w:t>
            </w:r>
          </w:p>
        </w:tc>
        <w:tc>
          <w:tcPr>
            <w:tcW w:w="852" w:type="dxa"/>
          </w:tcPr>
          <w:p>
            <w:pPr>
              <w:pStyle w:val="TableParagraph"/>
              <w:spacing w:before="147"/>
              <w:ind w:left="9" w:right="4"/>
              <w:jc w:val="center"/>
              <w:rPr>
                <w:sz w:val="18"/>
              </w:rPr>
            </w:pPr>
            <w:r>
              <w:rPr>
                <w:spacing w:val="-10"/>
                <w:sz w:val="18"/>
              </w:rPr>
              <w:t>5</w:t>
            </w:r>
          </w:p>
        </w:tc>
        <w:tc>
          <w:tcPr>
            <w:tcW w:w="708" w:type="dxa"/>
          </w:tcPr>
          <w:p>
            <w:pPr>
              <w:pStyle w:val="TableParagraph"/>
              <w:spacing w:before="147"/>
              <w:ind w:left="14" w:right="9"/>
              <w:jc w:val="center"/>
              <w:rPr>
                <w:sz w:val="18"/>
              </w:rPr>
            </w:pPr>
            <w:r>
              <w:rPr>
                <w:spacing w:val="-10"/>
                <w:sz w:val="18"/>
              </w:rPr>
              <w:t>5</w:t>
            </w:r>
          </w:p>
        </w:tc>
        <w:tc>
          <w:tcPr>
            <w:tcW w:w="708" w:type="dxa"/>
          </w:tcPr>
          <w:p>
            <w:pPr>
              <w:pStyle w:val="TableParagraph"/>
              <w:spacing w:before="147"/>
              <w:ind w:left="14" w:right="4"/>
              <w:jc w:val="center"/>
              <w:rPr>
                <w:sz w:val="18"/>
              </w:rPr>
            </w:pPr>
            <w:r>
              <w:rPr>
                <w:spacing w:val="-10"/>
                <w:sz w:val="18"/>
              </w:rPr>
              <w:t>5</w:t>
            </w:r>
          </w:p>
        </w:tc>
        <w:tc>
          <w:tcPr>
            <w:tcW w:w="708" w:type="dxa"/>
          </w:tcPr>
          <w:p>
            <w:pPr>
              <w:pStyle w:val="TableParagraph"/>
              <w:spacing w:before="147"/>
              <w:ind w:left="14" w:right="3"/>
              <w:jc w:val="center"/>
              <w:rPr>
                <w:sz w:val="18"/>
              </w:rPr>
            </w:pPr>
            <w:r>
              <w:rPr>
                <w:spacing w:val="-10"/>
                <w:sz w:val="18"/>
              </w:rPr>
              <w:t>5</w:t>
            </w:r>
          </w:p>
        </w:tc>
        <w:tc>
          <w:tcPr>
            <w:tcW w:w="852" w:type="dxa"/>
          </w:tcPr>
          <w:p>
            <w:pPr>
              <w:pStyle w:val="TableParagraph"/>
              <w:spacing w:before="147"/>
              <w:ind w:left="9" w:right="3"/>
              <w:jc w:val="center"/>
              <w:rPr>
                <w:sz w:val="18"/>
              </w:rPr>
            </w:pPr>
            <w:r>
              <w:rPr>
                <w:spacing w:val="-10"/>
                <w:sz w:val="18"/>
              </w:rPr>
              <w:t>5</w:t>
            </w:r>
          </w:p>
        </w:tc>
        <w:tc>
          <w:tcPr>
            <w:tcW w:w="708" w:type="dxa"/>
          </w:tcPr>
          <w:p>
            <w:pPr>
              <w:pStyle w:val="TableParagraph"/>
              <w:spacing w:before="147"/>
              <w:ind w:left="14" w:right="3"/>
              <w:jc w:val="center"/>
              <w:rPr>
                <w:sz w:val="18"/>
              </w:rPr>
            </w:pPr>
            <w:r>
              <w:rPr>
                <w:spacing w:val="-10"/>
                <w:sz w:val="18"/>
              </w:rPr>
              <w:t>2</w:t>
            </w:r>
          </w:p>
        </w:tc>
        <w:tc>
          <w:tcPr>
            <w:tcW w:w="853" w:type="dxa"/>
          </w:tcPr>
          <w:p>
            <w:pPr>
              <w:pStyle w:val="TableParagraph"/>
              <w:spacing w:before="147"/>
              <w:ind w:left="8"/>
              <w:jc w:val="center"/>
              <w:rPr>
                <w:sz w:val="18"/>
              </w:rPr>
            </w:pPr>
            <w:r>
              <w:rPr>
                <w:spacing w:val="-5"/>
                <w:sz w:val="18"/>
              </w:rPr>
              <w:t>32</w:t>
            </w:r>
          </w:p>
        </w:tc>
      </w:tr>
    </w:tbl>
    <w:p>
      <w:pPr>
        <w:spacing w:before="2"/>
        <w:ind w:left="-1" w:right="615" w:firstLine="0"/>
        <w:jc w:val="center"/>
        <w:rPr>
          <w:rFonts w:ascii="Calibri" w:hAnsi="Calibri"/>
          <w:sz w:val="18"/>
        </w:rPr>
      </w:pPr>
      <w:r>
        <w:rPr>
          <w:rFonts w:ascii="Calibri" w:hAnsi="Calibri"/>
          <w:sz w:val="18"/>
        </w:rPr>
        <w:t>Elaboración</w:t>
      </w:r>
      <w:r>
        <w:rPr>
          <w:rFonts w:ascii="Calibri" w:hAnsi="Calibri"/>
          <w:spacing w:val="-8"/>
          <w:sz w:val="18"/>
        </w:rPr>
        <w:t> </w:t>
      </w:r>
      <w:r>
        <w:rPr>
          <w:rFonts w:ascii="Calibri" w:hAnsi="Calibri"/>
          <w:spacing w:val="-2"/>
          <w:sz w:val="18"/>
        </w:rPr>
        <w:t>propia.</w:t>
      </w:r>
    </w:p>
    <w:p>
      <w:pPr>
        <w:pStyle w:val="BodyText"/>
        <w:rPr>
          <w:rFonts w:ascii="Calibri"/>
          <w:sz w:val="18"/>
        </w:rPr>
      </w:pPr>
    </w:p>
    <w:p>
      <w:pPr>
        <w:pStyle w:val="BodyText"/>
        <w:spacing w:before="139"/>
        <w:rPr>
          <w:rFonts w:ascii="Calibri"/>
          <w:sz w:val="18"/>
        </w:rPr>
      </w:pPr>
    </w:p>
    <w:p>
      <w:pPr>
        <w:pStyle w:val="BodyText"/>
        <w:spacing w:line="326" w:lineRule="auto"/>
        <w:ind w:left="143" w:right="703"/>
        <w:jc w:val="both"/>
      </w:pPr>
      <w:r>
        <w:rPr/>
        <w:t>Lo anterior implica que no se podría realizar un seguimiento y evaluación de todos los servicios durante el periodo de implementación de la PNIG, el cual abarca del año 2019 a 2030.</w:t>
      </w:r>
    </w:p>
    <w:p>
      <w:pPr>
        <w:pStyle w:val="BodyText"/>
        <w:spacing w:before="101"/>
      </w:pPr>
    </w:p>
    <w:p>
      <w:pPr>
        <w:pStyle w:val="BodyText"/>
        <w:spacing w:line="326" w:lineRule="auto"/>
        <w:ind w:left="143" w:right="704"/>
        <w:jc w:val="both"/>
      </w:pPr>
      <w:r>
        <w:rPr/>
        <w:t>Teniendo en cuenta el estado de elaboración de los protocolos, así como las limitaciones identificadas, es importante que se evalúe la actualización de la Política Nacional de Igualdad de Género (PNIG), en donde se debe realizar un alineamiento a la metodología vigente de CEPLAN, así como incorporar las recomendaciones que puedan derivar de la presente evaluación.</w:t>
      </w:r>
    </w:p>
    <w:p>
      <w:pPr>
        <w:pStyle w:val="BodyText"/>
      </w:pPr>
    </w:p>
    <w:p>
      <w:pPr>
        <w:pStyle w:val="BodyText"/>
        <w:spacing w:before="52"/>
      </w:pPr>
    </w:p>
    <w:p>
      <w:pPr>
        <w:pStyle w:val="Heading1"/>
        <w:numPr>
          <w:ilvl w:val="0"/>
          <w:numId w:val="3"/>
        </w:numPr>
        <w:tabs>
          <w:tab w:pos="569" w:val="left" w:leader="none"/>
        </w:tabs>
        <w:spacing w:line="240" w:lineRule="auto" w:before="0" w:after="0"/>
        <w:ind w:left="569" w:right="0" w:hanging="426"/>
        <w:jc w:val="left"/>
      </w:pPr>
      <w:bookmarkStart w:name="_bookmark23" w:id="24"/>
      <w:bookmarkEnd w:id="24"/>
      <w:r>
        <w:rPr/>
      </w:r>
      <w:r>
        <w:rPr>
          <w:color w:val="2E5395"/>
        </w:rPr>
        <w:t>Respecto</w:t>
      </w:r>
      <w:r>
        <w:rPr>
          <w:color w:val="2E5395"/>
          <w:spacing w:val="-19"/>
        </w:rPr>
        <w:t> </w:t>
      </w:r>
      <w:r>
        <w:rPr>
          <w:color w:val="2E5395"/>
        </w:rPr>
        <w:t>a</w:t>
      </w:r>
      <w:r>
        <w:rPr>
          <w:color w:val="2E5395"/>
          <w:spacing w:val="-18"/>
        </w:rPr>
        <w:t> </w:t>
      </w:r>
      <w:r>
        <w:rPr>
          <w:color w:val="2E5395"/>
        </w:rPr>
        <w:t>la</w:t>
      </w:r>
      <w:r>
        <w:rPr>
          <w:color w:val="2E5395"/>
          <w:spacing w:val="-18"/>
        </w:rPr>
        <w:t> </w:t>
      </w:r>
      <w:r>
        <w:rPr>
          <w:color w:val="2E5395"/>
        </w:rPr>
        <w:t>evaluación</w:t>
      </w:r>
      <w:r>
        <w:rPr>
          <w:color w:val="2E5395"/>
          <w:spacing w:val="-20"/>
        </w:rPr>
        <w:t> </w:t>
      </w:r>
      <w:r>
        <w:rPr>
          <w:color w:val="2E5395"/>
        </w:rPr>
        <w:t>de</w:t>
      </w:r>
      <w:r>
        <w:rPr>
          <w:color w:val="2E5395"/>
          <w:spacing w:val="-19"/>
        </w:rPr>
        <w:t> </w:t>
      </w:r>
      <w:r>
        <w:rPr>
          <w:color w:val="2E5395"/>
          <w:spacing w:val="-2"/>
        </w:rPr>
        <w:t>CEPLAN.</w:t>
      </w:r>
    </w:p>
    <w:p>
      <w:pPr>
        <w:pStyle w:val="BodyText"/>
        <w:spacing w:line="307" w:lineRule="auto" w:before="332"/>
        <w:ind w:left="143" w:right="704"/>
        <w:jc w:val="both"/>
      </w:pPr>
      <w:r>
        <w:rPr>
          <w:spacing w:val="-2"/>
        </w:rPr>
        <w:t>Entre</w:t>
      </w:r>
      <w:r>
        <w:rPr>
          <w:spacing w:val="-14"/>
        </w:rPr>
        <w:t> </w:t>
      </w:r>
      <w:r>
        <w:rPr>
          <w:spacing w:val="-2"/>
        </w:rPr>
        <w:t>mayo</w:t>
      </w:r>
      <w:r>
        <w:rPr>
          <w:spacing w:val="-13"/>
        </w:rPr>
        <w:t> </w:t>
      </w:r>
      <w:r>
        <w:rPr>
          <w:spacing w:val="-2"/>
        </w:rPr>
        <w:t>y</w:t>
      </w:r>
      <w:r>
        <w:rPr>
          <w:spacing w:val="-14"/>
        </w:rPr>
        <w:t> </w:t>
      </w:r>
      <w:r>
        <w:rPr>
          <w:spacing w:val="-2"/>
        </w:rPr>
        <w:t>noviembre</w:t>
      </w:r>
      <w:r>
        <w:rPr>
          <w:spacing w:val="-14"/>
        </w:rPr>
        <w:t> </w:t>
      </w:r>
      <w:r>
        <w:rPr>
          <w:spacing w:val="-2"/>
        </w:rPr>
        <w:t>de</w:t>
      </w:r>
      <w:r>
        <w:rPr>
          <w:spacing w:val="-14"/>
        </w:rPr>
        <w:t> </w:t>
      </w:r>
      <w:r>
        <w:rPr>
          <w:spacing w:val="-2"/>
        </w:rPr>
        <w:t>2024,</w:t>
      </w:r>
      <w:r>
        <w:rPr>
          <w:spacing w:val="-13"/>
        </w:rPr>
        <w:t> </w:t>
      </w:r>
      <w:r>
        <w:rPr>
          <w:spacing w:val="-2"/>
        </w:rPr>
        <w:t>CEPLAN</w:t>
      </w:r>
      <w:r>
        <w:rPr>
          <w:spacing w:val="-15"/>
        </w:rPr>
        <w:t> </w:t>
      </w:r>
      <w:r>
        <w:rPr>
          <w:spacing w:val="-2"/>
        </w:rPr>
        <w:t>llevó</w:t>
      </w:r>
      <w:r>
        <w:rPr>
          <w:spacing w:val="-12"/>
        </w:rPr>
        <w:t> </w:t>
      </w:r>
      <w:r>
        <w:rPr>
          <w:spacing w:val="-2"/>
        </w:rPr>
        <w:t>a</w:t>
      </w:r>
      <w:r>
        <w:rPr>
          <w:spacing w:val="-14"/>
        </w:rPr>
        <w:t> </w:t>
      </w:r>
      <w:r>
        <w:rPr>
          <w:spacing w:val="-2"/>
        </w:rPr>
        <w:t>cabo</w:t>
      </w:r>
      <w:r>
        <w:rPr>
          <w:spacing w:val="-13"/>
        </w:rPr>
        <w:t> </w:t>
      </w:r>
      <w:r>
        <w:rPr>
          <w:spacing w:val="-2"/>
        </w:rPr>
        <w:t>una</w:t>
      </w:r>
      <w:r>
        <w:rPr>
          <w:spacing w:val="-14"/>
        </w:rPr>
        <w:t> </w:t>
      </w:r>
      <w:r>
        <w:rPr>
          <w:spacing w:val="-2"/>
        </w:rPr>
        <w:t>evaluación</w:t>
      </w:r>
      <w:r>
        <w:rPr>
          <w:spacing w:val="-14"/>
        </w:rPr>
        <w:t> </w:t>
      </w:r>
      <w:r>
        <w:rPr>
          <w:spacing w:val="-2"/>
        </w:rPr>
        <w:t>de</w:t>
      </w:r>
      <w:r>
        <w:rPr>
          <w:spacing w:val="-14"/>
        </w:rPr>
        <w:t> </w:t>
      </w:r>
      <w:r>
        <w:rPr>
          <w:spacing w:val="-2"/>
        </w:rPr>
        <w:t>diseño </w:t>
      </w:r>
      <w:r>
        <w:rPr/>
        <w:t>e implementación de la primera orientación prioritaria (OP1) de la Política Nacional</w:t>
      </w:r>
      <w:r>
        <w:rPr>
          <w:spacing w:val="-14"/>
        </w:rPr>
        <w:t> </w:t>
      </w:r>
      <w:r>
        <w:rPr/>
        <w:t>de</w:t>
      </w:r>
      <w:r>
        <w:rPr>
          <w:spacing w:val="-15"/>
        </w:rPr>
        <w:t> </w:t>
      </w:r>
      <w:r>
        <w:rPr/>
        <w:t>Igualdad</w:t>
      </w:r>
      <w:r>
        <w:rPr>
          <w:spacing w:val="-14"/>
        </w:rPr>
        <w:t> </w:t>
      </w:r>
      <w:r>
        <w:rPr/>
        <w:t>de</w:t>
      </w:r>
      <w:r>
        <w:rPr>
          <w:spacing w:val="-15"/>
        </w:rPr>
        <w:t> </w:t>
      </w:r>
      <w:r>
        <w:rPr/>
        <w:t>Género</w:t>
      </w:r>
      <w:r>
        <w:rPr>
          <w:spacing w:val="-14"/>
        </w:rPr>
        <w:t> </w:t>
      </w:r>
      <w:r>
        <w:rPr/>
        <w:t>(PNIG),</w:t>
      </w:r>
      <w:r>
        <w:rPr>
          <w:spacing w:val="-14"/>
        </w:rPr>
        <w:t> </w:t>
      </w:r>
      <w:r>
        <w:rPr/>
        <w:t>con</w:t>
      </w:r>
      <w:r>
        <w:rPr>
          <w:spacing w:val="-15"/>
        </w:rPr>
        <w:t> </w:t>
      </w:r>
      <w:r>
        <w:rPr/>
        <w:t>el</w:t>
      </w:r>
      <w:r>
        <w:rPr>
          <w:spacing w:val="-14"/>
        </w:rPr>
        <w:t> </w:t>
      </w:r>
      <w:r>
        <w:rPr/>
        <w:t>objetivo</w:t>
      </w:r>
      <w:r>
        <w:rPr>
          <w:spacing w:val="-14"/>
        </w:rPr>
        <w:t> </w:t>
      </w:r>
      <w:r>
        <w:rPr/>
        <w:t>de</w:t>
      </w:r>
      <w:r>
        <w:rPr>
          <w:spacing w:val="-15"/>
        </w:rPr>
        <w:t> </w:t>
      </w:r>
      <w:r>
        <w:rPr/>
        <w:t>analizar</w:t>
      </w:r>
      <w:r>
        <w:rPr>
          <w:spacing w:val="-15"/>
        </w:rPr>
        <w:t> </w:t>
      </w:r>
      <w:r>
        <w:rPr/>
        <w:t>la</w:t>
      </w:r>
      <w:r>
        <w:rPr>
          <w:spacing w:val="-17"/>
        </w:rPr>
        <w:t> </w:t>
      </w:r>
      <w:r>
        <w:rPr/>
        <w:t>efectividad de su ejecución y alineación con los objetivos planteados. La metodología utilizada fue de análisis mixto, integrando tanto enfoques cualitativos como cuantitativos. Este enfoque metodológico incluyó:</w:t>
      </w:r>
    </w:p>
    <w:p>
      <w:pPr>
        <w:pStyle w:val="ListParagraph"/>
        <w:numPr>
          <w:ilvl w:val="0"/>
          <w:numId w:val="19"/>
        </w:numPr>
        <w:tabs>
          <w:tab w:pos="860" w:val="left" w:leader="none"/>
          <w:tab w:pos="862" w:val="left" w:leader="none"/>
        </w:tabs>
        <w:spacing w:line="309" w:lineRule="auto" w:before="158" w:after="0"/>
        <w:ind w:left="862" w:right="709" w:hanging="360"/>
        <w:jc w:val="both"/>
        <w:rPr>
          <w:sz w:val="24"/>
        </w:rPr>
      </w:pPr>
      <w:r>
        <w:rPr>
          <w:sz w:val="24"/>
        </w:rPr>
        <w:t>Revisión documental: para analizar los documentos normativos, estratégicos y operativos relacionados con la OP1 de la PNIG.</w:t>
      </w:r>
    </w:p>
    <w:p>
      <w:pPr>
        <w:pStyle w:val="ListParagraph"/>
        <w:numPr>
          <w:ilvl w:val="0"/>
          <w:numId w:val="19"/>
        </w:numPr>
        <w:tabs>
          <w:tab w:pos="860" w:val="left" w:leader="none"/>
          <w:tab w:pos="862" w:val="left" w:leader="none"/>
        </w:tabs>
        <w:spacing w:line="309" w:lineRule="auto" w:before="152" w:after="0"/>
        <w:ind w:left="862" w:right="707" w:hanging="360"/>
        <w:jc w:val="both"/>
        <w:rPr>
          <w:sz w:val="24"/>
        </w:rPr>
      </w:pPr>
      <w:r>
        <w:rPr>
          <w:sz w:val="24"/>
        </w:rPr>
        <w:t>Análisis de reportes de seguimiento: evaluación de los reportes que dan cuenta del avance en los indicadores de la OP1.</w:t>
      </w:r>
    </w:p>
    <w:p>
      <w:pPr>
        <w:pStyle w:val="ListParagraph"/>
        <w:numPr>
          <w:ilvl w:val="0"/>
          <w:numId w:val="19"/>
        </w:numPr>
        <w:tabs>
          <w:tab w:pos="860" w:val="left" w:leader="none"/>
          <w:tab w:pos="862" w:val="left" w:leader="none"/>
        </w:tabs>
        <w:spacing w:line="307" w:lineRule="auto" w:before="155" w:after="0"/>
        <w:ind w:left="862" w:right="707" w:hanging="360"/>
        <w:jc w:val="both"/>
        <w:rPr>
          <w:sz w:val="24"/>
        </w:rPr>
      </w:pPr>
      <w:r>
        <w:rPr>
          <w:sz w:val="24"/>
        </w:rPr>
        <w:t>Entrevistas</w:t>
      </w:r>
      <w:r>
        <w:rPr>
          <w:spacing w:val="-4"/>
          <w:sz w:val="24"/>
        </w:rPr>
        <w:t> </w:t>
      </w:r>
      <w:r>
        <w:rPr>
          <w:sz w:val="24"/>
        </w:rPr>
        <w:t>complementarias:</w:t>
      </w:r>
      <w:r>
        <w:rPr>
          <w:spacing w:val="-4"/>
          <w:sz w:val="24"/>
        </w:rPr>
        <w:t> </w:t>
      </w:r>
      <w:r>
        <w:rPr>
          <w:sz w:val="24"/>
        </w:rPr>
        <w:t>dirigidas</w:t>
      </w:r>
      <w:r>
        <w:rPr>
          <w:spacing w:val="-4"/>
          <w:sz w:val="24"/>
        </w:rPr>
        <w:t> </w:t>
      </w:r>
      <w:r>
        <w:rPr>
          <w:sz w:val="24"/>
        </w:rPr>
        <w:t>a</w:t>
      </w:r>
      <w:r>
        <w:rPr>
          <w:spacing w:val="-5"/>
          <w:sz w:val="24"/>
        </w:rPr>
        <w:t> </w:t>
      </w:r>
      <w:r>
        <w:rPr>
          <w:sz w:val="24"/>
        </w:rPr>
        <w:t>actores</w:t>
      </w:r>
      <w:r>
        <w:rPr>
          <w:spacing w:val="-6"/>
          <w:sz w:val="24"/>
        </w:rPr>
        <w:t> </w:t>
      </w:r>
      <w:r>
        <w:rPr>
          <w:sz w:val="24"/>
        </w:rPr>
        <w:t>clave</w:t>
      </w:r>
      <w:r>
        <w:rPr>
          <w:spacing w:val="-8"/>
          <w:sz w:val="24"/>
        </w:rPr>
        <w:t> </w:t>
      </w:r>
      <w:r>
        <w:rPr>
          <w:sz w:val="24"/>
        </w:rPr>
        <w:t>involucrados</w:t>
      </w:r>
      <w:r>
        <w:rPr>
          <w:spacing w:val="-4"/>
          <w:sz w:val="24"/>
        </w:rPr>
        <w:t> </w:t>
      </w:r>
      <w:r>
        <w:rPr>
          <w:sz w:val="24"/>
        </w:rPr>
        <w:t>en</w:t>
      </w:r>
      <w:r>
        <w:rPr>
          <w:spacing w:val="-5"/>
          <w:sz w:val="24"/>
        </w:rPr>
        <w:t> </w:t>
      </w:r>
      <w:r>
        <w:rPr>
          <w:sz w:val="24"/>
        </w:rPr>
        <w:t>la implementación de la PNIG, para recabar información contextual y </w:t>
      </w:r>
      <w:r>
        <w:rPr>
          <w:spacing w:val="-2"/>
          <w:sz w:val="24"/>
        </w:rPr>
        <w:t>cualitativa.</w:t>
      </w:r>
    </w:p>
    <w:p>
      <w:pPr>
        <w:pStyle w:val="BodyText"/>
      </w:pPr>
    </w:p>
    <w:p>
      <w:pPr>
        <w:pStyle w:val="BodyText"/>
        <w:spacing w:before="121"/>
      </w:pPr>
    </w:p>
    <w:p>
      <w:pPr>
        <w:pStyle w:val="BodyText"/>
        <w:ind w:left="143"/>
        <w:jc w:val="both"/>
      </w:pPr>
      <w:r>
        <w:rPr/>
        <w:t>Las</w:t>
      </w:r>
      <w:r>
        <w:rPr>
          <w:spacing w:val="-2"/>
        </w:rPr>
        <w:t> </w:t>
      </w:r>
      <w:r>
        <w:rPr/>
        <w:t>preguntas</w:t>
      </w:r>
      <w:r>
        <w:rPr>
          <w:spacing w:val="-3"/>
        </w:rPr>
        <w:t> </w:t>
      </w:r>
      <w:r>
        <w:rPr/>
        <w:t>de</w:t>
      </w:r>
      <w:r>
        <w:rPr>
          <w:spacing w:val="-2"/>
        </w:rPr>
        <w:t> </w:t>
      </w:r>
      <w:r>
        <w:rPr/>
        <w:t>evaluación</w:t>
      </w:r>
      <w:r>
        <w:rPr>
          <w:spacing w:val="-4"/>
        </w:rPr>
        <w:t> </w:t>
      </w:r>
      <w:r>
        <w:rPr/>
        <w:t>que</w:t>
      </w:r>
      <w:r>
        <w:rPr>
          <w:spacing w:val="-2"/>
        </w:rPr>
        <w:t> </w:t>
      </w:r>
      <w:r>
        <w:rPr/>
        <w:t>guiaron</w:t>
      </w:r>
      <w:r>
        <w:rPr>
          <w:spacing w:val="-2"/>
        </w:rPr>
        <w:t> </w:t>
      </w:r>
      <w:r>
        <w:rPr/>
        <w:t>este</w:t>
      </w:r>
      <w:r>
        <w:rPr>
          <w:spacing w:val="-2"/>
        </w:rPr>
        <w:t> </w:t>
      </w:r>
      <w:r>
        <w:rPr/>
        <w:t>proceso</w:t>
      </w:r>
      <w:r>
        <w:rPr>
          <w:spacing w:val="-1"/>
        </w:rPr>
        <w:t> </w:t>
      </w:r>
      <w:r>
        <w:rPr>
          <w:spacing w:val="-2"/>
        </w:rPr>
        <w:t>fueron:</w:t>
      </w:r>
    </w:p>
    <w:p>
      <w:pPr>
        <w:pStyle w:val="BodyText"/>
        <w:spacing w:after="0"/>
        <w:jc w:val="both"/>
        <w:sectPr>
          <w:pgSz w:w="11910" w:h="16840"/>
          <w:pgMar w:header="713" w:footer="1000" w:top="1420" w:bottom="1200" w:left="1559" w:right="992"/>
        </w:sectPr>
      </w:pPr>
    </w:p>
    <w:p>
      <w:pPr>
        <w:pStyle w:val="BodyText"/>
        <w:spacing w:before="10" w:after="1"/>
        <w:rPr>
          <w:sz w:val="7"/>
        </w:rPr>
      </w:pPr>
    </w:p>
    <w:tbl>
      <w:tblPr>
        <w:tblW w:w="0" w:type="auto"/>
        <w:jc w:val="left"/>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62"/>
        <w:gridCol w:w="6672"/>
        <w:gridCol w:w="1059"/>
      </w:tblGrid>
      <w:tr>
        <w:trPr>
          <w:trHeight w:val="816" w:hRule="atLeast"/>
        </w:trPr>
        <w:tc>
          <w:tcPr>
            <w:tcW w:w="1162" w:type="dxa"/>
          </w:tcPr>
          <w:p>
            <w:pPr>
              <w:pStyle w:val="TableParagraph"/>
              <w:spacing w:line="283" w:lineRule="auto" w:before="26"/>
              <w:ind w:left="465" w:right="191" w:hanging="264"/>
              <w:rPr>
                <w:sz w:val="20"/>
              </w:rPr>
            </w:pPr>
            <w:r>
              <w:rPr>
                <w:spacing w:val="-2"/>
                <w:sz w:val="20"/>
              </w:rPr>
              <w:t>Criterios </w:t>
            </w:r>
            <w:r>
              <w:rPr>
                <w:spacing w:val="-6"/>
                <w:w w:val="105"/>
                <w:sz w:val="20"/>
              </w:rPr>
              <w:t>de</w:t>
            </w:r>
          </w:p>
          <w:p>
            <w:pPr>
              <w:pStyle w:val="TableParagraph"/>
              <w:spacing w:line="225" w:lineRule="exact" w:before="2"/>
              <w:ind w:left="103"/>
              <w:rPr>
                <w:sz w:val="20"/>
              </w:rPr>
            </w:pPr>
            <w:r>
              <w:rPr>
                <w:spacing w:val="-2"/>
                <w:sz w:val="20"/>
              </w:rPr>
              <w:t>evaluación</w:t>
            </w:r>
          </w:p>
        </w:tc>
        <w:tc>
          <w:tcPr>
            <w:tcW w:w="6672" w:type="dxa"/>
          </w:tcPr>
          <w:p>
            <w:pPr>
              <w:pStyle w:val="TableParagraph"/>
              <w:spacing w:before="67"/>
              <w:rPr>
                <w:sz w:val="20"/>
              </w:rPr>
            </w:pPr>
          </w:p>
          <w:p>
            <w:pPr>
              <w:pStyle w:val="TableParagraph"/>
              <w:ind w:left="4"/>
              <w:jc w:val="center"/>
              <w:rPr>
                <w:sz w:val="20"/>
              </w:rPr>
            </w:pPr>
            <w:r>
              <w:rPr>
                <w:sz w:val="20"/>
              </w:rPr>
              <w:t>Interrogantes</w:t>
            </w:r>
            <w:r>
              <w:rPr>
                <w:spacing w:val="12"/>
                <w:sz w:val="20"/>
              </w:rPr>
              <w:t> </w:t>
            </w:r>
            <w:r>
              <w:rPr>
                <w:sz w:val="20"/>
              </w:rPr>
              <w:t>de</w:t>
            </w:r>
            <w:r>
              <w:rPr>
                <w:spacing w:val="13"/>
                <w:sz w:val="20"/>
              </w:rPr>
              <w:t> </w:t>
            </w:r>
            <w:r>
              <w:rPr>
                <w:spacing w:val="-2"/>
                <w:sz w:val="20"/>
              </w:rPr>
              <w:t>evaluación</w:t>
            </w:r>
          </w:p>
        </w:tc>
        <w:tc>
          <w:tcPr>
            <w:tcW w:w="1059" w:type="dxa"/>
          </w:tcPr>
          <w:p>
            <w:pPr>
              <w:pStyle w:val="TableParagraph"/>
              <w:spacing w:before="67"/>
              <w:rPr>
                <w:sz w:val="20"/>
              </w:rPr>
            </w:pPr>
          </w:p>
          <w:p>
            <w:pPr>
              <w:pStyle w:val="TableParagraph"/>
              <w:ind w:left="180"/>
              <w:rPr>
                <w:sz w:val="20"/>
              </w:rPr>
            </w:pPr>
            <w:r>
              <w:rPr>
                <w:spacing w:val="-2"/>
                <w:sz w:val="20"/>
              </w:rPr>
              <w:t>Alcance</w:t>
            </w:r>
          </w:p>
        </w:tc>
      </w:tr>
      <w:tr>
        <w:trPr>
          <w:trHeight w:val="796" w:hRule="atLeast"/>
        </w:trPr>
        <w:tc>
          <w:tcPr>
            <w:tcW w:w="1162" w:type="dxa"/>
            <w:vMerge w:val="restart"/>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47"/>
              <w:rPr>
                <w:sz w:val="20"/>
              </w:rPr>
            </w:pPr>
          </w:p>
          <w:p>
            <w:pPr>
              <w:pStyle w:val="TableParagraph"/>
              <w:ind w:left="74"/>
              <w:rPr>
                <w:sz w:val="20"/>
              </w:rPr>
            </w:pPr>
            <w:r>
              <w:rPr>
                <w:spacing w:val="-2"/>
                <w:sz w:val="20"/>
              </w:rPr>
              <w:t>Pertinencia</w:t>
            </w:r>
          </w:p>
        </w:tc>
        <w:tc>
          <w:tcPr>
            <w:tcW w:w="6672" w:type="dxa"/>
          </w:tcPr>
          <w:p>
            <w:pPr>
              <w:pStyle w:val="TableParagraph"/>
              <w:spacing w:line="285" w:lineRule="auto" w:before="150"/>
              <w:ind w:left="68" w:right="199"/>
              <w:rPr>
                <w:sz w:val="20"/>
              </w:rPr>
            </w:pPr>
            <w:r>
              <w:rPr>
                <w:sz w:val="20"/>
              </w:rPr>
              <w:t>¿Los resultados obtenidos del objetivo prioritario contribuye a alcanzar la situación futura deseada al culminar el horizonte temporal?</w:t>
            </w:r>
          </w:p>
        </w:tc>
        <w:tc>
          <w:tcPr>
            <w:tcW w:w="1059" w:type="dxa"/>
            <w:vMerge w:val="restart"/>
          </w:tcPr>
          <w:p>
            <w:pPr>
              <w:pStyle w:val="TableParagraph"/>
              <w:rPr>
                <w:sz w:val="20"/>
              </w:rPr>
            </w:pPr>
          </w:p>
          <w:p>
            <w:pPr>
              <w:pStyle w:val="TableParagraph"/>
              <w:spacing w:before="72"/>
              <w:rPr>
                <w:sz w:val="20"/>
              </w:rPr>
            </w:pPr>
          </w:p>
          <w:p>
            <w:pPr>
              <w:pStyle w:val="TableParagraph"/>
              <w:spacing w:line="283" w:lineRule="auto"/>
              <w:ind w:left="77" w:firstLine="74"/>
              <w:rPr>
                <w:sz w:val="20"/>
              </w:rPr>
            </w:pPr>
            <w:r>
              <w:rPr>
                <w:spacing w:val="-2"/>
                <w:w w:val="105"/>
                <w:sz w:val="20"/>
              </w:rPr>
              <w:t>Objetivo prioritario</w:t>
            </w:r>
          </w:p>
        </w:tc>
      </w:tr>
      <w:tr>
        <w:trPr>
          <w:trHeight w:val="748" w:hRule="atLeast"/>
        </w:trPr>
        <w:tc>
          <w:tcPr>
            <w:tcW w:w="1162" w:type="dxa"/>
            <w:vMerge/>
            <w:tcBorders>
              <w:top w:val="nil"/>
            </w:tcBorders>
          </w:tcPr>
          <w:p>
            <w:pPr>
              <w:rPr>
                <w:sz w:val="2"/>
                <w:szCs w:val="2"/>
              </w:rPr>
            </w:pPr>
          </w:p>
        </w:tc>
        <w:tc>
          <w:tcPr>
            <w:tcW w:w="6672" w:type="dxa"/>
          </w:tcPr>
          <w:p>
            <w:pPr>
              <w:pStyle w:val="TableParagraph"/>
              <w:spacing w:line="285" w:lineRule="auto" w:before="126"/>
              <w:ind w:left="68" w:right="199"/>
              <w:rPr>
                <w:sz w:val="20"/>
              </w:rPr>
            </w:pPr>
            <w:r>
              <w:rPr>
                <w:sz w:val="20"/>
              </w:rPr>
              <w:t>¿En qué medida el objetivo prioritario contribuye a alcanzar</w:t>
            </w:r>
            <w:r>
              <w:rPr>
                <w:spacing w:val="-1"/>
                <w:sz w:val="20"/>
              </w:rPr>
              <w:t> </w:t>
            </w:r>
            <w:r>
              <w:rPr>
                <w:sz w:val="20"/>
              </w:rPr>
              <w:t>la situación futura esperada?</w:t>
            </w:r>
          </w:p>
        </w:tc>
        <w:tc>
          <w:tcPr>
            <w:tcW w:w="1059" w:type="dxa"/>
            <w:vMerge/>
            <w:tcBorders>
              <w:top w:val="nil"/>
            </w:tcBorders>
          </w:tcPr>
          <w:p>
            <w:pPr>
              <w:rPr>
                <w:sz w:val="2"/>
                <w:szCs w:val="2"/>
              </w:rPr>
            </w:pPr>
          </w:p>
        </w:tc>
      </w:tr>
      <w:tr>
        <w:trPr>
          <w:trHeight w:val="616" w:hRule="atLeast"/>
        </w:trPr>
        <w:tc>
          <w:tcPr>
            <w:tcW w:w="1162" w:type="dxa"/>
            <w:vMerge/>
            <w:tcBorders>
              <w:top w:val="nil"/>
            </w:tcBorders>
          </w:tcPr>
          <w:p>
            <w:pPr>
              <w:rPr>
                <w:sz w:val="2"/>
                <w:szCs w:val="2"/>
              </w:rPr>
            </w:pPr>
          </w:p>
        </w:tc>
        <w:tc>
          <w:tcPr>
            <w:tcW w:w="6672" w:type="dxa"/>
          </w:tcPr>
          <w:p>
            <w:pPr>
              <w:pStyle w:val="TableParagraph"/>
              <w:spacing w:line="270" w:lineRule="atLeast" w:before="21"/>
              <w:ind w:left="68" w:right="199"/>
              <w:rPr>
                <w:sz w:val="20"/>
              </w:rPr>
            </w:pPr>
            <w:r>
              <w:rPr>
                <w:sz w:val="20"/>
              </w:rPr>
              <w:t>¿De</w:t>
            </w:r>
            <w:r>
              <w:rPr>
                <w:spacing w:val="-9"/>
                <w:sz w:val="20"/>
              </w:rPr>
              <w:t> </w:t>
            </w:r>
            <w:r>
              <w:rPr>
                <w:sz w:val="20"/>
              </w:rPr>
              <w:t>qué</w:t>
            </w:r>
            <w:r>
              <w:rPr>
                <w:spacing w:val="-8"/>
                <w:sz w:val="20"/>
              </w:rPr>
              <w:t> </w:t>
            </w:r>
            <w:r>
              <w:rPr>
                <w:sz w:val="20"/>
              </w:rPr>
              <w:t>manera</w:t>
            </w:r>
            <w:r>
              <w:rPr>
                <w:spacing w:val="-9"/>
                <w:sz w:val="20"/>
              </w:rPr>
              <w:t> </w:t>
            </w:r>
            <w:r>
              <w:rPr>
                <w:sz w:val="20"/>
              </w:rPr>
              <w:t>los</w:t>
            </w:r>
            <w:r>
              <w:rPr>
                <w:spacing w:val="-9"/>
                <w:sz w:val="20"/>
              </w:rPr>
              <w:t> </w:t>
            </w:r>
            <w:r>
              <w:rPr>
                <w:sz w:val="20"/>
              </w:rPr>
              <w:t>servicios</w:t>
            </w:r>
            <w:r>
              <w:rPr>
                <w:spacing w:val="-9"/>
                <w:sz w:val="20"/>
              </w:rPr>
              <w:t> </w:t>
            </w:r>
            <w:r>
              <w:rPr>
                <w:sz w:val="20"/>
              </w:rPr>
              <w:t>responden</w:t>
            </w:r>
            <w:r>
              <w:rPr>
                <w:spacing w:val="-9"/>
                <w:sz w:val="20"/>
              </w:rPr>
              <w:t> </w:t>
            </w:r>
            <w:r>
              <w:rPr>
                <w:sz w:val="20"/>
              </w:rPr>
              <w:t>a</w:t>
            </w:r>
            <w:r>
              <w:rPr>
                <w:spacing w:val="-9"/>
                <w:sz w:val="20"/>
              </w:rPr>
              <w:t> </w:t>
            </w:r>
            <w:r>
              <w:rPr>
                <w:sz w:val="20"/>
              </w:rPr>
              <w:t>las</w:t>
            </w:r>
            <w:r>
              <w:rPr>
                <w:spacing w:val="-9"/>
                <w:sz w:val="20"/>
              </w:rPr>
              <w:t> </w:t>
            </w:r>
            <w:r>
              <w:rPr>
                <w:sz w:val="20"/>
              </w:rPr>
              <w:t>necesidades</w:t>
            </w:r>
            <w:r>
              <w:rPr>
                <w:spacing w:val="-9"/>
                <w:sz w:val="20"/>
              </w:rPr>
              <w:t> </w:t>
            </w:r>
            <w:r>
              <w:rPr>
                <w:sz w:val="20"/>
              </w:rPr>
              <w:t>de</w:t>
            </w:r>
            <w:r>
              <w:rPr>
                <w:spacing w:val="-9"/>
                <w:sz w:val="20"/>
              </w:rPr>
              <w:t> </w:t>
            </w:r>
            <w:r>
              <w:rPr>
                <w:sz w:val="20"/>
              </w:rPr>
              <w:t>la población objetivo?</w:t>
            </w:r>
          </w:p>
        </w:tc>
        <w:tc>
          <w:tcPr>
            <w:tcW w:w="1059" w:type="dxa"/>
            <w:vMerge w:val="restart"/>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219"/>
              <w:rPr>
                <w:sz w:val="20"/>
              </w:rPr>
            </w:pPr>
          </w:p>
          <w:p>
            <w:pPr>
              <w:pStyle w:val="TableParagraph"/>
              <w:ind w:left="132"/>
              <w:rPr>
                <w:sz w:val="20"/>
              </w:rPr>
            </w:pPr>
            <w:r>
              <w:rPr>
                <w:spacing w:val="-2"/>
                <w:sz w:val="20"/>
              </w:rPr>
              <w:t>Servicios</w:t>
            </w:r>
          </w:p>
        </w:tc>
      </w:tr>
      <w:tr>
        <w:trPr>
          <w:trHeight w:val="885" w:hRule="atLeast"/>
        </w:trPr>
        <w:tc>
          <w:tcPr>
            <w:tcW w:w="1162" w:type="dxa"/>
            <w:vMerge/>
            <w:tcBorders>
              <w:top w:val="nil"/>
            </w:tcBorders>
          </w:tcPr>
          <w:p>
            <w:pPr>
              <w:rPr>
                <w:sz w:val="2"/>
                <w:szCs w:val="2"/>
              </w:rPr>
            </w:pPr>
          </w:p>
        </w:tc>
        <w:tc>
          <w:tcPr>
            <w:tcW w:w="6672" w:type="dxa"/>
          </w:tcPr>
          <w:p>
            <w:pPr>
              <w:pStyle w:val="TableParagraph"/>
              <w:spacing w:before="196"/>
              <w:ind w:left="68"/>
              <w:rPr>
                <w:sz w:val="20"/>
              </w:rPr>
            </w:pPr>
            <w:r>
              <w:rPr>
                <w:sz w:val="20"/>
              </w:rPr>
              <w:t>*¿El</w:t>
            </w:r>
            <w:r>
              <w:rPr>
                <w:spacing w:val="-4"/>
                <w:sz w:val="20"/>
              </w:rPr>
              <w:t> </w:t>
            </w:r>
            <w:r>
              <w:rPr>
                <w:sz w:val="20"/>
              </w:rPr>
              <w:t>procedimiento</w:t>
            </w:r>
            <w:r>
              <w:rPr>
                <w:spacing w:val="-4"/>
                <w:sz w:val="20"/>
              </w:rPr>
              <w:t> </w:t>
            </w:r>
            <w:r>
              <w:rPr>
                <w:sz w:val="20"/>
              </w:rPr>
              <w:t>para</w:t>
            </w:r>
            <w:r>
              <w:rPr>
                <w:spacing w:val="-5"/>
                <w:sz w:val="20"/>
              </w:rPr>
              <w:t> </w:t>
            </w:r>
            <w:r>
              <w:rPr>
                <w:sz w:val="20"/>
              </w:rPr>
              <w:t>la</w:t>
            </w:r>
            <w:r>
              <w:rPr>
                <w:spacing w:val="-5"/>
                <w:sz w:val="20"/>
              </w:rPr>
              <w:t> </w:t>
            </w:r>
            <w:r>
              <w:rPr>
                <w:sz w:val="20"/>
              </w:rPr>
              <w:t>entrega</w:t>
            </w:r>
            <w:r>
              <w:rPr>
                <w:spacing w:val="-5"/>
                <w:sz w:val="20"/>
              </w:rPr>
              <w:t> </w:t>
            </w:r>
            <w:r>
              <w:rPr>
                <w:sz w:val="20"/>
              </w:rPr>
              <w:t>de</w:t>
            </w:r>
            <w:r>
              <w:rPr>
                <w:spacing w:val="-5"/>
                <w:sz w:val="20"/>
              </w:rPr>
              <w:t> </w:t>
            </w:r>
            <w:r>
              <w:rPr>
                <w:sz w:val="20"/>
              </w:rPr>
              <w:t>los</w:t>
            </w:r>
            <w:r>
              <w:rPr>
                <w:spacing w:val="-5"/>
                <w:sz w:val="20"/>
              </w:rPr>
              <w:t> </w:t>
            </w:r>
            <w:r>
              <w:rPr>
                <w:sz w:val="20"/>
              </w:rPr>
              <w:t>servicios</w:t>
            </w:r>
            <w:r>
              <w:rPr>
                <w:spacing w:val="-5"/>
                <w:sz w:val="20"/>
              </w:rPr>
              <w:t> </w:t>
            </w:r>
            <w:r>
              <w:rPr>
                <w:sz w:val="20"/>
              </w:rPr>
              <w:t>está</w:t>
            </w:r>
            <w:r>
              <w:rPr>
                <w:spacing w:val="-5"/>
                <w:sz w:val="20"/>
              </w:rPr>
              <w:t> </w:t>
            </w:r>
            <w:r>
              <w:rPr>
                <w:spacing w:val="-2"/>
                <w:sz w:val="20"/>
              </w:rPr>
              <w:t>sistematizado?</w:t>
            </w:r>
          </w:p>
          <w:p>
            <w:pPr>
              <w:pStyle w:val="TableParagraph"/>
              <w:spacing w:before="41"/>
              <w:ind w:left="68"/>
              <w:rPr>
                <w:sz w:val="20"/>
              </w:rPr>
            </w:pPr>
            <w:r>
              <w:rPr>
                <w:sz w:val="20"/>
              </w:rPr>
              <w:t>¿El</w:t>
            </w:r>
            <w:r>
              <w:rPr>
                <w:spacing w:val="-5"/>
                <w:sz w:val="20"/>
              </w:rPr>
              <w:t> </w:t>
            </w:r>
            <w:r>
              <w:rPr>
                <w:sz w:val="20"/>
              </w:rPr>
              <w:t>procedimiento</w:t>
            </w:r>
            <w:r>
              <w:rPr>
                <w:spacing w:val="-6"/>
                <w:sz w:val="20"/>
              </w:rPr>
              <w:t> </w:t>
            </w:r>
            <w:r>
              <w:rPr>
                <w:sz w:val="20"/>
              </w:rPr>
              <w:t>se</w:t>
            </w:r>
            <w:r>
              <w:rPr>
                <w:spacing w:val="-5"/>
                <w:sz w:val="20"/>
              </w:rPr>
              <w:t> </w:t>
            </w:r>
            <w:r>
              <w:rPr>
                <w:sz w:val="20"/>
              </w:rPr>
              <w:t>encuentra</w:t>
            </w:r>
            <w:r>
              <w:rPr>
                <w:spacing w:val="-7"/>
                <w:sz w:val="20"/>
              </w:rPr>
              <w:t> </w:t>
            </w:r>
            <w:r>
              <w:rPr>
                <w:spacing w:val="-2"/>
                <w:sz w:val="20"/>
              </w:rPr>
              <w:t>documentado/normado?</w:t>
            </w:r>
          </w:p>
        </w:tc>
        <w:tc>
          <w:tcPr>
            <w:tcW w:w="1059" w:type="dxa"/>
            <w:vMerge/>
            <w:tcBorders>
              <w:top w:val="nil"/>
            </w:tcBorders>
          </w:tcPr>
          <w:p>
            <w:pPr>
              <w:rPr>
                <w:sz w:val="2"/>
                <w:szCs w:val="2"/>
              </w:rPr>
            </w:pPr>
          </w:p>
        </w:tc>
      </w:tr>
      <w:tr>
        <w:trPr>
          <w:trHeight w:val="545" w:hRule="atLeast"/>
        </w:trPr>
        <w:tc>
          <w:tcPr>
            <w:tcW w:w="1162" w:type="dxa"/>
            <w:vMerge w:val="restart"/>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146"/>
              <w:rPr>
                <w:sz w:val="20"/>
              </w:rPr>
            </w:pPr>
          </w:p>
          <w:p>
            <w:pPr>
              <w:pStyle w:val="TableParagraph"/>
              <w:ind w:left="69"/>
              <w:rPr>
                <w:sz w:val="20"/>
              </w:rPr>
            </w:pPr>
            <w:r>
              <w:rPr>
                <w:spacing w:val="-2"/>
                <w:sz w:val="20"/>
              </w:rPr>
              <w:t>Coherencia</w:t>
            </w:r>
          </w:p>
        </w:tc>
        <w:tc>
          <w:tcPr>
            <w:tcW w:w="6672" w:type="dxa"/>
          </w:tcPr>
          <w:p>
            <w:pPr>
              <w:pStyle w:val="TableParagraph"/>
              <w:spacing w:before="26"/>
              <w:ind w:left="68"/>
              <w:rPr>
                <w:sz w:val="20"/>
              </w:rPr>
            </w:pPr>
            <w:r>
              <w:rPr>
                <w:sz w:val="20"/>
              </w:rPr>
              <w:t>¿Los</w:t>
            </w:r>
            <w:r>
              <w:rPr>
                <w:spacing w:val="-9"/>
                <w:sz w:val="20"/>
              </w:rPr>
              <w:t> </w:t>
            </w:r>
            <w:r>
              <w:rPr>
                <w:sz w:val="20"/>
              </w:rPr>
              <w:t>servicios</w:t>
            </w:r>
            <w:r>
              <w:rPr>
                <w:spacing w:val="-8"/>
                <w:sz w:val="20"/>
              </w:rPr>
              <w:t> </w:t>
            </w:r>
            <w:r>
              <w:rPr>
                <w:sz w:val="20"/>
              </w:rPr>
              <w:t>son</w:t>
            </w:r>
            <w:r>
              <w:rPr>
                <w:spacing w:val="-11"/>
                <w:sz w:val="20"/>
              </w:rPr>
              <w:t> </w:t>
            </w:r>
            <w:r>
              <w:rPr>
                <w:sz w:val="20"/>
              </w:rPr>
              <w:t>los</w:t>
            </w:r>
            <w:r>
              <w:rPr>
                <w:spacing w:val="-9"/>
                <w:sz w:val="20"/>
              </w:rPr>
              <w:t> </w:t>
            </w:r>
            <w:r>
              <w:rPr>
                <w:sz w:val="20"/>
              </w:rPr>
              <w:t>más</w:t>
            </w:r>
            <w:r>
              <w:rPr>
                <w:spacing w:val="-10"/>
                <w:sz w:val="20"/>
              </w:rPr>
              <w:t> </w:t>
            </w:r>
            <w:r>
              <w:rPr>
                <w:sz w:val="20"/>
              </w:rPr>
              <w:t>adecuados</w:t>
            </w:r>
            <w:r>
              <w:rPr>
                <w:spacing w:val="-9"/>
                <w:sz w:val="20"/>
              </w:rPr>
              <w:t> </w:t>
            </w:r>
            <w:r>
              <w:rPr>
                <w:sz w:val="20"/>
              </w:rPr>
              <w:t>para</w:t>
            </w:r>
            <w:r>
              <w:rPr>
                <w:spacing w:val="-8"/>
                <w:sz w:val="20"/>
              </w:rPr>
              <w:t> </w:t>
            </w:r>
            <w:r>
              <w:rPr>
                <w:sz w:val="20"/>
              </w:rPr>
              <w:t>atender</w:t>
            </w:r>
            <w:r>
              <w:rPr>
                <w:spacing w:val="-9"/>
                <w:sz w:val="20"/>
              </w:rPr>
              <w:t> </w:t>
            </w:r>
            <w:r>
              <w:rPr>
                <w:sz w:val="20"/>
              </w:rPr>
              <w:t>el</w:t>
            </w:r>
            <w:r>
              <w:rPr>
                <w:spacing w:val="-2"/>
                <w:sz w:val="20"/>
              </w:rPr>
              <w:t> </w:t>
            </w:r>
            <w:r>
              <w:rPr>
                <w:sz w:val="20"/>
              </w:rPr>
              <w:t>objetivo</w:t>
            </w:r>
            <w:r>
              <w:rPr>
                <w:spacing w:val="-9"/>
                <w:sz w:val="20"/>
              </w:rPr>
              <w:t> </w:t>
            </w:r>
            <w:r>
              <w:rPr>
                <w:spacing w:val="-2"/>
                <w:sz w:val="20"/>
              </w:rPr>
              <w:t>prioritario</w:t>
            </w:r>
          </w:p>
          <w:p>
            <w:pPr>
              <w:pStyle w:val="TableParagraph"/>
              <w:spacing w:line="227" w:lineRule="exact" w:before="41"/>
              <w:ind w:left="68"/>
              <w:rPr>
                <w:sz w:val="20"/>
              </w:rPr>
            </w:pPr>
            <w:r>
              <w:rPr>
                <w:sz w:val="20"/>
              </w:rPr>
              <w:t>y la</w:t>
            </w:r>
            <w:r>
              <w:rPr>
                <w:spacing w:val="3"/>
                <w:sz w:val="20"/>
              </w:rPr>
              <w:t> </w:t>
            </w:r>
            <w:r>
              <w:rPr>
                <w:sz w:val="20"/>
              </w:rPr>
              <w:t>problemática</w:t>
            </w:r>
            <w:r>
              <w:rPr>
                <w:spacing w:val="5"/>
                <w:sz w:val="20"/>
              </w:rPr>
              <w:t> </w:t>
            </w:r>
            <w:r>
              <w:rPr>
                <w:sz w:val="20"/>
              </w:rPr>
              <w:t>que</w:t>
            </w:r>
            <w:r>
              <w:rPr>
                <w:spacing w:val="3"/>
                <w:sz w:val="20"/>
              </w:rPr>
              <w:t> </w:t>
            </w:r>
            <w:r>
              <w:rPr>
                <w:sz w:val="20"/>
              </w:rPr>
              <w:t>presenta</w:t>
            </w:r>
            <w:r>
              <w:rPr>
                <w:spacing w:val="2"/>
                <w:sz w:val="20"/>
              </w:rPr>
              <w:t> </w:t>
            </w:r>
            <w:r>
              <w:rPr>
                <w:sz w:val="20"/>
              </w:rPr>
              <w:t>la</w:t>
            </w:r>
            <w:r>
              <w:rPr>
                <w:spacing w:val="1"/>
                <w:sz w:val="20"/>
              </w:rPr>
              <w:t> </w:t>
            </w:r>
            <w:r>
              <w:rPr>
                <w:sz w:val="20"/>
              </w:rPr>
              <w:t>población</w:t>
            </w:r>
            <w:r>
              <w:rPr>
                <w:spacing w:val="2"/>
                <w:sz w:val="20"/>
              </w:rPr>
              <w:t> </w:t>
            </w:r>
            <w:r>
              <w:rPr>
                <w:spacing w:val="-2"/>
                <w:sz w:val="20"/>
              </w:rPr>
              <w:t>objetivo?</w:t>
            </w:r>
          </w:p>
        </w:tc>
        <w:tc>
          <w:tcPr>
            <w:tcW w:w="1059" w:type="dxa"/>
            <w:vMerge/>
            <w:tcBorders>
              <w:top w:val="nil"/>
            </w:tcBorders>
          </w:tcPr>
          <w:p>
            <w:pPr>
              <w:rPr>
                <w:sz w:val="2"/>
                <w:szCs w:val="2"/>
              </w:rPr>
            </w:pPr>
          </w:p>
        </w:tc>
      </w:tr>
      <w:tr>
        <w:trPr>
          <w:trHeight w:val="688" w:hRule="atLeast"/>
        </w:trPr>
        <w:tc>
          <w:tcPr>
            <w:tcW w:w="1162" w:type="dxa"/>
            <w:vMerge/>
            <w:tcBorders>
              <w:top w:val="nil"/>
            </w:tcBorders>
          </w:tcPr>
          <w:p>
            <w:pPr>
              <w:rPr>
                <w:sz w:val="2"/>
                <w:szCs w:val="2"/>
              </w:rPr>
            </w:pPr>
          </w:p>
        </w:tc>
        <w:tc>
          <w:tcPr>
            <w:tcW w:w="6672" w:type="dxa"/>
          </w:tcPr>
          <w:p>
            <w:pPr>
              <w:pStyle w:val="TableParagraph"/>
              <w:spacing w:line="285" w:lineRule="auto" w:before="98"/>
              <w:ind w:left="68"/>
              <w:rPr>
                <w:sz w:val="20"/>
              </w:rPr>
            </w:pPr>
            <w:r>
              <w:rPr>
                <w:sz w:val="20"/>
              </w:rPr>
              <w:t>*¿Cómo</w:t>
            </w:r>
            <w:r>
              <w:rPr>
                <w:spacing w:val="-5"/>
                <w:sz w:val="20"/>
              </w:rPr>
              <w:t> </w:t>
            </w:r>
            <w:r>
              <w:rPr>
                <w:sz w:val="20"/>
              </w:rPr>
              <w:t>se</w:t>
            </w:r>
            <w:r>
              <w:rPr>
                <w:spacing w:val="-5"/>
                <w:sz w:val="20"/>
              </w:rPr>
              <w:t> </w:t>
            </w:r>
            <w:r>
              <w:rPr>
                <w:sz w:val="20"/>
              </w:rPr>
              <w:t>da</w:t>
            </w:r>
            <w:r>
              <w:rPr>
                <w:spacing w:val="-5"/>
                <w:sz w:val="20"/>
              </w:rPr>
              <w:t> </w:t>
            </w:r>
            <w:r>
              <w:rPr>
                <w:sz w:val="20"/>
              </w:rPr>
              <w:t>la</w:t>
            </w:r>
            <w:r>
              <w:rPr>
                <w:spacing w:val="-5"/>
                <w:sz w:val="20"/>
              </w:rPr>
              <w:t> </w:t>
            </w:r>
            <w:r>
              <w:rPr>
                <w:sz w:val="20"/>
              </w:rPr>
              <w:t>relación</w:t>
            </w:r>
            <w:r>
              <w:rPr>
                <w:spacing w:val="-5"/>
                <w:sz w:val="20"/>
              </w:rPr>
              <w:t> </w:t>
            </w:r>
            <w:r>
              <w:rPr>
                <w:sz w:val="20"/>
              </w:rPr>
              <w:t>causal</w:t>
            </w:r>
            <w:r>
              <w:rPr>
                <w:spacing w:val="-5"/>
                <w:sz w:val="20"/>
              </w:rPr>
              <w:t> </w:t>
            </w:r>
            <w:r>
              <w:rPr>
                <w:sz w:val="20"/>
              </w:rPr>
              <w:t>teórica</w:t>
            </w:r>
            <w:r>
              <w:rPr>
                <w:spacing w:val="-6"/>
                <w:sz w:val="20"/>
              </w:rPr>
              <w:t> </w:t>
            </w:r>
            <w:r>
              <w:rPr>
                <w:sz w:val="20"/>
              </w:rPr>
              <w:t>/</w:t>
            </w:r>
            <w:r>
              <w:rPr>
                <w:spacing w:val="-6"/>
                <w:sz w:val="20"/>
              </w:rPr>
              <w:t> </w:t>
            </w:r>
            <w:r>
              <w:rPr>
                <w:sz w:val="20"/>
              </w:rPr>
              <w:t>práctica</w:t>
            </w:r>
            <w:r>
              <w:rPr>
                <w:spacing w:val="-3"/>
                <w:sz w:val="20"/>
              </w:rPr>
              <w:t> </w:t>
            </w:r>
            <w:r>
              <w:rPr>
                <w:sz w:val="20"/>
              </w:rPr>
              <w:t>de</w:t>
            </w:r>
            <w:r>
              <w:rPr>
                <w:spacing w:val="-5"/>
                <w:sz w:val="20"/>
              </w:rPr>
              <w:t> </w:t>
            </w:r>
            <w:r>
              <w:rPr>
                <w:sz w:val="20"/>
              </w:rPr>
              <w:t>los</w:t>
            </w:r>
            <w:r>
              <w:rPr>
                <w:spacing w:val="-5"/>
                <w:sz w:val="20"/>
              </w:rPr>
              <w:t> </w:t>
            </w:r>
            <w:r>
              <w:rPr>
                <w:sz w:val="20"/>
              </w:rPr>
              <w:t>servicios</w:t>
            </w:r>
            <w:r>
              <w:rPr>
                <w:spacing w:val="-5"/>
                <w:sz w:val="20"/>
              </w:rPr>
              <w:t> </w:t>
            </w:r>
            <w:r>
              <w:rPr>
                <w:sz w:val="20"/>
              </w:rPr>
              <w:t>con</w:t>
            </w:r>
            <w:r>
              <w:rPr>
                <w:spacing w:val="-5"/>
                <w:sz w:val="20"/>
              </w:rPr>
              <w:t> </w:t>
            </w:r>
            <w:r>
              <w:rPr>
                <w:sz w:val="20"/>
              </w:rPr>
              <w:t>los </w:t>
            </w:r>
            <w:r>
              <w:rPr>
                <w:spacing w:val="-2"/>
                <w:w w:val="105"/>
                <w:sz w:val="20"/>
              </w:rPr>
              <w:t>objetivos</w:t>
            </w:r>
            <w:r>
              <w:rPr>
                <w:spacing w:val="-4"/>
                <w:w w:val="105"/>
                <w:sz w:val="20"/>
              </w:rPr>
              <w:t> </w:t>
            </w:r>
            <w:r>
              <w:rPr>
                <w:spacing w:val="-2"/>
                <w:w w:val="105"/>
                <w:sz w:val="20"/>
              </w:rPr>
              <w:t>prioritarios?</w:t>
            </w:r>
            <w:r>
              <w:rPr>
                <w:spacing w:val="-4"/>
                <w:w w:val="105"/>
                <w:sz w:val="20"/>
              </w:rPr>
              <w:t> </w:t>
            </w:r>
            <w:r>
              <w:rPr>
                <w:spacing w:val="-2"/>
                <w:w w:val="105"/>
                <w:sz w:val="20"/>
              </w:rPr>
              <w:t>¿Qué supuestos</w:t>
            </w:r>
            <w:r>
              <w:rPr>
                <w:spacing w:val="-4"/>
                <w:w w:val="105"/>
                <w:sz w:val="20"/>
              </w:rPr>
              <w:t> </w:t>
            </w:r>
            <w:r>
              <w:rPr>
                <w:spacing w:val="-2"/>
                <w:w w:val="105"/>
                <w:sz w:val="20"/>
              </w:rPr>
              <w:t>se deberían</w:t>
            </w:r>
            <w:r>
              <w:rPr>
                <w:spacing w:val="-4"/>
                <w:w w:val="105"/>
                <w:sz w:val="20"/>
              </w:rPr>
              <w:t> </w:t>
            </w:r>
            <w:r>
              <w:rPr>
                <w:spacing w:val="-2"/>
                <w:w w:val="105"/>
                <w:sz w:val="20"/>
              </w:rPr>
              <w:t>cumplir?</w:t>
            </w:r>
          </w:p>
        </w:tc>
        <w:tc>
          <w:tcPr>
            <w:tcW w:w="1059" w:type="dxa"/>
            <w:vMerge/>
            <w:tcBorders>
              <w:top w:val="nil"/>
            </w:tcBorders>
          </w:tcPr>
          <w:p>
            <w:pPr>
              <w:rPr>
                <w:sz w:val="2"/>
                <w:szCs w:val="2"/>
              </w:rPr>
            </w:pPr>
          </w:p>
        </w:tc>
      </w:tr>
      <w:tr>
        <w:trPr>
          <w:trHeight w:val="544" w:hRule="atLeast"/>
        </w:trPr>
        <w:tc>
          <w:tcPr>
            <w:tcW w:w="1162" w:type="dxa"/>
            <w:vMerge/>
            <w:tcBorders>
              <w:top w:val="nil"/>
            </w:tcBorders>
          </w:tcPr>
          <w:p>
            <w:pPr>
              <w:rPr>
                <w:sz w:val="2"/>
                <w:szCs w:val="2"/>
              </w:rPr>
            </w:pPr>
          </w:p>
        </w:tc>
        <w:tc>
          <w:tcPr>
            <w:tcW w:w="6672" w:type="dxa"/>
          </w:tcPr>
          <w:p>
            <w:pPr>
              <w:pStyle w:val="TableParagraph"/>
              <w:spacing w:before="28"/>
              <w:ind w:left="68"/>
              <w:rPr>
                <w:sz w:val="20"/>
              </w:rPr>
            </w:pPr>
            <w:r>
              <w:rPr>
                <w:sz w:val="20"/>
              </w:rPr>
              <w:t>¿Cómo</w:t>
            </w:r>
            <w:r>
              <w:rPr>
                <w:spacing w:val="-12"/>
                <w:sz w:val="20"/>
              </w:rPr>
              <w:t> </w:t>
            </w:r>
            <w:r>
              <w:rPr>
                <w:sz w:val="20"/>
              </w:rPr>
              <w:t>se</w:t>
            </w:r>
            <w:r>
              <w:rPr>
                <w:spacing w:val="-11"/>
                <w:sz w:val="20"/>
              </w:rPr>
              <w:t> </w:t>
            </w:r>
            <w:r>
              <w:rPr>
                <w:sz w:val="20"/>
              </w:rPr>
              <w:t>mide</w:t>
            </w:r>
            <w:r>
              <w:rPr>
                <w:spacing w:val="-7"/>
                <w:sz w:val="20"/>
              </w:rPr>
              <w:t> </w:t>
            </w:r>
            <w:r>
              <w:rPr>
                <w:sz w:val="20"/>
              </w:rPr>
              <w:t>la</w:t>
            </w:r>
            <w:r>
              <w:rPr>
                <w:spacing w:val="-13"/>
                <w:sz w:val="20"/>
              </w:rPr>
              <w:t> </w:t>
            </w:r>
            <w:r>
              <w:rPr>
                <w:sz w:val="20"/>
              </w:rPr>
              <w:t>relación</w:t>
            </w:r>
            <w:r>
              <w:rPr>
                <w:spacing w:val="-12"/>
                <w:sz w:val="20"/>
              </w:rPr>
              <w:t> </w:t>
            </w:r>
            <w:r>
              <w:rPr>
                <w:sz w:val="20"/>
              </w:rPr>
              <w:t>causal</w:t>
            </w:r>
            <w:r>
              <w:rPr>
                <w:spacing w:val="-11"/>
                <w:sz w:val="20"/>
              </w:rPr>
              <w:t> </w:t>
            </w:r>
            <w:r>
              <w:rPr>
                <w:sz w:val="20"/>
              </w:rPr>
              <w:t>de</w:t>
            </w:r>
            <w:r>
              <w:rPr>
                <w:spacing w:val="-11"/>
                <w:sz w:val="20"/>
              </w:rPr>
              <w:t> </w:t>
            </w:r>
            <w:r>
              <w:rPr>
                <w:sz w:val="20"/>
              </w:rPr>
              <w:t>los</w:t>
            </w:r>
            <w:r>
              <w:rPr>
                <w:spacing w:val="-12"/>
                <w:sz w:val="20"/>
              </w:rPr>
              <w:t> </w:t>
            </w:r>
            <w:r>
              <w:rPr>
                <w:sz w:val="20"/>
              </w:rPr>
              <w:t>servicios</w:t>
            </w:r>
            <w:r>
              <w:rPr>
                <w:spacing w:val="-11"/>
                <w:sz w:val="20"/>
              </w:rPr>
              <w:t> </w:t>
            </w:r>
            <w:r>
              <w:rPr>
                <w:sz w:val="20"/>
              </w:rPr>
              <w:t>con</w:t>
            </w:r>
            <w:r>
              <w:rPr>
                <w:spacing w:val="-11"/>
                <w:sz w:val="20"/>
              </w:rPr>
              <w:t> </w:t>
            </w:r>
            <w:r>
              <w:rPr>
                <w:sz w:val="20"/>
              </w:rPr>
              <w:t>los</w:t>
            </w:r>
            <w:r>
              <w:rPr>
                <w:spacing w:val="-12"/>
                <w:sz w:val="20"/>
              </w:rPr>
              <w:t> </w:t>
            </w:r>
            <w:r>
              <w:rPr>
                <w:spacing w:val="-2"/>
                <w:sz w:val="20"/>
              </w:rPr>
              <w:t>objetivos</w:t>
            </w:r>
          </w:p>
          <w:p>
            <w:pPr>
              <w:pStyle w:val="TableParagraph"/>
              <w:spacing w:line="225" w:lineRule="exact" w:before="41"/>
              <w:ind w:left="68"/>
              <w:rPr>
                <w:sz w:val="20"/>
              </w:rPr>
            </w:pPr>
            <w:r>
              <w:rPr>
                <w:spacing w:val="-2"/>
                <w:w w:val="105"/>
                <w:sz w:val="20"/>
              </w:rPr>
              <w:t>prioritarios?</w:t>
            </w:r>
          </w:p>
        </w:tc>
        <w:tc>
          <w:tcPr>
            <w:tcW w:w="1059" w:type="dxa"/>
            <w:vMerge/>
            <w:tcBorders>
              <w:top w:val="nil"/>
            </w:tcBorders>
          </w:tcPr>
          <w:p>
            <w:pPr>
              <w:rPr>
                <w:sz w:val="2"/>
                <w:szCs w:val="2"/>
              </w:rPr>
            </w:pPr>
          </w:p>
        </w:tc>
      </w:tr>
      <w:tr>
        <w:trPr>
          <w:trHeight w:val="1005" w:hRule="atLeast"/>
        </w:trPr>
        <w:tc>
          <w:tcPr>
            <w:tcW w:w="1162" w:type="dxa"/>
            <w:vMerge/>
            <w:tcBorders>
              <w:top w:val="nil"/>
            </w:tcBorders>
          </w:tcPr>
          <w:p>
            <w:pPr>
              <w:rPr>
                <w:sz w:val="2"/>
                <w:szCs w:val="2"/>
              </w:rPr>
            </w:pPr>
          </w:p>
        </w:tc>
        <w:tc>
          <w:tcPr>
            <w:tcW w:w="6672" w:type="dxa"/>
          </w:tcPr>
          <w:p>
            <w:pPr>
              <w:pStyle w:val="TableParagraph"/>
              <w:spacing w:line="283" w:lineRule="auto" w:before="122"/>
              <w:ind w:left="68" w:right="88"/>
              <w:rPr>
                <w:sz w:val="20"/>
              </w:rPr>
            </w:pPr>
            <w:r>
              <w:rPr>
                <w:sz w:val="20"/>
              </w:rPr>
              <w:t>*¿Los servicios cuentan con indicadores para realizar su seguimiento, con</w:t>
            </w:r>
            <w:r>
              <w:rPr>
                <w:spacing w:val="-14"/>
                <w:sz w:val="20"/>
              </w:rPr>
              <w:t> </w:t>
            </w:r>
            <w:r>
              <w:rPr>
                <w:sz w:val="20"/>
              </w:rPr>
              <w:t>características</w:t>
            </w:r>
            <w:r>
              <w:rPr>
                <w:spacing w:val="-13"/>
                <w:sz w:val="20"/>
              </w:rPr>
              <w:t> </w:t>
            </w:r>
            <w:r>
              <w:rPr>
                <w:sz w:val="20"/>
              </w:rPr>
              <w:t>deseables?</w:t>
            </w:r>
            <w:r>
              <w:rPr>
                <w:spacing w:val="-14"/>
                <w:sz w:val="20"/>
              </w:rPr>
              <w:t> </w:t>
            </w:r>
            <w:r>
              <w:rPr>
                <w:sz w:val="20"/>
              </w:rPr>
              <w:t>¿Los</w:t>
            </w:r>
            <w:r>
              <w:rPr>
                <w:spacing w:val="-14"/>
                <w:sz w:val="20"/>
              </w:rPr>
              <w:t> </w:t>
            </w:r>
            <w:r>
              <w:rPr>
                <w:sz w:val="20"/>
              </w:rPr>
              <w:t>logros</w:t>
            </w:r>
            <w:r>
              <w:rPr>
                <w:spacing w:val="-13"/>
                <w:sz w:val="20"/>
              </w:rPr>
              <w:t> </w:t>
            </w:r>
            <w:r>
              <w:rPr>
                <w:sz w:val="20"/>
              </w:rPr>
              <w:t>esperados</w:t>
            </w:r>
            <w:r>
              <w:rPr>
                <w:spacing w:val="-13"/>
                <w:sz w:val="20"/>
              </w:rPr>
              <w:t> </w:t>
            </w:r>
            <w:r>
              <w:rPr>
                <w:sz w:val="20"/>
              </w:rPr>
              <w:t>de</w:t>
            </w:r>
            <w:r>
              <w:rPr>
                <w:spacing w:val="-13"/>
                <w:sz w:val="20"/>
              </w:rPr>
              <w:t> </w:t>
            </w:r>
            <w:r>
              <w:rPr>
                <w:sz w:val="20"/>
              </w:rPr>
              <w:t>los</w:t>
            </w:r>
            <w:r>
              <w:rPr>
                <w:spacing w:val="-13"/>
                <w:sz w:val="20"/>
              </w:rPr>
              <w:t> </w:t>
            </w:r>
            <w:r>
              <w:rPr>
                <w:sz w:val="20"/>
              </w:rPr>
              <w:t>indicadores de servicios están orientados a impulsar el desempeño?</w:t>
            </w:r>
          </w:p>
        </w:tc>
        <w:tc>
          <w:tcPr>
            <w:tcW w:w="1059" w:type="dxa"/>
            <w:vMerge/>
            <w:tcBorders>
              <w:top w:val="nil"/>
            </w:tcBorders>
          </w:tcPr>
          <w:p>
            <w:pPr>
              <w:rPr>
                <w:sz w:val="2"/>
                <w:szCs w:val="2"/>
              </w:rPr>
            </w:pPr>
          </w:p>
        </w:tc>
      </w:tr>
      <w:tr>
        <w:trPr>
          <w:trHeight w:val="301" w:hRule="atLeast"/>
        </w:trPr>
        <w:tc>
          <w:tcPr>
            <w:tcW w:w="1162" w:type="dxa"/>
            <w:vMerge w:val="restart"/>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10"/>
              <w:rPr>
                <w:sz w:val="20"/>
              </w:rPr>
            </w:pPr>
          </w:p>
          <w:p>
            <w:pPr>
              <w:pStyle w:val="TableParagraph"/>
              <w:ind w:left="249"/>
              <w:rPr>
                <w:sz w:val="20"/>
              </w:rPr>
            </w:pPr>
            <w:r>
              <w:rPr>
                <w:spacing w:val="-2"/>
                <w:sz w:val="20"/>
              </w:rPr>
              <w:t>Eficacia</w:t>
            </w:r>
          </w:p>
        </w:tc>
        <w:tc>
          <w:tcPr>
            <w:tcW w:w="6672" w:type="dxa"/>
          </w:tcPr>
          <w:p>
            <w:pPr>
              <w:pStyle w:val="TableParagraph"/>
              <w:spacing w:before="40"/>
              <w:ind w:left="68"/>
              <w:rPr>
                <w:sz w:val="20"/>
              </w:rPr>
            </w:pPr>
            <w:r>
              <w:rPr>
                <w:sz w:val="20"/>
              </w:rPr>
              <w:t>¿De</w:t>
            </w:r>
            <w:r>
              <w:rPr>
                <w:spacing w:val="-6"/>
                <w:sz w:val="20"/>
              </w:rPr>
              <w:t> </w:t>
            </w:r>
            <w:r>
              <w:rPr>
                <w:sz w:val="20"/>
              </w:rPr>
              <w:t>qué</w:t>
            </w:r>
            <w:r>
              <w:rPr>
                <w:spacing w:val="-5"/>
                <w:sz w:val="20"/>
              </w:rPr>
              <w:t> </w:t>
            </w:r>
            <w:r>
              <w:rPr>
                <w:sz w:val="20"/>
              </w:rPr>
              <w:t>manera</w:t>
            </w:r>
            <w:r>
              <w:rPr>
                <w:spacing w:val="-6"/>
                <w:sz w:val="20"/>
              </w:rPr>
              <w:t> </w:t>
            </w:r>
            <w:r>
              <w:rPr>
                <w:sz w:val="20"/>
              </w:rPr>
              <w:t>se</w:t>
            </w:r>
            <w:r>
              <w:rPr>
                <w:spacing w:val="-5"/>
                <w:sz w:val="20"/>
              </w:rPr>
              <w:t> </w:t>
            </w:r>
            <w:r>
              <w:rPr>
                <w:sz w:val="20"/>
              </w:rPr>
              <w:t>están</w:t>
            </w:r>
            <w:r>
              <w:rPr>
                <w:spacing w:val="-6"/>
                <w:sz w:val="20"/>
              </w:rPr>
              <w:t> </w:t>
            </w:r>
            <w:r>
              <w:rPr>
                <w:sz w:val="20"/>
              </w:rPr>
              <w:t>logrando</w:t>
            </w:r>
            <w:r>
              <w:rPr>
                <w:spacing w:val="-6"/>
                <w:sz w:val="20"/>
              </w:rPr>
              <w:t> </w:t>
            </w:r>
            <w:r>
              <w:rPr>
                <w:sz w:val="20"/>
              </w:rPr>
              <w:t>los</w:t>
            </w:r>
            <w:r>
              <w:rPr>
                <w:spacing w:val="-5"/>
                <w:sz w:val="20"/>
              </w:rPr>
              <w:t> </w:t>
            </w:r>
            <w:r>
              <w:rPr>
                <w:sz w:val="20"/>
              </w:rPr>
              <w:t>objetivos</w:t>
            </w:r>
            <w:r>
              <w:rPr>
                <w:spacing w:val="-6"/>
                <w:sz w:val="20"/>
              </w:rPr>
              <w:t> </w:t>
            </w:r>
            <w:r>
              <w:rPr>
                <w:spacing w:val="-2"/>
                <w:sz w:val="20"/>
              </w:rPr>
              <w:t>prioritarios?</w:t>
            </w:r>
          </w:p>
        </w:tc>
        <w:tc>
          <w:tcPr>
            <w:tcW w:w="1059" w:type="dxa"/>
            <w:vMerge w:val="restart"/>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103"/>
              <w:rPr>
                <w:sz w:val="20"/>
              </w:rPr>
            </w:pPr>
          </w:p>
          <w:p>
            <w:pPr>
              <w:pStyle w:val="TableParagraph"/>
              <w:spacing w:line="285" w:lineRule="auto"/>
              <w:ind w:left="68" w:firstLine="112"/>
              <w:rPr>
                <w:sz w:val="20"/>
              </w:rPr>
            </w:pPr>
            <w:r>
              <w:rPr>
                <w:spacing w:val="-2"/>
                <w:sz w:val="20"/>
              </w:rPr>
              <w:t>Servicio priorizado</w:t>
            </w:r>
          </w:p>
        </w:tc>
      </w:tr>
      <w:tr>
        <w:trPr>
          <w:trHeight w:val="582" w:hRule="atLeast"/>
        </w:trPr>
        <w:tc>
          <w:tcPr>
            <w:tcW w:w="1162" w:type="dxa"/>
            <w:vMerge/>
            <w:tcBorders>
              <w:top w:val="nil"/>
            </w:tcBorders>
          </w:tcPr>
          <w:p>
            <w:pPr>
              <w:rPr>
                <w:sz w:val="2"/>
                <w:szCs w:val="2"/>
              </w:rPr>
            </w:pPr>
          </w:p>
        </w:tc>
        <w:tc>
          <w:tcPr>
            <w:tcW w:w="6672" w:type="dxa"/>
          </w:tcPr>
          <w:p>
            <w:pPr>
              <w:pStyle w:val="TableParagraph"/>
              <w:spacing w:line="270" w:lineRule="atLeast" w:before="5"/>
              <w:ind w:left="68" w:right="199"/>
              <w:rPr>
                <w:sz w:val="20"/>
              </w:rPr>
            </w:pPr>
            <w:r>
              <w:rPr>
                <w:sz w:val="20"/>
              </w:rPr>
              <w:t>*¿Cómo</w:t>
            </w:r>
            <w:r>
              <w:rPr>
                <w:spacing w:val="-4"/>
                <w:sz w:val="20"/>
              </w:rPr>
              <w:t> </w:t>
            </w:r>
            <w:r>
              <w:rPr>
                <w:sz w:val="20"/>
              </w:rPr>
              <w:t>documenta</w:t>
            </w:r>
            <w:r>
              <w:rPr>
                <w:spacing w:val="-4"/>
                <w:sz w:val="20"/>
              </w:rPr>
              <w:t> </w:t>
            </w:r>
            <w:r>
              <w:rPr>
                <w:sz w:val="20"/>
              </w:rPr>
              <w:t>la</w:t>
            </w:r>
            <w:r>
              <w:rPr>
                <w:spacing w:val="-4"/>
                <w:sz w:val="20"/>
              </w:rPr>
              <w:t> </w:t>
            </w:r>
            <w:r>
              <w:rPr>
                <w:sz w:val="20"/>
              </w:rPr>
              <w:t>Política</w:t>
            </w:r>
            <w:r>
              <w:rPr>
                <w:spacing w:val="-4"/>
                <w:sz w:val="20"/>
              </w:rPr>
              <w:t> </w:t>
            </w:r>
            <w:r>
              <w:rPr>
                <w:sz w:val="20"/>
              </w:rPr>
              <w:t>sus</w:t>
            </w:r>
            <w:r>
              <w:rPr>
                <w:spacing w:val="-4"/>
                <w:sz w:val="20"/>
              </w:rPr>
              <w:t> </w:t>
            </w:r>
            <w:r>
              <w:rPr>
                <w:sz w:val="20"/>
              </w:rPr>
              <w:t>resultados</w:t>
            </w:r>
            <w:r>
              <w:rPr>
                <w:spacing w:val="-3"/>
                <w:sz w:val="20"/>
              </w:rPr>
              <w:t> </w:t>
            </w:r>
            <w:r>
              <w:rPr>
                <w:sz w:val="20"/>
              </w:rPr>
              <w:t>a</w:t>
            </w:r>
            <w:r>
              <w:rPr>
                <w:spacing w:val="-4"/>
                <w:sz w:val="20"/>
              </w:rPr>
              <w:t> </w:t>
            </w:r>
            <w:r>
              <w:rPr>
                <w:sz w:val="20"/>
              </w:rPr>
              <w:t>nivel</w:t>
            </w:r>
            <w:r>
              <w:rPr>
                <w:spacing w:val="-4"/>
                <w:sz w:val="20"/>
              </w:rPr>
              <w:t> </w:t>
            </w:r>
            <w:r>
              <w:rPr>
                <w:sz w:val="20"/>
              </w:rPr>
              <w:t>de</w:t>
            </w:r>
            <w:r>
              <w:rPr>
                <w:spacing w:val="-4"/>
                <w:sz w:val="20"/>
              </w:rPr>
              <w:t> </w:t>
            </w:r>
            <w:r>
              <w:rPr>
                <w:sz w:val="20"/>
              </w:rPr>
              <w:t>objetivo</w:t>
            </w:r>
            <w:r>
              <w:rPr>
                <w:spacing w:val="-4"/>
                <w:sz w:val="20"/>
              </w:rPr>
              <w:t> </w:t>
            </w:r>
            <w:r>
              <w:rPr>
                <w:sz w:val="20"/>
              </w:rPr>
              <w:t>y </w:t>
            </w:r>
            <w:r>
              <w:rPr>
                <w:spacing w:val="-2"/>
                <w:sz w:val="20"/>
              </w:rPr>
              <w:t>servicio?</w:t>
            </w:r>
          </w:p>
        </w:tc>
        <w:tc>
          <w:tcPr>
            <w:tcW w:w="1059" w:type="dxa"/>
            <w:vMerge/>
            <w:tcBorders>
              <w:top w:val="nil"/>
            </w:tcBorders>
          </w:tcPr>
          <w:p>
            <w:pPr>
              <w:rPr>
                <w:sz w:val="2"/>
                <w:szCs w:val="2"/>
              </w:rPr>
            </w:pPr>
          </w:p>
        </w:tc>
      </w:tr>
      <w:tr>
        <w:trPr>
          <w:trHeight w:val="547" w:hRule="atLeast"/>
        </w:trPr>
        <w:tc>
          <w:tcPr>
            <w:tcW w:w="1162" w:type="dxa"/>
            <w:vMerge/>
            <w:tcBorders>
              <w:top w:val="nil"/>
            </w:tcBorders>
          </w:tcPr>
          <w:p>
            <w:pPr>
              <w:rPr>
                <w:sz w:val="2"/>
                <w:szCs w:val="2"/>
              </w:rPr>
            </w:pPr>
          </w:p>
        </w:tc>
        <w:tc>
          <w:tcPr>
            <w:tcW w:w="6672" w:type="dxa"/>
          </w:tcPr>
          <w:p>
            <w:pPr>
              <w:pStyle w:val="TableParagraph"/>
              <w:spacing w:before="28"/>
              <w:ind w:left="68"/>
              <w:rPr>
                <w:sz w:val="20"/>
              </w:rPr>
            </w:pPr>
            <w:r>
              <w:rPr>
                <w:sz w:val="20"/>
              </w:rPr>
              <w:t>¿En</w:t>
            </w:r>
            <w:r>
              <w:rPr>
                <w:spacing w:val="-7"/>
                <w:sz w:val="20"/>
              </w:rPr>
              <w:t> </w:t>
            </w:r>
            <w:r>
              <w:rPr>
                <w:sz w:val="20"/>
              </w:rPr>
              <w:t>qué</w:t>
            </w:r>
            <w:r>
              <w:rPr>
                <w:spacing w:val="-6"/>
                <w:sz w:val="20"/>
              </w:rPr>
              <w:t> </w:t>
            </w:r>
            <w:r>
              <w:rPr>
                <w:sz w:val="20"/>
              </w:rPr>
              <w:t>medida</w:t>
            </w:r>
            <w:r>
              <w:rPr>
                <w:spacing w:val="-6"/>
                <w:sz w:val="20"/>
              </w:rPr>
              <w:t> </w:t>
            </w:r>
            <w:r>
              <w:rPr>
                <w:sz w:val="20"/>
              </w:rPr>
              <w:t>la</w:t>
            </w:r>
            <w:r>
              <w:rPr>
                <w:spacing w:val="-7"/>
                <w:sz w:val="20"/>
              </w:rPr>
              <w:t> </w:t>
            </w:r>
            <w:r>
              <w:rPr>
                <w:sz w:val="20"/>
              </w:rPr>
              <w:t>entrega</w:t>
            </w:r>
            <w:r>
              <w:rPr>
                <w:spacing w:val="-6"/>
                <w:sz w:val="20"/>
              </w:rPr>
              <w:t> </w:t>
            </w:r>
            <w:r>
              <w:rPr>
                <w:sz w:val="20"/>
              </w:rPr>
              <w:t>del</w:t>
            </w:r>
            <w:r>
              <w:rPr>
                <w:spacing w:val="-7"/>
                <w:sz w:val="20"/>
              </w:rPr>
              <w:t> </w:t>
            </w:r>
            <w:r>
              <w:rPr>
                <w:sz w:val="20"/>
              </w:rPr>
              <w:t>servicio</w:t>
            </w:r>
            <w:r>
              <w:rPr>
                <w:spacing w:val="-5"/>
                <w:sz w:val="20"/>
              </w:rPr>
              <w:t> </w:t>
            </w:r>
            <w:r>
              <w:rPr>
                <w:sz w:val="20"/>
              </w:rPr>
              <w:t>a</w:t>
            </w:r>
            <w:r>
              <w:rPr>
                <w:spacing w:val="-7"/>
                <w:sz w:val="20"/>
              </w:rPr>
              <w:t> </w:t>
            </w:r>
            <w:r>
              <w:rPr>
                <w:sz w:val="20"/>
              </w:rPr>
              <w:t>la</w:t>
            </w:r>
            <w:r>
              <w:rPr>
                <w:spacing w:val="-6"/>
                <w:sz w:val="20"/>
              </w:rPr>
              <w:t> </w:t>
            </w:r>
            <w:r>
              <w:rPr>
                <w:sz w:val="20"/>
              </w:rPr>
              <w:t>población</w:t>
            </w:r>
            <w:r>
              <w:rPr>
                <w:spacing w:val="-7"/>
                <w:sz w:val="20"/>
              </w:rPr>
              <w:t> </w:t>
            </w:r>
            <w:r>
              <w:rPr>
                <w:sz w:val="20"/>
              </w:rPr>
              <w:t>objetivo</w:t>
            </w:r>
            <w:r>
              <w:rPr>
                <w:spacing w:val="1"/>
                <w:sz w:val="20"/>
              </w:rPr>
              <w:t> </w:t>
            </w:r>
            <w:r>
              <w:rPr>
                <w:spacing w:val="-2"/>
                <w:sz w:val="20"/>
              </w:rPr>
              <w:t>responde</w:t>
            </w:r>
          </w:p>
          <w:p>
            <w:pPr>
              <w:pStyle w:val="TableParagraph"/>
              <w:spacing w:line="227" w:lineRule="exact" w:before="42"/>
              <w:ind w:left="68"/>
              <w:rPr>
                <w:sz w:val="20"/>
              </w:rPr>
            </w:pPr>
            <w:r>
              <w:rPr>
                <w:sz w:val="20"/>
              </w:rPr>
              <w:t>a</w:t>
            </w:r>
            <w:r>
              <w:rPr>
                <w:spacing w:val="-1"/>
                <w:sz w:val="20"/>
              </w:rPr>
              <w:t> </w:t>
            </w:r>
            <w:r>
              <w:rPr>
                <w:sz w:val="20"/>
              </w:rPr>
              <w:t>lo esperado</w:t>
            </w:r>
            <w:r>
              <w:rPr>
                <w:spacing w:val="2"/>
                <w:sz w:val="20"/>
              </w:rPr>
              <w:t> </w:t>
            </w:r>
            <w:r>
              <w:rPr>
                <w:sz w:val="20"/>
              </w:rPr>
              <w:t>o</w:t>
            </w:r>
            <w:r>
              <w:rPr>
                <w:spacing w:val="-1"/>
                <w:sz w:val="20"/>
              </w:rPr>
              <w:t> </w:t>
            </w:r>
            <w:r>
              <w:rPr>
                <w:spacing w:val="-2"/>
                <w:sz w:val="20"/>
              </w:rPr>
              <w:t>planificado?</w:t>
            </w:r>
          </w:p>
        </w:tc>
        <w:tc>
          <w:tcPr>
            <w:tcW w:w="1059" w:type="dxa"/>
            <w:vMerge/>
            <w:tcBorders>
              <w:top w:val="nil"/>
            </w:tcBorders>
          </w:tcPr>
          <w:p>
            <w:pPr>
              <w:rPr>
                <w:sz w:val="2"/>
                <w:szCs w:val="2"/>
              </w:rPr>
            </w:pPr>
          </w:p>
        </w:tc>
      </w:tr>
      <w:tr>
        <w:trPr>
          <w:trHeight w:val="1048" w:hRule="atLeast"/>
        </w:trPr>
        <w:tc>
          <w:tcPr>
            <w:tcW w:w="1162" w:type="dxa"/>
            <w:vMerge/>
            <w:tcBorders>
              <w:top w:val="nil"/>
            </w:tcBorders>
          </w:tcPr>
          <w:p>
            <w:pPr>
              <w:rPr>
                <w:sz w:val="2"/>
                <w:szCs w:val="2"/>
              </w:rPr>
            </w:pPr>
          </w:p>
        </w:tc>
        <w:tc>
          <w:tcPr>
            <w:tcW w:w="6672" w:type="dxa"/>
          </w:tcPr>
          <w:p>
            <w:pPr>
              <w:pStyle w:val="TableParagraph"/>
              <w:spacing w:line="283" w:lineRule="auto" w:before="141"/>
              <w:ind w:left="68" w:right="88"/>
              <w:rPr>
                <w:sz w:val="20"/>
              </w:rPr>
            </w:pPr>
            <w:r>
              <w:rPr>
                <w:sz w:val="20"/>
              </w:rPr>
              <w:t>*¿Los</w:t>
            </w:r>
            <w:r>
              <w:rPr>
                <w:spacing w:val="-2"/>
                <w:sz w:val="20"/>
              </w:rPr>
              <w:t> </w:t>
            </w:r>
            <w:r>
              <w:rPr>
                <w:sz w:val="20"/>
              </w:rPr>
              <w:t>servicios entregados</w:t>
            </w:r>
            <w:r>
              <w:rPr>
                <w:spacing w:val="-1"/>
                <w:sz w:val="20"/>
              </w:rPr>
              <w:t> </w:t>
            </w:r>
            <w:r>
              <w:rPr>
                <w:sz w:val="20"/>
              </w:rPr>
              <w:t>por</w:t>
            </w:r>
            <w:r>
              <w:rPr>
                <w:spacing w:val="-2"/>
                <w:sz w:val="20"/>
              </w:rPr>
              <w:t> </w:t>
            </w:r>
            <w:r>
              <w:rPr>
                <w:sz w:val="20"/>
              </w:rPr>
              <w:t>la</w:t>
            </w:r>
            <w:r>
              <w:rPr>
                <w:spacing w:val="-1"/>
                <w:sz w:val="20"/>
              </w:rPr>
              <w:t> </w:t>
            </w:r>
            <w:r>
              <w:rPr>
                <w:sz w:val="20"/>
              </w:rPr>
              <w:t>Política son</w:t>
            </w:r>
            <w:r>
              <w:rPr>
                <w:spacing w:val="-1"/>
                <w:sz w:val="20"/>
              </w:rPr>
              <w:t> </w:t>
            </w:r>
            <w:r>
              <w:rPr>
                <w:sz w:val="20"/>
              </w:rPr>
              <w:t>adecuados para</w:t>
            </w:r>
            <w:r>
              <w:rPr>
                <w:spacing w:val="-1"/>
                <w:sz w:val="20"/>
              </w:rPr>
              <w:t> </w:t>
            </w:r>
            <w:r>
              <w:rPr>
                <w:sz w:val="20"/>
              </w:rPr>
              <w:t>lograr</w:t>
            </w:r>
            <w:r>
              <w:rPr>
                <w:spacing w:val="-2"/>
                <w:sz w:val="20"/>
              </w:rPr>
              <w:t> </w:t>
            </w:r>
            <w:r>
              <w:rPr>
                <w:sz w:val="20"/>
              </w:rPr>
              <w:t>los cambios esperados en la población objetivo? ¿Las actividades que realiza</w:t>
            </w:r>
            <w:r>
              <w:rPr>
                <w:spacing w:val="-7"/>
                <w:sz w:val="20"/>
              </w:rPr>
              <w:t> </w:t>
            </w:r>
            <w:r>
              <w:rPr>
                <w:sz w:val="20"/>
              </w:rPr>
              <w:t>la</w:t>
            </w:r>
            <w:r>
              <w:rPr>
                <w:spacing w:val="-7"/>
                <w:sz w:val="20"/>
              </w:rPr>
              <w:t> </w:t>
            </w:r>
            <w:r>
              <w:rPr>
                <w:sz w:val="20"/>
              </w:rPr>
              <w:t>Política</w:t>
            </w:r>
            <w:r>
              <w:rPr>
                <w:spacing w:val="-7"/>
                <w:sz w:val="20"/>
              </w:rPr>
              <w:t> </w:t>
            </w:r>
            <w:r>
              <w:rPr>
                <w:sz w:val="20"/>
              </w:rPr>
              <w:t>son</w:t>
            </w:r>
            <w:r>
              <w:rPr>
                <w:spacing w:val="-6"/>
                <w:sz w:val="20"/>
              </w:rPr>
              <w:t> </w:t>
            </w:r>
            <w:r>
              <w:rPr>
                <w:sz w:val="20"/>
              </w:rPr>
              <w:t>adecuados</w:t>
            </w:r>
            <w:r>
              <w:rPr>
                <w:spacing w:val="-7"/>
                <w:sz w:val="20"/>
              </w:rPr>
              <w:t> </w:t>
            </w:r>
            <w:r>
              <w:rPr>
                <w:sz w:val="20"/>
              </w:rPr>
              <w:t>para</w:t>
            </w:r>
            <w:r>
              <w:rPr>
                <w:spacing w:val="-7"/>
                <w:sz w:val="20"/>
              </w:rPr>
              <w:t> </w:t>
            </w:r>
            <w:r>
              <w:rPr>
                <w:sz w:val="20"/>
              </w:rPr>
              <w:t>producir</w:t>
            </w:r>
            <w:r>
              <w:rPr>
                <w:spacing w:val="-2"/>
                <w:sz w:val="20"/>
              </w:rPr>
              <w:t> </w:t>
            </w:r>
            <w:r>
              <w:rPr>
                <w:sz w:val="20"/>
              </w:rPr>
              <w:t>los</w:t>
            </w:r>
            <w:r>
              <w:rPr>
                <w:spacing w:val="-7"/>
                <w:sz w:val="20"/>
              </w:rPr>
              <w:t> </w:t>
            </w:r>
            <w:r>
              <w:rPr>
                <w:sz w:val="20"/>
              </w:rPr>
              <w:t>servicios</w:t>
            </w:r>
            <w:r>
              <w:rPr>
                <w:spacing w:val="-7"/>
                <w:sz w:val="20"/>
              </w:rPr>
              <w:t> </w:t>
            </w:r>
            <w:r>
              <w:rPr>
                <w:sz w:val="20"/>
              </w:rPr>
              <w:t>entregados?</w:t>
            </w:r>
          </w:p>
        </w:tc>
        <w:tc>
          <w:tcPr>
            <w:tcW w:w="1059" w:type="dxa"/>
            <w:vMerge/>
            <w:tcBorders>
              <w:top w:val="nil"/>
            </w:tcBorders>
          </w:tcPr>
          <w:p>
            <w:pPr>
              <w:rPr>
                <w:sz w:val="2"/>
                <w:szCs w:val="2"/>
              </w:rPr>
            </w:pPr>
          </w:p>
        </w:tc>
      </w:tr>
      <w:tr>
        <w:trPr>
          <w:trHeight w:val="1089" w:hRule="atLeast"/>
        </w:trPr>
        <w:tc>
          <w:tcPr>
            <w:tcW w:w="1162" w:type="dxa"/>
            <w:vMerge/>
            <w:tcBorders>
              <w:top w:val="nil"/>
            </w:tcBorders>
          </w:tcPr>
          <w:p>
            <w:pPr>
              <w:rPr>
                <w:sz w:val="2"/>
                <w:szCs w:val="2"/>
              </w:rPr>
            </w:pPr>
          </w:p>
        </w:tc>
        <w:tc>
          <w:tcPr>
            <w:tcW w:w="6672" w:type="dxa"/>
          </w:tcPr>
          <w:p>
            <w:pPr>
              <w:pStyle w:val="TableParagraph"/>
              <w:spacing w:line="283" w:lineRule="auto" w:before="26"/>
              <w:ind w:left="68"/>
              <w:rPr>
                <w:sz w:val="20"/>
              </w:rPr>
            </w:pPr>
            <w:r>
              <w:rPr>
                <w:sz w:val="20"/>
              </w:rPr>
              <w:t>**¿Existe información que permita conocer quiénes se benefician de los servicios?</w:t>
            </w:r>
            <w:r>
              <w:rPr>
                <w:spacing w:val="-3"/>
                <w:sz w:val="20"/>
              </w:rPr>
              <w:t> </w:t>
            </w:r>
            <w:r>
              <w:rPr>
                <w:sz w:val="20"/>
              </w:rPr>
              <w:t>De</w:t>
            </w:r>
            <w:r>
              <w:rPr>
                <w:spacing w:val="-3"/>
                <w:sz w:val="20"/>
              </w:rPr>
              <w:t> </w:t>
            </w:r>
            <w:r>
              <w:rPr>
                <w:sz w:val="20"/>
              </w:rPr>
              <w:t>ser</w:t>
            </w:r>
            <w:r>
              <w:rPr>
                <w:spacing w:val="-4"/>
                <w:sz w:val="20"/>
              </w:rPr>
              <w:t> </w:t>
            </w:r>
            <w:r>
              <w:rPr>
                <w:sz w:val="20"/>
              </w:rPr>
              <w:t>así,</w:t>
            </w:r>
            <w:r>
              <w:rPr>
                <w:spacing w:val="-3"/>
                <w:sz w:val="20"/>
              </w:rPr>
              <w:t> </w:t>
            </w:r>
            <w:r>
              <w:rPr>
                <w:sz w:val="20"/>
              </w:rPr>
              <w:t>¿incluye</w:t>
            </w:r>
            <w:r>
              <w:rPr>
                <w:spacing w:val="-3"/>
                <w:sz w:val="20"/>
              </w:rPr>
              <w:t> </w:t>
            </w:r>
            <w:r>
              <w:rPr>
                <w:sz w:val="20"/>
              </w:rPr>
              <w:t>las</w:t>
            </w:r>
            <w:r>
              <w:rPr>
                <w:spacing w:val="-3"/>
                <w:sz w:val="20"/>
              </w:rPr>
              <w:t> </w:t>
            </w:r>
            <w:r>
              <w:rPr>
                <w:sz w:val="20"/>
              </w:rPr>
              <w:t>características</w:t>
            </w:r>
            <w:r>
              <w:rPr>
                <w:spacing w:val="-3"/>
                <w:sz w:val="20"/>
              </w:rPr>
              <w:t> </w:t>
            </w:r>
            <w:r>
              <w:rPr>
                <w:sz w:val="20"/>
              </w:rPr>
              <w:t>de</w:t>
            </w:r>
            <w:r>
              <w:rPr>
                <w:spacing w:val="-3"/>
                <w:sz w:val="20"/>
              </w:rPr>
              <w:t> </w:t>
            </w:r>
            <w:r>
              <w:rPr>
                <w:sz w:val="20"/>
              </w:rPr>
              <w:t>los</w:t>
            </w:r>
            <w:r>
              <w:rPr>
                <w:spacing w:val="-3"/>
                <w:sz w:val="20"/>
              </w:rPr>
              <w:t> </w:t>
            </w:r>
            <w:r>
              <w:rPr>
                <w:sz w:val="20"/>
              </w:rPr>
              <w:t>beneficiarios requeridas en sus documentos normativos? ¿Está sistematizado</w:t>
            </w:r>
          </w:p>
          <w:p>
            <w:pPr>
              <w:pStyle w:val="TableParagraph"/>
              <w:spacing w:line="225" w:lineRule="exact" w:before="4"/>
              <w:ind w:left="68"/>
              <w:rPr>
                <w:sz w:val="20"/>
              </w:rPr>
            </w:pPr>
            <w:r>
              <w:rPr>
                <w:sz w:val="20"/>
              </w:rPr>
              <w:t>(sistema</w:t>
            </w:r>
            <w:r>
              <w:rPr>
                <w:spacing w:val="-1"/>
                <w:sz w:val="20"/>
              </w:rPr>
              <w:t> </w:t>
            </w:r>
            <w:r>
              <w:rPr>
                <w:sz w:val="20"/>
              </w:rPr>
              <w:t>informático y/o</w:t>
            </w:r>
            <w:r>
              <w:rPr>
                <w:spacing w:val="-1"/>
                <w:sz w:val="20"/>
              </w:rPr>
              <w:t> </w:t>
            </w:r>
            <w:r>
              <w:rPr>
                <w:sz w:val="20"/>
              </w:rPr>
              <w:t>base de </w:t>
            </w:r>
            <w:r>
              <w:rPr>
                <w:spacing w:val="-2"/>
                <w:sz w:val="20"/>
              </w:rPr>
              <w:t>datos)?</w:t>
            </w:r>
          </w:p>
        </w:tc>
        <w:tc>
          <w:tcPr>
            <w:tcW w:w="1059" w:type="dxa"/>
            <w:vMerge/>
            <w:tcBorders>
              <w:top w:val="nil"/>
            </w:tcBorders>
          </w:tcPr>
          <w:p>
            <w:pPr>
              <w:rPr>
                <w:sz w:val="2"/>
                <w:szCs w:val="2"/>
              </w:rPr>
            </w:pPr>
          </w:p>
        </w:tc>
      </w:tr>
      <w:tr>
        <w:trPr>
          <w:trHeight w:val="556" w:hRule="atLeast"/>
        </w:trPr>
        <w:tc>
          <w:tcPr>
            <w:tcW w:w="1162" w:type="dxa"/>
            <w:vMerge/>
            <w:tcBorders>
              <w:top w:val="nil"/>
            </w:tcBorders>
          </w:tcPr>
          <w:p>
            <w:pPr>
              <w:rPr>
                <w:sz w:val="2"/>
                <w:szCs w:val="2"/>
              </w:rPr>
            </w:pPr>
          </w:p>
        </w:tc>
        <w:tc>
          <w:tcPr>
            <w:tcW w:w="6672" w:type="dxa"/>
          </w:tcPr>
          <w:p>
            <w:pPr>
              <w:pStyle w:val="TableParagraph"/>
              <w:spacing w:line="272" w:lineRule="exact"/>
              <w:ind w:left="68"/>
              <w:rPr>
                <w:sz w:val="20"/>
              </w:rPr>
            </w:pPr>
            <w:r>
              <w:rPr>
                <w:sz w:val="20"/>
              </w:rPr>
              <w:t>¿Cuáles</w:t>
            </w:r>
            <w:r>
              <w:rPr>
                <w:spacing w:val="-9"/>
                <w:sz w:val="20"/>
              </w:rPr>
              <w:t> </w:t>
            </w:r>
            <w:r>
              <w:rPr>
                <w:sz w:val="20"/>
              </w:rPr>
              <w:t>son</w:t>
            </w:r>
            <w:r>
              <w:rPr>
                <w:spacing w:val="-9"/>
                <w:sz w:val="20"/>
              </w:rPr>
              <w:t> </w:t>
            </w:r>
            <w:r>
              <w:rPr>
                <w:sz w:val="20"/>
              </w:rPr>
              <w:t>las</w:t>
            </w:r>
            <w:r>
              <w:rPr>
                <w:spacing w:val="-8"/>
                <w:sz w:val="20"/>
              </w:rPr>
              <w:t> </w:t>
            </w:r>
            <w:r>
              <w:rPr>
                <w:sz w:val="20"/>
              </w:rPr>
              <w:t>limitaciones</w:t>
            </w:r>
            <w:r>
              <w:rPr>
                <w:spacing w:val="-8"/>
                <w:sz w:val="20"/>
              </w:rPr>
              <w:t> </w:t>
            </w:r>
            <w:r>
              <w:rPr>
                <w:sz w:val="20"/>
              </w:rPr>
              <w:t>en</w:t>
            </w:r>
            <w:r>
              <w:rPr>
                <w:spacing w:val="-9"/>
                <w:sz w:val="20"/>
              </w:rPr>
              <w:t> </w:t>
            </w:r>
            <w:r>
              <w:rPr>
                <w:sz w:val="20"/>
              </w:rPr>
              <w:t>el</w:t>
            </w:r>
            <w:r>
              <w:rPr>
                <w:spacing w:val="-11"/>
                <w:sz w:val="20"/>
              </w:rPr>
              <w:t> </w:t>
            </w:r>
            <w:r>
              <w:rPr>
                <w:sz w:val="20"/>
              </w:rPr>
              <w:t>proceso</w:t>
            </w:r>
            <w:r>
              <w:rPr>
                <w:spacing w:val="-9"/>
                <w:sz w:val="20"/>
              </w:rPr>
              <w:t> </w:t>
            </w:r>
            <w:r>
              <w:rPr>
                <w:sz w:val="20"/>
              </w:rPr>
              <w:t>de</w:t>
            </w:r>
            <w:r>
              <w:rPr>
                <w:spacing w:val="-9"/>
                <w:sz w:val="20"/>
              </w:rPr>
              <w:t> </w:t>
            </w:r>
            <w:r>
              <w:rPr>
                <w:sz w:val="20"/>
              </w:rPr>
              <w:t>entrega</w:t>
            </w:r>
            <w:r>
              <w:rPr>
                <w:spacing w:val="-9"/>
                <w:sz w:val="20"/>
              </w:rPr>
              <w:t> </w:t>
            </w:r>
            <w:r>
              <w:rPr>
                <w:sz w:val="20"/>
              </w:rPr>
              <w:t>del</w:t>
            </w:r>
            <w:r>
              <w:rPr>
                <w:spacing w:val="-9"/>
                <w:sz w:val="20"/>
              </w:rPr>
              <w:t> </w:t>
            </w:r>
            <w:r>
              <w:rPr>
                <w:sz w:val="20"/>
              </w:rPr>
              <w:t>servicio</w:t>
            </w:r>
            <w:r>
              <w:rPr>
                <w:spacing w:val="-8"/>
                <w:sz w:val="20"/>
              </w:rPr>
              <w:t> </w:t>
            </w:r>
            <w:r>
              <w:rPr>
                <w:sz w:val="20"/>
              </w:rPr>
              <w:t>(a</w:t>
            </w:r>
            <w:r>
              <w:rPr>
                <w:spacing w:val="-9"/>
                <w:sz w:val="20"/>
              </w:rPr>
              <w:t> </w:t>
            </w:r>
            <w:r>
              <w:rPr>
                <w:sz w:val="20"/>
              </w:rPr>
              <w:t>nivel de recursos, articulación y competencias)?</w:t>
            </w:r>
          </w:p>
        </w:tc>
        <w:tc>
          <w:tcPr>
            <w:tcW w:w="1059" w:type="dxa"/>
            <w:vMerge/>
            <w:tcBorders>
              <w:top w:val="nil"/>
            </w:tcBorders>
          </w:tcPr>
          <w:p>
            <w:pPr>
              <w:rPr>
                <w:sz w:val="2"/>
                <w:szCs w:val="2"/>
              </w:rPr>
            </w:pPr>
          </w:p>
        </w:tc>
      </w:tr>
      <w:tr>
        <w:trPr>
          <w:trHeight w:val="1089" w:hRule="atLeast"/>
        </w:trPr>
        <w:tc>
          <w:tcPr>
            <w:tcW w:w="1162" w:type="dxa"/>
            <w:vMerge/>
            <w:tcBorders>
              <w:top w:val="nil"/>
            </w:tcBorders>
          </w:tcPr>
          <w:p>
            <w:pPr>
              <w:rPr>
                <w:sz w:val="2"/>
                <w:szCs w:val="2"/>
              </w:rPr>
            </w:pPr>
          </w:p>
        </w:tc>
        <w:tc>
          <w:tcPr>
            <w:tcW w:w="6672" w:type="dxa"/>
          </w:tcPr>
          <w:p>
            <w:pPr>
              <w:pStyle w:val="TableParagraph"/>
              <w:spacing w:line="285" w:lineRule="auto" w:before="26"/>
              <w:ind w:left="68" w:right="199"/>
              <w:rPr>
                <w:sz w:val="20"/>
              </w:rPr>
            </w:pPr>
            <w:r>
              <w:rPr>
                <w:sz w:val="20"/>
              </w:rPr>
              <w:t>*Recursos:</w:t>
            </w:r>
            <w:r>
              <w:rPr>
                <w:spacing w:val="-9"/>
                <w:sz w:val="20"/>
              </w:rPr>
              <w:t> </w:t>
            </w:r>
            <w:r>
              <w:rPr>
                <w:sz w:val="20"/>
              </w:rPr>
              <w:t>¿la</w:t>
            </w:r>
            <w:r>
              <w:rPr>
                <w:spacing w:val="-12"/>
                <w:sz w:val="20"/>
              </w:rPr>
              <w:t> </w:t>
            </w:r>
            <w:r>
              <w:rPr>
                <w:sz w:val="20"/>
              </w:rPr>
              <w:t>Política</w:t>
            </w:r>
            <w:r>
              <w:rPr>
                <w:spacing w:val="-10"/>
                <w:sz w:val="20"/>
              </w:rPr>
              <w:t> </w:t>
            </w:r>
            <w:r>
              <w:rPr>
                <w:sz w:val="20"/>
              </w:rPr>
              <w:t>es</w:t>
            </w:r>
            <w:r>
              <w:rPr>
                <w:spacing w:val="-9"/>
                <w:sz w:val="20"/>
              </w:rPr>
              <w:t> </w:t>
            </w:r>
            <w:r>
              <w:rPr>
                <w:sz w:val="20"/>
              </w:rPr>
              <w:t>capaz</w:t>
            </w:r>
            <w:r>
              <w:rPr>
                <w:spacing w:val="-8"/>
                <w:sz w:val="20"/>
              </w:rPr>
              <w:t> </w:t>
            </w:r>
            <w:r>
              <w:rPr>
                <w:sz w:val="20"/>
              </w:rPr>
              <w:t>de</w:t>
            </w:r>
            <w:r>
              <w:rPr>
                <w:spacing w:val="-9"/>
                <w:sz w:val="20"/>
              </w:rPr>
              <w:t> </w:t>
            </w:r>
            <w:r>
              <w:rPr>
                <w:sz w:val="20"/>
              </w:rPr>
              <w:t>lograr</w:t>
            </w:r>
            <w:r>
              <w:rPr>
                <w:spacing w:val="-10"/>
                <w:sz w:val="20"/>
              </w:rPr>
              <w:t> </w:t>
            </w:r>
            <w:r>
              <w:rPr>
                <w:sz w:val="20"/>
              </w:rPr>
              <w:t>sus</w:t>
            </w:r>
            <w:r>
              <w:rPr>
                <w:spacing w:val="-9"/>
                <w:sz w:val="20"/>
              </w:rPr>
              <w:t> </w:t>
            </w:r>
            <w:r>
              <w:rPr>
                <w:sz w:val="20"/>
              </w:rPr>
              <w:t>metas</w:t>
            </w:r>
            <w:r>
              <w:rPr>
                <w:spacing w:val="-8"/>
                <w:sz w:val="20"/>
              </w:rPr>
              <w:t> </w:t>
            </w:r>
            <w:r>
              <w:rPr>
                <w:sz w:val="20"/>
              </w:rPr>
              <w:t>y</w:t>
            </w:r>
            <w:r>
              <w:rPr>
                <w:spacing w:val="-10"/>
                <w:sz w:val="20"/>
              </w:rPr>
              <w:t> </w:t>
            </w:r>
            <w:r>
              <w:rPr>
                <w:sz w:val="20"/>
              </w:rPr>
              <w:t>objetivos</w:t>
            </w:r>
            <w:r>
              <w:rPr>
                <w:spacing w:val="-3"/>
                <w:sz w:val="20"/>
              </w:rPr>
              <w:t> </w:t>
            </w:r>
            <w:r>
              <w:rPr>
                <w:sz w:val="20"/>
              </w:rPr>
              <w:t>con</w:t>
            </w:r>
            <w:r>
              <w:rPr>
                <w:spacing w:val="-9"/>
                <w:sz w:val="20"/>
              </w:rPr>
              <w:t> </w:t>
            </w:r>
            <w:r>
              <w:rPr>
                <w:sz w:val="20"/>
              </w:rPr>
              <w:t>el presupuesto y otros recursos asignados? ¿la Política identifica y cuantifica</w:t>
            </w:r>
            <w:r>
              <w:rPr>
                <w:spacing w:val="-1"/>
                <w:sz w:val="20"/>
              </w:rPr>
              <w:t> </w:t>
            </w:r>
            <w:r>
              <w:rPr>
                <w:sz w:val="20"/>
              </w:rPr>
              <w:t>los</w:t>
            </w:r>
            <w:r>
              <w:rPr>
                <w:spacing w:val="-1"/>
                <w:sz w:val="20"/>
              </w:rPr>
              <w:t> </w:t>
            </w:r>
            <w:r>
              <w:rPr>
                <w:sz w:val="20"/>
              </w:rPr>
              <w:t>gastos en</w:t>
            </w:r>
            <w:r>
              <w:rPr>
                <w:spacing w:val="-4"/>
                <w:sz w:val="20"/>
              </w:rPr>
              <w:t> </w:t>
            </w:r>
            <w:r>
              <w:rPr>
                <w:sz w:val="20"/>
              </w:rPr>
              <w:t>los</w:t>
            </w:r>
            <w:r>
              <w:rPr>
                <w:spacing w:val="-3"/>
                <w:sz w:val="20"/>
              </w:rPr>
              <w:t> </w:t>
            </w:r>
            <w:r>
              <w:rPr>
                <w:sz w:val="20"/>
              </w:rPr>
              <w:t>que incurre</w:t>
            </w:r>
            <w:r>
              <w:rPr>
                <w:spacing w:val="-1"/>
                <w:sz w:val="20"/>
              </w:rPr>
              <w:t> </w:t>
            </w:r>
            <w:r>
              <w:rPr>
                <w:sz w:val="20"/>
              </w:rPr>
              <w:t>para generar</w:t>
            </w:r>
            <w:r>
              <w:rPr>
                <w:spacing w:val="-2"/>
                <w:sz w:val="20"/>
              </w:rPr>
              <w:t> </w:t>
            </w:r>
            <w:r>
              <w:rPr>
                <w:sz w:val="20"/>
              </w:rPr>
              <w:t>los</w:t>
            </w:r>
            <w:r>
              <w:rPr>
                <w:spacing w:val="-1"/>
                <w:sz w:val="20"/>
              </w:rPr>
              <w:t> </w:t>
            </w:r>
            <w:r>
              <w:rPr>
                <w:sz w:val="20"/>
              </w:rPr>
              <w:t>servicios</w:t>
            </w:r>
            <w:r>
              <w:rPr>
                <w:spacing w:val="-1"/>
                <w:sz w:val="20"/>
              </w:rPr>
              <w:t> </w:t>
            </w:r>
            <w:r>
              <w:rPr>
                <w:sz w:val="20"/>
              </w:rPr>
              <w:t>que</w:t>
            </w:r>
          </w:p>
          <w:p>
            <w:pPr>
              <w:pStyle w:val="TableParagraph"/>
              <w:spacing w:line="223" w:lineRule="exact"/>
              <w:ind w:left="68"/>
              <w:rPr>
                <w:sz w:val="20"/>
              </w:rPr>
            </w:pPr>
            <w:r>
              <w:rPr>
                <w:spacing w:val="-2"/>
                <w:sz w:val="20"/>
              </w:rPr>
              <w:t>otorga?</w:t>
            </w:r>
          </w:p>
        </w:tc>
        <w:tc>
          <w:tcPr>
            <w:tcW w:w="1059" w:type="dxa"/>
            <w:vMerge/>
            <w:tcBorders>
              <w:top w:val="nil"/>
            </w:tcBorders>
          </w:tcPr>
          <w:p>
            <w:pPr>
              <w:rPr>
                <w:sz w:val="2"/>
                <w:szCs w:val="2"/>
              </w:rPr>
            </w:pPr>
          </w:p>
        </w:tc>
      </w:tr>
      <w:tr>
        <w:trPr>
          <w:trHeight w:val="1396" w:hRule="atLeast"/>
        </w:trPr>
        <w:tc>
          <w:tcPr>
            <w:tcW w:w="1162" w:type="dxa"/>
            <w:vMerge/>
            <w:tcBorders>
              <w:top w:val="nil"/>
            </w:tcBorders>
          </w:tcPr>
          <w:p>
            <w:pPr>
              <w:rPr>
                <w:sz w:val="2"/>
                <w:szCs w:val="2"/>
              </w:rPr>
            </w:pPr>
          </w:p>
        </w:tc>
        <w:tc>
          <w:tcPr>
            <w:tcW w:w="6672" w:type="dxa"/>
          </w:tcPr>
          <w:p>
            <w:pPr>
              <w:pStyle w:val="TableParagraph"/>
              <w:spacing w:line="283" w:lineRule="auto" w:before="42"/>
              <w:ind w:left="68" w:right="199"/>
              <w:rPr>
                <w:sz w:val="20"/>
              </w:rPr>
            </w:pPr>
            <w:r>
              <w:rPr>
                <w:w w:val="110"/>
                <w:sz w:val="20"/>
              </w:rPr>
              <w:t>** </w:t>
            </w:r>
            <w:r>
              <w:rPr>
                <w:sz w:val="20"/>
              </w:rPr>
              <w:t>Articulación: ¿existen mecanismos adecuados de coordinación entre actores, órdenes de gobierno, o dependencias involucradas en la implementación del servicio? ¿el servicio cuenta con sistemas de información articulados? ¿existe algún actor o actores con los que se</w:t>
            </w:r>
          </w:p>
          <w:p>
            <w:pPr>
              <w:pStyle w:val="TableParagraph"/>
              <w:spacing w:before="4"/>
              <w:ind w:left="68"/>
              <w:rPr>
                <w:sz w:val="20"/>
              </w:rPr>
            </w:pPr>
            <w:r>
              <w:rPr>
                <w:sz w:val="20"/>
              </w:rPr>
              <w:t>podrían</w:t>
            </w:r>
            <w:r>
              <w:rPr>
                <w:spacing w:val="-3"/>
                <w:sz w:val="20"/>
              </w:rPr>
              <w:t> </w:t>
            </w:r>
            <w:r>
              <w:rPr>
                <w:sz w:val="20"/>
              </w:rPr>
              <w:t>vincular</w:t>
            </w:r>
            <w:r>
              <w:rPr>
                <w:spacing w:val="-4"/>
                <w:sz w:val="20"/>
              </w:rPr>
              <w:t> </w:t>
            </w:r>
            <w:r>
              <w:rPr>
                <w:sz w:val="20"/>
              </w:rPr>
              <w:t>la</w:t>
            </w:r>
            <w:r>
              <w:rPr>
                <w:spacing w:val="-3"/>
                <w:sz w:val="20"/>
              </w:rPr>
              <w:t> </w:t>
            </w:r>
            <w:r>
              <w:rPr>
                <w:sz w:val="20"/>
              </w:rPr>
              <w:t>Política</w:t>
            </w:r>
            <w:r>
              <w:rPr>
                <w:spacing w:val="-6"/>
                <w:sz w:val="20"/>
              </w:rPr>
              <w:t> </w:t>
            </w:r>
            <w:r>
              <w:rPr>
                <w:sz w:val="20"/>
              </w:rPr>
              <w:t>para</w:t>
            </w:r>
            <w:r>
              <w:rPr>
                <w:spacing w:val="3"/>
                <w:sz w:val="20"/>
              </w:rPr>
              <w:t> </w:t>
            </w:r>
            <w:r>
              <w:rPr>
                <w:sz w:val="20"/>
              </w:rPr>
              <w:t>mejorar</w:t>
            </w:r>
            <w:r>
              <w:rPr>
                <w:spacing w:val="-4"/>
                <w:sz w:val="20"/>
              </w:rPr>
              <w:t> </w:t>
            </w:r>
            <w:r>
              <w:rPr>
                <w:sz w:val="20"/>
              </w:rPr>
              <w:t>este</w:t>
            </w:r>
            <w:r>
              <w:rPr>
                <w:spacing w:val="-2"/>
                <w:sz w:val="20"/>
              </w:rPr>
              <w:t> servicio?</w:t>
            </w:r>
          </w:p>
        </w:tc>
        <w:tc>
          <w:tcPr>
            <w:tcW w:w="1059" w:type="dxa"/>
            <w:vMerge/>
            <w:tcBorders>
              <w:top w:val="nil"/>
            </w:tcBorders>
          </w:tcPr>
          <w:p>
            <w:pPr>
              <w:rPr>
                <w:sz w:val="2"/>
                <w:szCs w:val="2"/>
              </w:rPr>
            </w:pPr>
          </w:p>
        </w:tc>
      </w:tr>
    </w:tbl>
    <w:p>
      <w:pPr>
        <w:spacing w:after="0"/>
        <w:rPr>
          <w:sz w:val="2"/>
          <w:szCs w:val="2"/>
        </w:rPr>
        <w:sectPr>
          <w:pgSz w:w="11910" w:h="16840"/>
          <w:pgMar w:header="713" w:footer="1000" w:top="1420" w:bottom="1200" w:left="1559" w:right="992"/>
        </w:sectPr>
      </w:pPr>
    </w:p>
    <w:p>
      <w:pPr>
        <w:pStyle w:val="BodyText"/>
        <w:spacing w:before="6"/>
        <w:rPr>
          <w:sz w:val="7"/>
        </w:rPr>
      </w:pPr>
    </w:p>
    <w:tbl>
      <w:tblPr>
        <w:tblW w:w="0" w:type="auto"/>
        <w:jc w:val="left"/>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62"/>
        <w:gridCol w:w="6672"/>
        <w:gridCol w:w="1059"/>
      </w:tblGrid>
      <w:tr>
        <w:trPr>
          <w:trHeight w:val="1361" w:hRule="atLeast"/>
        </w:trPr>
        <w:tc>
          <w:tcPr>
            <w:tcW w:w="1162" w:type="dxa"/>
            <w:vMerge w:val="restart"/>
            <w:tcBorders>
              <w:top w:val="nil"/>
            </w:tcBorders>
          </w:tcPr>
          <w:p>
            <w:pPr>
              <w:pStyle w:val="TableParagraph"/>
              <w:rPr>
                <w:rFonts w:ascii="Times New Roman"/>
                <w:sz w:val="22"/>
              </w:rPr>
            </w:pPr>
          </w:p>
        </w:tc>
        <w:tc>
          <w:tcPr>
            <w:tcW w:w="6672" w:type="dxa"/>
            <w:tcBorders>
              <w:top w:val="nil"/>
            </w:tcBorders>
          </w:tcPr>
          <w:p>
            <w:pPr>
              <w:pStyle w:val="TableParagraph"/>
              <w:spacing w:line="283" w:lineRule="auto" w:before="26"/>
              <w:ind w:left="68" w:right="232"/>
              <w:rPr>
                <w:sz w:val="20"/>
              </w:rPr>
            </w:pPr>
            <w:r>
              <w:rPr>
                <w:w w:val="110"/>
                <w:sz w:val="20"/>
              </w:rPr>
              <w:t>*** </w:t>
            </w:r>
            <w:r>
              <w:rPr>
                <w:sz w:val="20"/>
              </w:rPr>
              <w:t>Competencias: ¿cuáles son los servicios de mayor complejidad (mayor</w:t>
            </w:r>
            <w:r>
              <w:rPr>
                <w:spacing w:val="-14"/>
                <w:sz w:val="20"/>
              </w:rPr>
              <w:t> </w:t>
            </w:r>
            <w:r>
              <w:rPr>
                <w:sz w:val="20"/>
              </w:rPr>
              <w:t>cantidad</w:t>
            </w:r>
            <w:r>
              <w:rPr>
                <w:spacing w:val="-14"/>
                <w:sz w:val="20"/>
              </w:rPr>
              <w:t> </w:t>
            </w:r>
            <w:r>
              <w:rPr>
                <w:sz w:val="20"/>
              </w:rPr>
              <w:t>de</w:t>
            </w:r>
            <w:r>
              <w:rPr>
                <w:spacing w:val="-14"/>
                <w:sz w:val="20"/>
              </w:rPr>
              <w:t> </w:t>
            </w:r>
            <w:r>
              <w:rPr>
                <w:sz w:val="20"/>
              </w:rPr>
              <w:t>actores)</w:t>
            </w:r>
            <w:r>
              <w:rPr>
                <w:spacing w:val="-14"/>
                <w:sz w:val="20"/>
              </w:rPr>
              <w:t> </w:t>
            </w:r>
            <w:r>
              <w:rPr>
                <w:sz w:val="20"/>
              </w:rPr>
              <w:t>que</w:t>
            </w:r>
            <w:r>
              <w:rPr>
                <w:spacing w:val="-14"/>
                <w:sz w:val="20"/>
              </w:rPr>
              <w:t> </w:t>
            </w:r>
            <w:r>
              <w:rPr>
                <w:sz w:val="20"/>
              </w:rPr>
              <w:t>lleva</w:t>
            </w:r>
            <w:r>
              <w:rPr>
                <w:spacing w:val="-14"/>
                <w:sz w:val="20"/>
              </w:rPr>
              <w:t> </w:t>
            </w:r>
            <w:r>
              <w:rPr>
                <w:sz w:val="20"/>
              </w:rPr>
              <w:t>a</w:t>
            </w:r>
            <w:r>
              <w:rPr>
                <w:spacing w:val="-14"/>
                <w:sz w:val="20"/>
              </w:rPr>
              <w:t> </w:t>
            </w:r>
            <w:r>
              <w:rPr>
                <w:sz w:val="20"/>
              </w:rPr>
              <w:t>cabo</w:t>
            </w:r>
            <w:r>
              <w:rPr>
                <w:spacing w:val="-14"/>
                <w:sz w:val="20"/>
              </w:rPr>
              <w:t> </w:t>
            </w:r>
            <w:r>
              <w:rPr>
                <w:sz w:val="20"/>
              </w:rPr>
              <w:t>la</w:t>
            </w:r>
            <w:r>
              <w:rPr>
                <w:spacing w:val="-14"/>
                <w:sz w:val="20"/>
              </w:rPr>
              <w:t> </w:t>
            </w:r>
            <w:r>
              <w:rPr>
                <w:sz w:val="20"/>
              </w:rPr>
              <w:t>Política?</w:t>
            </w:r>
            <w:r>
              <w:rPr>
                <w:spacing w:val="-13"/>
                <w:sz w:val="20"/>
              </w:rPr>
              <w:t> </w:t>
            </w:r>
            <w:r>
              <w:rPr>
                <w:sz w:val="20"/>
              </w:rPr>
              <w:t>¿El</w:t>
            </w:r>
            <w:r>
              <w:rPr>
                <w:spacing w:val="-14"/>
                <w:sz w:val="20"/>
              </w:rPr>
              <w:t> </w:t>
            </w:r>
            <w:r>
              <w:rPr>
                <w:sz w:val="20"/>
              </w:rPr>
              <w:t>servicio</w:t>
            </w:r>
            <w:r>
              <w:rPr>
                <w:spacing w:val="-14"/>
                <w:sz w:val="20"/>
              </w:rPr>
              <w:t> </w:t>
            </w:r>
            <w:r>
              <w:rPr>
                <w:sz w:val="20"/>
              </w:rPr>
              <w:t>ha identificado retos importantes durante su operación, por ejemplo, cuellos de botella, quejas de los beneficiarios de manera frecuente,</w:t>
            </w:r>
          </w:p>
          <w:p>
            <w:pPr>
              <w:pStyle w:val="TableParagraph"/>
              <w:spacing w:line="227" w:lineRule="exact" w:before="2"/>
              <w:ind w:left="68"/>
              <w:rPr>
                <w:sz w:val="20"/>
              </w:rPr>
            </w:pPr>
            <w:r>
              <w:rPr>
                <w:sz w:val="20"/>
              </w:rPr>
              <w:t>incidencias</w:t>
            </w:r>
            <w:r>
              <w:rPr>
                <w:spacing w:val="-4"/>
                <w:sz w:val="20"/>
              </w:rPr>
              <w:t> </w:t>
            </w:r>
            <w:r>
              <w:rPr>
                <w:sz w:val="20"/>
              </w:rPr>
              <w:t>reiteradas</w:t>
            </w:r>
            <w:r>
              <w:rPr>
                <w:spacing w:val="-4"/>
                <w:sz w:val="20"/>
              </w:rPr>
              <w:t> </w:t>
            </w:r>
            <w:r>
              <w:rPr>
                <w:sz w:val="20"/>
              </w:rPr>
              <w:t>en</w:t>
            </w:r>
            <w:r>
              <w:rPr>
                <w:spacing w:val="-3"/>
                <w:sz w:val="20"/>
              </w:rPr>
              <w:t> </w:t>
            </w:r>
            <w:r>
              <w:rPr>
                <w:sz w:val="20"/>
              </w:rPr>
              <w:t>su</w:t>
            </w:r>
            <w:r>
              <w:rPr>
                <w:spacing w:val="-4"/>
                <w:sz w:val="20"/>
              </w:rPr>
              <w:t> </w:t>
            </w:r>
            <w:r>
              <w:rPr>
                <w:spacing w:val="-2"/>
                <w:sz w:val="20"/>
              </w:rPr>
              <w:t>operación?</w:t>
            </w:r>
          </w:p>
        </w:tc>
        <w:tc>
          <w:tcPr>
            <w:tcW w:w="1059" w:type="dxa"/>
            <w:vMerge w:val="restart"/>
            <w:tcBorders>
              <w:top w:val="nil"/>
            </w:tcBorders>
          </w:tcPr>
          <w:p>
            <w:pPr>
              <w:pStyle w:val="TableParagraph"/>
              <w:rPr>
                <w:rFonts w:ascii="Times New Roman"/>
                <w:sz w:val="22"/>
              </w:rPr>
            </w:pPr>
          </w:p>
        </w:tc>
      </w:tr>
      <w:tr>
        <w:trPr>
          <w:trHeight w:val="870" w:hRule="atLeast"/>
        </w:trPr>
        <w:tc>
          <w:tcPr>
            <w:tcW w:w="1162" w:type="dxa"/>
            <w:vMerge/>
            <w:tcBorders>
              <w:top w:val="nil"/>
            </w:tcBorders>
          </w:tcPr>
          <w:p>
            <w:pPr>
              <w:rPr>
                <w:sz w:val="2"/>
                <w:szCs w:val="2"/>
              </w:rPr>
            </w:pPr>
          </w:p>
        </w:tc>
        <w:tc>
          <w:tcPr>
            <w:tcW w:w="6672" w:type="dxa"/>
          </w:tcPr>
          <w:p>
            <w:pPr>
              <w:pStyle w:val="TableParagraph"/>
              <w:spacing w:before="52"/>
              <w:ind w:left="68"/>
              <w:rPr>
                <w:sz w:val="20"/>
              </w:rPr>
            </w:pPr>
            <w:r>
              <w:rPr>
                <w:sz w:val="20"/>
              </w:rPr>
              <w:t>¿Qué</w:t>
            </w:r>
            <w:r>
              <w:rPr>
                <w:spacing w:val="-10"/>
                <w:sz w:val="20"/>
              </w:rPr>
              <w:t> </w:t>
            </w:r>
            <w:r>
              <w:rPr>
                <w:sz w:val="20"/>
              </w:rPr>
              <w:t>otras</w:t>
            </w:r>
            <w:r>
              <w:rPr>
                <w:spacing w:val="-11"/>
                <w:sz w:val="20"/>
              </w:rPr>
              <w:t> </w:t>
            </w:r>
            <w:r>
              <w:rPr>
                <w:sz w:val="20"/>
              </w:rPr>
              <w:t>acciones</w:t>
            </w:r>
            <w:r>
              <w:rPr>
                <w:spacing w:val="-11"/>
                <w:sz w:val="20"/>
              </w:rPr>
              <w:t> </w:t>
            </w:r>
            <w:r>
              <w:rPr>
                <w:sz w:val="20"/>
              </w:rPr>
              <w:t>relevantes</w:t>
            </w:r>
            <w:r>
              <w:rPr>
                <w:spacing w:val="-8"/>
                <w:sz w:val="20"/>
              </w:rPr>
              <w:t> </w:t>
            </w:r>
            <w:r>
              <w:rPr>
                <w:sz w:val="20"/>
              </w:rPr>
              <w:t>y</w:t>
            </w:r>
            <w:r>
              <w:rPr>
                <w:spacing w:val="-12"/>
                <w:sz w:val="20"/>
              </w:rPr>
              <w:t> </w:t>
            </w:r>
            <w:r>
              <w:rPr>
                <w:sz w:val="20"/>
              </w:rPr>
              <w:t>no</w:t>
            </w:r>
            <w:r>
              <w:rPr>
                <w:spacing w:val="-11"/>
                <w:sz w:val="20"/>
              </w:rPr>
              <w:t> </w:t>
            </w:r>
            <w:r>
              <w:rPr>
                <w:sz w:val="20"/>
              </w:rPr>
              <w:t>planificadas</w:t>
            </w:r>
            <w:r>
              <w:rPr>
                <w:spacing w:val="-10"/>
                <w:sz w:val="20"/>
              </w:rPr>
              <w:t> </w:t>
            </w:r>
            <w:r>
              <w:rPr>
                <w:sz w:val="20"/>
              </w:rPr>
              <w:t>en</w:t>
            </w:r>
            <w:r>
              <w:rPr>
                <w:spacing w:val="-11"/>
                <w:sz w:val="20"/>
              </w:rPr>
              <w:t> </w:t>
            </w:r>
            <w:r>
              <w:rPr>
                <w:sz w:val="20"/>
              </w:rPr>
              <w:t>la</w:t>
            </w:r>
            <w:r>
              <w:rPr>
                <w:spacing w:val="-11"/>
                <w:sz w:val="20"/>
              </w:rPr>
              <w:t> </w:t>
            </w:r>
            <w:r>
              <w:rPr>
                <w:sz w:val="20"/>
              </w:rPr>
              <w:t>política</w:t>
            </w:r>
            <w:r>
              <w:rPr>
                <w:spacing w:val="-11"/>
                <w:sz w:val="20"/>
              </w:rPr>
              <w:t> </w:t>
            </w:r>
            <w:r>
              <w:rPr>
                <w:spacing w:val="-2"/>
                <w:sz w:val="20"/>
              </w:rPr>
              <w:t>nacional</w:t>
            </w:r>
          </w:p>
          <w:p>
            <w:pPr>
              <w:pStyle w:val="TableParagraph"/>
              <w:spacing w:line="270" w:lineRule="atLeast" w:before="4"/>
              <w:ind w:left="68" w:right="199"/>
              <w:rPr>
                <w:sz w:val="20"/>
              </w:rPr>
            </w:pPr>
            <w:r>
              <w:rPr>
                <w:sz w:val="20"/>
              </w:rPr>
              <w:t>(o fuera de su marco) se vienen realizando para dar cumplimiento con los objetivos prioritarios?</w:t>
            </w:r>
          </w:p>
        </w:tc>
        <w:tc>
          <w:tcPr>
            <w:tcW w:w="1059" w:type="dxa"/>
            <w:vMerge/>
            <w:tcBorders>
              <w:top w:val="nil"/>
            </w:tcBorders>
          </w:tcPr>
          <w:p>
            <w:pPr>
              <w:rPr>
                <w:sz w:val="2"/>
                <w:szCs w:val="2"/>
              </w:rPr>
            </w:pPr>
          </w:p>
        </w:tc>
      </w:tr>
      <w:tr>
        <w:trPr>
          <w:trHeight w:val="1094" w:hRule="atLeast"/>
        </w:trPr>
        <w:tc>
          <w:tcPr>
            <w:tcW w:w="1162" w:type="dxa"/>
            <w:vMerge/>
            <w:tcBorders>
              <w:top w:val="nil"/>
            </w:tcBorders>
          </w:tcPr>
          <w:p>
            <w:pPr>
              <w:rPr>
                <w:sz w:val="2"/>
                <w:szCs w:val="2"/>
              </w:rPr>
            </w:pPr>
          </w:p>
        </w:tc>
        <w:tc>
          <w:tcPr>
            <w:tcW w:w="6672" w:type="dxa"/>
          </w:tcPr>
          <w:p>
            <w:pPr>
              <w:pStyle w:val="TableParagraph"/>
              <w:spacing w:line="283" w:lineRule="auto" w:before="28"/>
              <w:ind w:left="68" w:right="199"/>
              <w:rPr>
                <w:sz w:val="20"/>
              </w:rPr>
            </w:pPr>
            <w:r>
              <w:rPr>
                <w:sz w:val="20"/>
              </w:rPr>
              <w:t>*¿Estas contribuyen a fortalecer</w:t>
            </w:r>
            <w:r>
              <w:rPr>
                <w:spacing w:val="-1"/>
                <w:sz w:val="20"/>
              </w:rPr>
              <w:t> </w:t>
            </w:r>
            <w:r>
              <w:rPr>
                <w:sz w:val="20"/>
              </w:rPr>
              <w:t>o mejorar</w:t>
            </w:r>
            <w:r>
              <w:rPr>
                <w:spacing w:val="-1"/>
                <w:sz w:val="20"/>
              </w:rPr>
              <w:t> </w:t>
            </w:r>
            <w:r>
              <w:rPr>
                <w:sz w:val="20"/>
              </w:rPr>
              <w:t>la entrega de algún servicio de</w:t>
            </w:r>
            <w:r>
              <w:rPr>
                <w:spacing w:val="-7"/>
                <w:sz w:val="20"/>
              </w:rPr>
              <w:t> </w:t>
            </w:r>
            <w:r>
              <w:rPr>
                <w:sz w:val="20"/>
              </w:rPr>
              <w:t>la</w:t>
            </w:r>
            <w:r>
              <w:rPr>
                <w:spacing w:val="-7"/>
                <w:sz w:val="20"/>
              </w:rPr>
              <w:t> </w:t>
            </w:r>
            <w:r>
              <w:rPr>
                <w:sz w:val="20"/>
              </w:rPr>
              <w:t>Política?</w:t>
            </w:r>
            <w:r>
              <w:rPr>
                <w:spacing w:val="-7"/>
                <w:sz w:val="20"/>
              </w:rPr>
              <w:t> </w:t>
            </w:r>
            <w:r>
              <w:rPr>
                <w:sz w:val="20"/>
              </w:rPr>
              <w:t>¿Se</w:t>
            </w:r>
            <w:r>
              <w:rPr>
                <w:spacing w:val="-7"/>
                <w:sz w:val="20"/>
              </w:rPr>
              <w:t> </w:t>
            </w:r>
            <w:r>
              <w:rPr>
                <w:sz w:val="20"/>
              </w:rPr>
              <w:t>han</w:t>
            </w:r>
            <w:r>
              <w:rPr>
                <w:spacing w:val="-4"/>
                <w:sz w:val="20"/>
              </w:rPr>
              <w:t> </w:t>
            </w:r>
            <w:r>
              <w:rPr>
                <w:sz w:val="20"/>
              </w:rPr>
              <w:t>identificadas</w:t>
            </w:r>
            <w:r>
              <w:rPr>
                <w:spacing w:val="-7"/>
                <w:sz w:val="20"/>
              </w:rPr>
              <w:t> </w:t>
            </w:r>
            <w:r>
              <w:rPr>
                <w:sz w:val="20"/>
              </w:rPr>
              <w:t>otras</w:t>
            </w:r>
            <w:r>
              <w:rPr>
                <w:spacing w:val="-7"/>
                <w:sz w:val="20"/>
              </w:rPr>
              <w:t> </w:t>
            </w:r>
            <w:r>
              <w:rPr>
                <w:sz w:val="20"/>
              </w:rPr>
              <w:t>buenas</w:t>
            </w:r>
            <w:r>
              <w:rPr>
                <w:spacing w:val="-7"/>
                <w:sz w:val="20"/>
              </w:rPr>
              <w:t> </w:t>
            </w:r>
            <w:r>
              <w:rPr>
                <w:sz w:val="20"/>
              </w:rPr>
              <w:t>prácticas</w:t>
            </w:r>
            <w:r>
              <w:rPr>
                <w:spacing w:val="-7"/>
                <w:sz w:val="20"/>
              </w:rPr>
              <w:t> </w:t>
            </w:r>
            <w:r>
              <w:rPr>
                <w:sz w:val="20"/>
              </w:rPr>
              <w:t>o</w:t>
            </w:r>
            <w:r>
              <w:rPr>
                <w:spacing w:val="-7"/>
                <w:sz w:val="20"/>
              </w:rPr>
              <w:t> </w:t>
            </w:r>
            <w:r>
              <w:rPr>
                <w:sz w:val="20"/>
              </w:rPr>
              <w:t>acciones para mejorar la eficiencia y efectividad de la entrega de servicios en</w:t>
            </w:r>
            <w:r>
              <w:rPr>
                <w:spacing w:val="-1"/>
                <w:sz w:val="20"/>
              </w:rPr>
              <w:t> </w:t>
            </w:r>
            <w:r>
              <w:rPr>
                <w:sz w:val="20"/>
              </w:rPr>
              <w:t>el</w:t>
            </w:r>
          </w:p>
          <w:p>
            <w:pPr>
              <w:pStyle w:val="TableParagraph"/>
              <w:spacing w:before="2"/>
              <w:ind w:left="68"/>
              <w:rPr>
                <w:sz w:val="20"/>
              </w:rPr>
            </w:pPr>
            <w:r>
              <w:rPr>
                <w:spacing w:val="-2"/>
                <w:w w:val="105"/>
                <w:sz w:val="20"/>
              </w:rPr>
              <w:t>futuro?</w:t>
            </w:r>
          </w:p>
        </w:tc>
        <w:tc>
          <w:tcPr>
            <w:tcW w:w="1059" w:type="dxa"/>
            <w:vMerge/>
            <w:tcBorders>
              <w:top w:val="nil"/>
            </w:tcBorders>
          </w:tcPr>
          <w:p>
            <w:pPr>
              <w:rPr>
                <w:sz w:val="2"/>
                <w:szCs w:val="2"/>
              </w:rPr>
            </w:pPr>
          </w:p>
        </w:tc>
      </w:tr>
    </w:tbl>
    <w:p>
      <w:pPr>
        <w:pStyle w:val="BodyText"/>
        <w:spacing w:before="215"/>
      </w:pPr>
    </w:p>
    <w:p>
      <w:pPr>
        <w:pStyle w:val="BodyText"/>
        <w:ind w:left="143"/>
      </w:pPr>
      <w:r>
        <w:rPr/>
        <w:t>En</w:t>
      </w:r>
      <w:r>
        <w:rPr>
          <w:spacing w:val="-8"/>
        </w:rPr>
        <w:t> </w:t>
      </w:r>
      <w:r>
        <w:rPr/>
        <w:t>ese</w:t>
      </w:r>
      <w:r>
        <w:rPr>
          <w:spacing w:val="-8"/>
        </w:rPr>
        <w:t> </w:t>
      </w:r>
      <w:r>
        <w:rPr/>
        <w:t>sentido,</w:t>
      </w:r>
      <w:r>
        <w:rPr>
          <w:spacing w:val="-9"/>
        </w:rPr>
        <w:t> </w:t>
      </w:r>
      <w:r>
        <w:rPr/>
        <w:t>se</w:t>
      </w:r>
      <w:r>
        <w:rPr>
          <w:spacing w:val="-8"/>
        </w:rPr>
        <w:t> </w:t>
      </w:r>
      <w:r>
        <w:rPr/>
        <w:t>menciona</w:t>
      </w:r>
      <w:r>
        <w:rPr>
          <w:spacing w:val="-10"/>
        </w:rPr>
        <w:t> </w:t>
      </w:r>
      <w:r>
        <w:rPr/>
        <w:t>los</w:t>
      </w:r>
      <w:r>
        <w:rPr>
          <w:spacing w:val="-7"/>
        </w:rPr>
        <w:t> </w:t>
      </w:r>
      <w:r>
        <w:rPr/>
        <w:t>principales</w:t>
      </w:r>
      <w:r>
        <w:rPr>
          <w:spacing w:val="-9"/>
        </w:rPr>
        <w:t> </w:t>
      </w:r>
      <w:r>
        <w:rPr>
          <w:spacing w:val="-2"/>
        </w:rPr>
        <w:t>hallazgos:</w:t>
      </w:r>
    </w:p>
    <w:p>
      <w:pPr>
        <w:pStyle w:val="BodyText"/>
        <w:spacing w:line="307" w:lineRule="auto" w:before="233"/>
        <w:ind w:left="862" w:right="704"/>
        <w:jc w:val="both"/>
      </w:pPr>
      <w:r>
        <w:rPr/>
        <w:t>La Política Nacional de Igualdad de Género (PNIG) incorpora el enfoque de interseccionalidad en el diseño de objetivos y servicios; sin embargo, su implementación resulta insuficiente. Además, la política requiere ampliar el diagnostico del problema publico para incluir violencias emergentes, como aquellas que ocurren en entornos digitales, así como aquellas dirigidas a grupos vulnerables que no están visibilizados de manera suficiente, como la población LGTBQ+. Asimismo, se señala la importancia de incorporar en las alternativas de prevención de la violencia el trabajo con las masculinidades, un enfoque clave para abordar de manera integral las causas de la violencia.</w:t>
      </w:r>
    </w:p>
    <w:p>
      <w:pPr>
        <w:pStyle w:val="BodyText"/>
        <w:spacing w:before="56"/>
      </w:pPr>
    </w:p>
    <w:p>
      <w:pPr>
        <w:pStyle w:val="ListParagraph"/>
        <w:numPr>
          <w:ilvl w:val="1"/>
          <w:numId w:val="19"/>
        </w:numPr>
        <w:tabs>
          <w:tab w:pos="862" w:val="left" w:leader="none"/>
        </w:tabs>
        <w:spacing w:line="304" w:lineRule="auto" w:before="0" w:after="0"/>
        <w:ind w:left="862" w:right="706" w:hanging="360"/>
        <w:jc w:val="both"/>
        <w:rPr>
          <w:sz w:val="24"/>
        </w:rPr>
      </w:pPr>
      <w:r>
        <w:rPr>
          <w:sz w:val="24"/>
        </w:rPr>
        <w:t>La OP1 “Reducir la violencia hacia las mujeres” tiene como enfoque reducir la violencia hacia las mujeres mediante dos lineamientos enfocados</w:t>
      </w:r>
      <w:r>
        <w:rPr>
          <w:spacing w:val="-7"/>
          <w:sz w:val="24"/>
        </w:rPr>
        <w:t> </w:t>
      </w:r>
      <w:r>
        <w:rPr>
          <w:sz w:val="24"/>
        </w:rPr>
        <w:t>en</w:t>
      </w:r>
      <w:r>
        <w:rPr>
          <w:spacing w:val="-3"/>
          <w:sz w:val="24"/>
        </w:rPr>
        <w:t> </w:t>
      </w:r>
      <w:r>
        <w:rPr>
          <w:sz w:val="24"/>
        </w:rPr>
        <w:t>la</w:t>
      </w:r>
      <w:r>
        <w:rPr>
          <w:spacing w:val="-7"/>
          <w:sz w:val="24"/>
        </w:rPr>
        <w:t> </w:t>
      </w:r>
      <w:r>
        <w:rPr>
          <w:sz w:val="24"/>
        </w:rPr>
        <w:t>atención</w:t>
      </w:r>
      <w:r>
        <w:rPr>
          <w:spacing w:val="-6"/>
          <w:sz w:val="24"/>
        </w:rPr>
        <w:t> </w:t>
      </w:r>
      <w:r>
        <w:rPr>
          <w:sz w:val="24"/>
        </w:rPr>
        <w:t>y</w:t>
      </w:r>
      <w:r>
        <w:rPr>
          <w:spacing w:val="-5"/>
          <w:sz w:val="24"/>
        </w:rPr>
        <w:t> </w:t>
      </w:r>
      <w:r>
        <w:rPr>
          <w:sz w:val="24"/>
        </w:rPr>
        <w:t>prevención.</w:t>
      </w:r>
      <w:r>
        <w:rPr>
          <w:spacing w:val="-7"/>
          <w:sz w:val="24"/>
        </w:rPr>
        <w:t> </w:t>
      </w:r>
      <w:r>
        <w:rPr>
          <w:sz w:val="24"/>
        </w:rPr>
        <w:t>En</w:t>
      </w:r>
      <w:r>
        <w:rPr>
          <w:spacing w:val="-6"/>
          <w:sz w:val="24"/>
        </w:rPr>
        <w:t> </w:t>
      </w:r>
      <w:r>
        <w:rPr>
          <w:sz w:val="24"/>
        </w:rPr>
        <w:t>esa</w:t>
      </w:r>
      <w:r>
        <w:rPr>
          <w:spacing w:val="-6"/>
          <w:sz w:val="24"/>
        </w:rPr>
        <w:t> </w:t>
      </w:r>
      <w:r>
        <w:rPr>
          <w:sz w:val="24"/>
        </w:rPr>
        <w:t>línea,</w:t>
      </w:r>
      <w:r>
        <w:rPr>
          <w:spacing w:val="-3"/>
          <w:sz w:val="24"/>
        </w:rPr>
        <w:t> </w:t>
      </w:r>
      <w:r>
        <w:rPr>
          <w:sz w:val="24"/>
        </w:rPr>
        <w:t>contiene</w:t>
      </w:r>
      <w:r>
        <w:rPr>
          <w:spacing w:val="-5"/>
          <w:sz w:val="24"/>
        </w:rPr>
        <w:t> </w:t>
      </w:r>
      <w:r>
        <w:rPr>
          <w:sz w:val="24"/>
        </w:rPr>
        <w:t>9</w:t>
      </w:r>
      <w:r>
        <w:rPr>
          <w:spacing w:val="-8"/>
          <w:sz w:val="24"/>
        </w:rPr>
        <w:t> </w:t>
      </w:r>
      <w:r>
        <w:rPr>
          <w:sz w:val="24"/>
        </w:rPr>
        <w:t>servicios relacionados</w:t>
      </w:r>
      <w:r>
        <w:rPr>
          <w:spacing w:val="-11"/>
          <w:sz w:val="24"/>
        </w:rPr>
        <w:t> </w:t>
      </w:r>
      <w:r>
        <w:rPr>
          <w:sz w:val="24"/>
        </w:rPr>
        <w:t>con</w:t>
      </w:r>
      <w:r>
        <w:rPr>
          <w:spacing w:val="-13"/>
          <w:sz w:val="24"/>
        </w:rPr>
        <w:t> </w:t>
      </w:r>
      <w:r>
        <w:rPr>
          <w:sz w:val="24"/>
        </w:rPr>
        <w:t>la</w:t>
      </w:r>
      <w:r>
        <w:rPr>
          <w:spacing w:val="-13"/>
          <w:sz w:val="24"/>
        </w:rPr>
        <w:t> </w:t>
      </w:r>
      <w:r>
        <w:rPr>
          <w:sz w:val="24"/>
        </w:rPr>
        <w:t>atención</w:t>
      </w:r>
      <w:r>
        <w:rPr>
          <w:spacing w:val="-13"/>
          <w:sz w:val="24"/>
        </w:rPr>
        <w:t> </w:t>
      </w:r>
      <w:r>
        <w:rPr>
          <w:sz w:val="24"/>
        </w:rPr>
        <w:t>y</w:t>
      </w:r>
      <w:r>
        <w:rPr>
          <w:spacing w:val="-13"/>
          <w:sz w:val="24"/>
        </w:rPr>
        <w:t> </w:t>
      </w:r>
      <w:r>
        <w:rPr>
          <w:sz w:val="24"/>
        </w:rPr>
        <w:t>6</w:t>
      </w:r>
      <w:r>
        <w:rPr>
          <w:spacing w:val="-13"/>
          <w:sz w:val="24"/>
        </w:rPr>
        <w:t> </w:t>
      </w:r>
      <w:r>
        <w:rPr>
          <w:sz w:val="24"/>
        </w:rPr>
        <w:t>servicios</w:t>
      </w:r>
      <w:r>
        <w:rPr>
          <w:spacing w:val="-8"/>
          <w:sz w:val="24"/>
        </w:rPr>
        <w:t> </w:t>
      </w:r>
      <w:r>
        <w:rPr>
          <w:sz w:val="24"/>
        </w:rPr>
        <w:t>relacionados</w:t>
      </w:r>
      <w:r>
        <w:rPr>
          <w:spacing w:val="-11"/>
          <w:sz w:val="24"/>
        </w:rPr>
        <w:t> </w:t>
      </w:r>
      <w:r>
        <w:rPr>
          <w:sz w:val="24"/>
        </w:rPr>
        <w:t>con</w:t>
      </w:r>
      <w:r>
        <w:rPr>
          <w:spacing w:val="-13"/>
          <w:sz w:val="24"/>
        </w:rPr>
        <w:t> </w:t>
      </w:r>
      <w:r>
        <w:rPr>
          <w:sz w:val="24"/>
        </w:rPr>
        <w:t>la</w:t>
      </w:r>
      <w:r>
        <w:rPr>
          <w:spacing w:val="-15"/>
          <w:sz w:val="24"/>
        </w:rPr>
        <w:t> </w:t>
      </w:r>
      <w:r>
        <w:rPr>
          <w:sz w:val="24"/>
        </w:rPr>
        <w:t>prevención. Asimismo,</w:t>
      </w:r>
      <w:r>
        <w:rPr>
          <w:spacing w:val="-9"/>
          <w:sz w:val="24"/>
        </w:rPr>
        <w:t> </w:t>
      </w:r>
      <w:r>
        <w:rPr>
          <w:sz w:val="24"/>
        </w:rPr>
        <w:t>al</w:t>
      </w:r>
      <w:r>
        <w:rPr>
          <w:spacing w:val="-9"/>
          <w:sz w:val="24"/>
        </w:rPr>
        <w:t> </w:t>
      </w:r>
      <w:r>
        <w:rPr>
          <w:sz w:val="24"/>
        </w:rPr>
        <w:t>analizar</w:t>
      </w:r>
      <w:r>
        <w:rPr>
          <w:spacing w:val="-10"/>
          <w:sz w:val="24"/>
        </w:rPr>
        <w:t> </w:t>
      </w:r>
      <w:r>
        <w:rPr>
          <w:sz w:val="24"/>
        </w:rPr>
        <w:t>la</w:t>
      </w:r>
      <w:r>
        <w:rPr>
          <w:spacing w:val="-10"/>
          <w:sz w:val="24"/>
        </w:rPr>
        <w:t> </w:t>
      </w:r>
      <w:r>
        <w:rPr>
          <w:sz w:val="24"/>
        </w:rPr>
        <w:t>articulación</w:t>
      </w:r>
      <w:r>
        <w:rPr>
          <w:spacing w:val="-10"/>
          <w:sz w:val="24"/>
        </w:rPr>
        <w:t> </w:t>
      </w:r>
      <w:r>
        <w:rPr>
          <w:sz w:val="24"/>
        </w:rPr>
        <w:t>de</w:t>
      </w:r>
      <w:r>
        <w:rPr>
          <w:spacing w:val="-12"/>
          <w:sz w:val="24"/>
        </w:rPr>
        <w:t> </w:t>
      </w:r>
      <w:r>
        <w:rPr>
          <w:sz w:val="24"/>
        </w:rPr>
        <w:t>los</w:t>
      </w:r>
      <w:r>
        <w:rPr>
          <w:spacing w:val="-11"/>
          <w:sz w:val="24"/>
        </w:rPr>
        <w:t> </w:t>
      </w:r>
      <w:r>
        <w:rPr>
          <w:sz w:val="24"/>
        </w:rPr>
        <w:t>servicios</w:t>
      </w:r>
      <w:r>
        <w:rPr>
          <w:spacing w:val="-11"/>
          <w:sz w:val="24"/>
        </w:rPr>
        <w:t> </w:t>
      </w:r>
      <w:r>
        <w:rPr>
          <w:sz w:val="24"/>
        </w:rPr>
        <w:t>con</w:t>
      </w:r>
      <w:r>
        <w:rPr>
          <w:spacing w:val="-12"/>
          <w:sz w:val="24"/>
        </w:rPr>
        <w:t> </w:t>
      </w:r>
      <w:r>
        <w:rPr>
          <w:sz w:val="24"/>
        </w:rPr>
        <w:t>otros</w:t>
      </w:r>
      <w:r>
        <w:rPr>
          <w:spacing w:val="-9"/>
          <w:sz w:val="24"/>
        </w:rPr>
        <w:t> </w:t>
      </w:r>
      <w:r>
        <w:rPr>
          <w:sz w:val="24"/>
        </w:rPr>
        <w:t>sectores</w:t>
      </w:r>
      <w:r>
        <w:rPr>
          <w:spacing w:val="-8"/>
          <w:sz w:val="24"/>
        </w:rPr>
        <w:t> </w:t>
      </w:r>
      <w:r>
        <w:rPr>
          <w:sz w:val="24"/>
        </w:rPr>
        <w:t>se identifica que existe mayor cantidad de sectores (8) y articulación en los servicios de atención en comparación con los de prevención (3).</w:t>
      </w:r>
    </w:p>
    <w:p>
      <w:pPr>
        <w:pStyle w:val="BodyText"/>
        <w:spacing w:before="6"/>
      </w:pPr>
    </w:p>
    <w:p>
      <w:pPr>
        <w:pStyle w:val="ListParagraph"/>
        <w:numPr>
          <w:ilvl w:val="1"/>
          <w:numId w:val="19"/>
        </w:numPr>
        <w:tabs>
          <w:tab w:pos="862" w:val="left" w:leader="none"/>
        </w:tabs>
        <w:spacing w:line="304" w:lineRule="auto" w:before="0" w:after="0"/>
        <w:ind w:left="862" w:right="703" w:hanging="360"/>
        <w:jc w:val="both"/>
        <w:rPr>
          <w:sz w:val="24"/>
        </w:rPr>
      </w:pPr>
      <w:r>
        <w:rPr>
          <w:sz w:val="24"/>
        </w:rPr>
        <w:t>Respecto a los 9 servicios alineados con la atención se identifica que no se realiza seguimiento de 5 servicios debido a que no cuentan con protocolos aprobados. No obstante, en base a la información</w:t>
      </w:r>
      <w:r>
        <w:rPr>
          <w:spacing w:val="80"/>
          <w:sz w:val="24"/>
        </w:rPr>
        <w:t> </w:t>
      </w:r>
      <w:r>
        <w:rPr>
          <w:sz w:val="24"/>
        </w:rPr>
        <w:t>documental y</w:t>
      </w:r>
      <w:r>
        <w:rPr>
          <w:spacing w:val="-1"/>
          <w:sz w:val="24"/>
        </w:rPr>
        <w:t> </w:t>
      </w:r>
      <w:r>
        <w:rPr>
          <w:sz w:val="24"/>
        </w:rPr>
        <w:t>entrevistas se</w:t>
      </w:r>
      <w:r>
        <w:rPr>
          <w:spacing w:val="-1"/>
          <w:sz w:val="24"/>
        </w:rPr>
        <w:t> </w:t>
      </w:r>
      <w:r>
        <w:rPr>
          <w:sz w:val="24"/>
        </w:rPr>
        <w:t>identifica</w:t>
      </w:r>
      <w:r>
        <w:rPr>
          <w:spacing w:val="-1"/>
          <w:sz w:val="24"/>
        </w:rPr>
        <w:t> </w:t>
      </w:r>
      <w:r>
        <w:rPr>
          <w:sz w:val="24"/>
        </w:rPr>
        <w:t>que 4</w:t>
      </w:r>
      <w:r>
        <w:rPr>
          <w:spacing w:val="-1"/>
          <w:sz w:val="24"/>
        </w:rPr>
        <w:t> </w:t>
      </w:r>
      <w:r>
        <w:rPr>
          <w:sz w:val="24"/>
        </w:rPr>
        <w:t>servicios</w:t>
      </w:r>
      <w:r>
        <w:rPr>
          <w:spacing w:val="-2"/>
          <w:sz w:val="24"/>
        </w:rPr>
        <w:t> </w:t>
      </w:r>
      <w:r>
        <w:rPr>
          <w:sz w:val="24"/>
        </w:rPr>
        <w:t>son</w:t>
      </w:r>
      <w:r>
        <w:rPr>
          <w:spacing w:val="-1"/>
          <w:sz w:val="24"/>
        </w:rPr>
        <w:t> </w:t>
      </w:r>
      <w:r>
        <w:rPr>
          <w:sz w:val="24"/>
        </w:rPr>
        <w:t>coherentes y 4 son pertinentes para alcanzar el objetivo prioritario mencionado.</w:t>
      </w:r>
    </w:p>
    <w:p>
      <w:pPr>
        <w:pStyle w:val="BodyText"/>
        <w:spacing w:before="82"/>
      </w:pPr>
    </w:p>
    <w:p>
      <w:pPr>
        <w:pStyle w:val="BodyText"/>
        <w:spacing w:line="307" w:lineRule="auto"/>
        <w:ind w:left="862" w:right="706"/>
        <w:jc w:val="both"/>
      </w:pPr>
      <w:r>
        <w:rPr/>
        <w:t>En</w:t>
      </w:r>
      <w:r>
        <w:rPr>
          <w:spacing w:val="-4"/>
        </w:rPr>
        <w:t> </w:t>
      </w:r>
      <w:r>
        <w:rPr/>
        <w:t>relación</w:t>
      </w:r>
      <w:r>
        <w:rPr>
          <w:spacing w:val="-4"/>
        </w:rPr>
        <w:t> </w:t>
      </w:r>
      <w:r>
        <w:rPr/>
        <w:t>a</w:t>
      </w:r>
      <w:r>
        <w:rPr>
          <w:spacing w:val="-6"/>
        </w:rPr>
        <w:t> </w:t>
      </w:r>
      <w:r>
        <w:rPr/>
        <w:t>los</w:t>
      </w:r>
      <w:r>
        <w:rPr>
          <w:spacing w:val="-5"/>
        </w:rPr>
        <w:t> </w:t>
      </w:r>
      <w:r>
        <w:rPr/>
        <w:t>4</w:t>
      </w:r>
      <w:r>
        <w:rPr>
          <w:spacing w:val="-4"/>
        </w:rPr>
        <w:t> </w:t>
      </w:r>
      <w:r>
        <w:rPr/>
        <w:t>servicios</w:t>
      </w:r>
      <w:r>
        <w:rPr>
          <w:spacing w:val="-3"/>
        </w:rPr>
        <w:t> </w:t>
      </w:r>
      <w:r>
        <w:rPr/>
        <w:t>restantes,</w:t>
      </w:r>
      <w:r>
        <w:rPr>
          <w:spacing w:val="-1"/>
        </w:rPr>
        <w:t> </w:t>
      </w:r>
      <w:r>
        <w:rPr/>
        <w:t>se</w:t>
      </w:r>
      <w:r>
        <w:rPr>
          <w:spacing w:val="-4"/>
        </w:rPr>
        <w:t> </w:t>
      </w:r>
      <w:r>
        <w:rPr/>
        <w:t>identifica</w:t>
      </w:r>
      <w:r>
        <w:rPr>
          <w:spacing w:val="-4"/>
        </w:rPr>
        <w:t> </w:t>
      </w:r>
      <w:r>
        <w:rPr/>
        <w:t>que</w:t>
      </w:r>
      <w:r>
        <w:rPr>
          <w:spacing w:val="-4"/>
        </w:rPr>
        <w:t> </w:t>
      </w:r>
      <w:r>
        <w:rPr/>
        <w:t>son</w:t>
      </w:r>
      <w:r>
        <w:rPr>
          <w:spacing w:val="-4"/>
        </w:rPr>
        <w:t> </w:t>
      </w:r>
      <w:r>
        <w:rPr/>
        <w:t>coherentes</w:t>
      </w:r>
      <w:r>
        <w:rPr>
          <w:spacing w:val="-5"/>
        </w:rPr>
        <w:t> </w:t>
      </w:r>
      <w:r>
        <w:rPr/>
        <w:t>y pertinentes; sin embargo, se identifica que los indicadores tienen metas</w:t>
      </w:r>
    </w:p>
    <w:p>
      <w:pPr>
        <w:pStyle w:val="BodyText"/>
        <w:spacing w:after="0" w:line="307" w:lineRule="auto"/>
        <w:jc w:val="both"/>
        <w:sectPr>
          <w:pgSz w:w="11910" w:h="16840"/>
          <w:pgMar w:header="713" w:footer="1000" w:top="1420" w:bottom="1200" w:left="1559" w:right="992"/>
        </w:sectPr>
      </w:pPr>
    </w:p>
    <w:p>
      <w:pPr>
        <w:pStyle w:val="BodyText"/>
        <w:spacing w:line="304" w:lineRule="auto" w:before="123"/>
        <w:ind w:left="862" w:right="712"/>
        <w:jc w:val="both"/>
      </w:pPr>
      <w:r>
        <w:rPr/>
        <w:t>poco ambiciosas y en su mayoría no recogen información sobre los atributos más relevantes del servicio.</w:t>
      </w:r>
    </w:p>
    <w:p>
      <w:pPr>
        <w:pStyle w:val="BodyText"/>
        <w:spacing w:before="1"/>
      </w:pPr>
    </w:p>
    <w:p>
      <w:pPr>
        <w:pStyle w:val="ListParagraph"/>
        <w:numPr>
          <w:ilvl w:val="1"/>
          <w:numId w:val="19"/>
        </w:numPr>
        <w:tabs>
          <w:tab w:pos="862" w:val="left" w:leader="none"/>
        </w:tabs>
        <w:spacing w:line="304" w:lineRule="auto" w:before="0" w:after="0"/>
        <w:ind w:left="862" w:right="704" w:hanging="360"/>
        <w:jc w:val="both"/>
        <w:rPr>
          <w:sz w:val="24"/>
        </w:rPr>
      </w:pPr>
      <w:r>
        <w:rPr>
          <w:sz w:val="24"/>
        </w:rPr>
        <w:t>Respecto a los 6 servicios de prevención, se identifica que no se realiza seguimiento de 2 servicios debido a que no cuentan con protocolos aprobados.</w:t>
      </w:r>
      <w:r>
        <w:rPr>
          <w:spacing w:val="-2"/>
          <w:sz w:val="24"/>
        </w:rPr>
        <w:t> </w:t>
      </w:r>
      <w:r>
        <w:rPr>
          <w:sz w:val="24"/>
        </w:rPr>
        <w:t>Asimismo,</w:t>
      </w:r>
      <w:r>
        <w:rPr>
          <w:spacing w:val="-6"/>
          <w:sz w:val="24"/>
        </w:rPr>
        <w:t> </w:t>
      </w:r>
      <w:r>
        <w:rPr>
          <w:sz w:val="24"/>
        </w:rPr>
        <w:t>en</w:t>
      </w:r>
      <w:r>
        <w:rPr>
          <w:spacing w:val="-2"/>
          <w:sz w:val="24"/>
        </w:rPr>
        <w:t> </w:t>
      </w:r>
      <w:r>
        <w:rPr>
          <w:sz w:val="24"/>
        </w:rPr>
        <w:t>base</w:t>
      </w:r>
      <w:r>
        <w:rPr>
          <w:spacing w:val="-2"/>
          <w:sz w:val="24"/>
        </w:rPr>
        <w:t> </w:t>
      </w:r>
      <w:r>
        <w:rPr>
          <w:sz w:val="24"/>
        </w:rPr>
        <w:t>a</w:t>
      </w:r>
      <w:r>
        <w:rPr>
          <w:spacing w:val="-5"/>
          <w:sz w:val="24"/>
        </w:rPr>
        <w:t> </w:t>
      </w:r>
      <w:r>
        <w:rPr>
          <w:sz w:val="24"/>
        </w:rPr>
        <w:t>la</w:t>
      </w:r>
      <w:r>
        <w:rPr>
          <w:spacing w:val="-5"/>
          <w:sz w:val="24"/>
        </w:rPr>
        <w:t> </w:t>
      </w:r>
      <w:r>
        <w:rPr>
          <w:sz w:val="24"/>
        </w:rPr>
        <w:t>información</w:t>
      </w:r>
      <w:r>
        <w:rPr>
          <w:spacing w:val="-3"/>
          <w:sz w:val="24"/>
        </w:rPr>
        <w:t> </w:t>
      </w:r>
      <w:r>
        <w:rPr>
          <w:sz w:val="24"/>
        </w:rPr>
        <w:t>documental</w:t>
      </w:r>
      <w:r>
        <w:rPr>
          <w:spacing w:val="-4"/>
          <w:sz w:val="24"/>
        </w:rPr>
        <w:t> </w:t>
      </w:r>
      <w:r>
        <w:rPr>
          <w:sz w:val="24"/>
        </w:rPr>
        <w:t>y</w:t>
      </w:r>
      <w:r>
        <w:rPr>
          <w:spacing w:val="-2"/>
          <w:sz w:val="24"/>
        </w:rPr>
        <w:t> </w:t>
      </w:r>
      <w:r>
        <w:rPr>
          <w:sz w:val="24"/>
        </w:rPr>
        <w:t>entrevistas se identifica que solo 1 servicio es coherente y pertinente para alcanzar el objetivo prioritario mencionado.</w:t>
      </w:r>
    </w:p>
    <w:p>
      <w:pPr>
        <w:pStyle w:val="BodyText"/>
        <w:spacing w:before="81"/>
      </w:pPr>
    </w:p>
    <w:p>
      <w:pPr>
        <w:pStyle w:val="BodyText"/>
        <w:spacing w:line="307" w:lineRule="auto"/>
        <w:ind w:left="862" w:right="707"/>
        <w:jc w:val="both"/>
      </w:pPr>
      <w:r>
        <w:rPr/>
        <w:t>En</w:t>
      </w:r>
      <w:r>
        <w:rPr>
          <w:spacing w:val="-4"/>
        </w:rPr>
        <w:t> </w:t>
      </w:r>
      <w:r>
        <w:rPr/>
        <w:t>relación</w:t>
      </w:r>
      <w:r>
        <w:rPr>
          <w:spacing w:val="-4"/>
        </w:rPr>
        <w:t> </w:t>
      </w:r>
      <w:r>
        <w:rPr/>
        <w:t>a</w:t>
      </w:r>
      <w:r>
        <w:rPr>
          <w:spacing w:val="-6"/>
        </w:rPr>
        <w:t> </w:t>
      </w:r>
      <w:r>
        <w:rPr/>
        <w:t>los</w:t>
      </w:r>
      <w:r>
        <w:rPr>
          <w:spacing w:val="-5"/>
        </w:rPr>
        <w:t> </w:t>
      </w:r>
      <w:r>
        <w:rPr/>
        <w:t>4</w:t>
      </w:r>
      <w:r>
        <w:rPr>
          <w:spacing w:val="-4"/>
        </w:rPr>
        <w:t> </w:t>
      </w:r>
      <w:r>
        <w:rPr/>
        <w:t>servicios</w:t>
      </w:r>
      <w:r>
        <w:rPr>
          <w:spacing w:val="-3"/>
        </w:rPr>
        <w:t> </w:t>
      </w:r>
      <w:r>
        <w:rPr/>
        <w:t>restantes,</w:t>
      </w:r>
      <w:r>
        <w:rPr>
          <w:spacing w:val="-5"/>
        </w:rPr>
        <w:t> </w:t>
      </w:r>
      <w:r>
        <w:rPr/>
        <w:t>se</w:t>
      </w:r>
      <w:r>
        <w:rPr>
          <w:spacing w:val="-4"/>
        </w:rPr>
        <w:t> </w:t>
      </w:r>
      <w:r>
        <w:rPr/>
        <w:t>identifica</w:t>
      </w:r>
      <w:r>
        <w:rPr>
          <w:spacing w:val="-4"/>
        </w:rPr>
        <w:t> </w:t>
      </w:r>
      <w:r>
        <w:rPr/>
        <w:t>que</w:t>
      </w:r>
      <w:r>
        <w:rPr>
          <w:spacing w:val="-4"/>
        </w:rPr>
        <w:t> </w:t>
      </w:r>
      <w:r>
        <w:rPr/>
        <w:t>son</w:t>
      </w:r>
      <w:r>
        <w:rPr>
          <w:spacing w:val="-4"/>
        </w:rPr>
        <w:t> </w:t>
      </w:r>
      <w:r>
        <w:rPr/>
        <w:t>coherentes</w:t>
      </w:r>
      <w:r>
        <w:rPr>
          <w:spacing w:val="-5"/>
        </w:rPr>
        <w:t> </w:t>
      </w:r>
      <w:r>
        <w:rPr/>
        <w:t>y pertinentes;</w:t>
      </w:r>
      <w:r>
        <w:rPr>
          <w:spacing w:val="-1"/>
        </w:rPr>
        <w:t> </w:t>
      </w:r>
      <w:r>
        <w:rPr/>
        <w:t>sin</w:t>
      </w:r>
      <w:r>
        <w:rPr>
          <w:spacing w:val="-1"/>
        </w:rPr>
        <w:t> </w:t>
      </w:r>
      <w:r>
        <w:rPr/>
        <w:t>embargo, se</w:t>
      </w:r>
      <w:r>
        <w:rPr>
          <w:spacing w:val="-1"/>
        </w:rPr>
        <w:t> </w:t>
      </w:r>
      <w:r>
        <w:rPr/>
        <w:t>identifica</w:t>
      </w:r>
      <w:r>
        <w:rPr>
          <w:spacing w:val="-1"/>
        </w:rPr>
        <w:t> </w:t>
      </w:r>
      <w:r>
        <w:rPr/>
        <w:t>que es</w:t>
      </w:r>
      <w:r>
        <w:rPr>
          <w:spacing w:val="-2"/>
        </w:rPr>
        <w:t> </w:t>
      </w:r>
      <w:r>
        <w:rPr/>
        <w:t>necesario revisar</w:t>
      </w:r>
      <w:r>
        <w:rPr>
          <w:spacing w:val="-1"/>
        </w:rPr>
        <w:t> </w:t>
      </w:r>
      <w:r>
        <w:rPr/>
        <w:t>el diseño de los indicadores para que recojan</w:t>
      </w:r>
      <w:r>
        <w:rPr>
          <w:spacing w:val="-1"/>
        </w:rPr>
        <w:t> </w:t>
      </w:r>
      <w:r>
        <w:rPr/>
        <w:t>información más adecuada respecto a la cobertura y calidad.</w:t>
      </w:r>
    </w:p>
    <w:p>
      <w:pPr>
        <w:pStyle w:val="ListParagraph"/>
        <w:numPr>
          <w:ilvl w:val="1"/>
          <w:numId w:val="19"/>
        </w:numPr>
        <w:tabs>
          <w:tab w:pos="862" w:val="left" w:leader="none"/>
        </w:tabs>
        <w:spacing w:line="304" w:lineRule="auto" w:before="273" w:after="0"/>
        <w:ind w:left="862" w:right="706" w:hanging="360"/>
        <w:jc w:val="both"/>
        <w:rPr>
          <w:sz w:val="24"/>
        </w:rPr>
      </w:pPr>
      <w:r>
        <w:rPr>
          <w:sz w:val="24"/>
        </w:rPr>
        <w:t>Cabe precisar</w:t>
      </w:r>
      <w:r>
        <w:rPr>
          <w:spacing w:val="-3"/>
          <w:sz w:val="24"/>
        </w:rPr>
        <w:t> </w:t>
      </w:r>
      <w:r>
        <w:rPr>
          <w:sz w:val="24"/>
        </w:rPr>
        <w:t>que no</w:t>
      </w:r>
      <w:r>
        <w:rPr>
          <w:spacing w:val="-2"/>
          <w:sz w:val="24"/>
        </w:rPr>
        <w:t> </w:t>
      </w:r>
      <w:r>
        <w:rPr>
          <w:sz w:val="24"/>
        </w:rPr>
        <w:t>se especifica</w:t>
      </w:r>
      <w:r>
        <w:rPr>
          <w:spacing w:val="-1"/>
          <w:sz w:val="24"/>
        </w:rPr>
        <w:t> </w:t>
      </w:r>
      <w:r>
        <w:rPr>
          <w:sz w:val="24"/>
        </w:rPr>
        <w:t>respecto a</w:t>
      </w:r>
      <w:r>
        <w:rPr>
          <w:spacing w:val="-1"/>
          <w:sz w:val="24"/>
        </w:rPr>
        <w:t> </w:t>
      </w:r>
      <w:r>
        <w:rPr>
          <w:sz w:val="24"/>
        </w:rPr>
        <w:t>que características deben contener estos servicios para que aporte al objetivo prioritario según las metas planificadas en los indicadores de OP. No obstante, se identifica que a pesar que la mayoría de servicio son coherentes y pertinentes, presentan alertas que requieren revisar su diseño para mejorar su</w:t>
      </w:r>
      <w:r>
        <w:rPr>
          <w:spacing w:val="80"/>
          <w:sz w:val="24"/>
        </w:rPr>
        <w:t> </w:t>
      </w:r>
      <w:r>
        <w:rPr>
          <w:sz w:val="24"/>
        </w:rPr>
        <w:t>aporte al objetivo prioritario por lo que es recomendable la actualización de la política.</w:t>
      </w:r>
    </w:p>
    <w:p>
      <w:pPr>
        <w:pStyle w:val="ListParagraph"/>
        <w:spacing w:after="0" w:line="304" w:lineRule="auto"/>
        <w:jc w:val="both"/>
        <w:rPr>
          <w:sz w:val="24"/>
        </w:rPr>
        <w:sectPr>
          <w:pgSz w:w="11910" w:h="16840"/>
          <w:pgMar w:header="713" w:footer="1000" w:top="1420" w:bottom="1200" w:left="1559" w:right="992"/>
        </w:sectPr>
      </w:pPr>
    </w:p>
    <w:p>
      <w:pPr>
        <w:pStyle w:val="Heading1"/>
        <w:numPr>
          <w:ilvl w:val="0"/>
          <w:numId w:val="3"/>
        </w:numPr>
        <w:tabs>
          <w:tab w:pos="569" w:val="left" w:leader="none"/>
        </w:tabs>
        <w:spacing w:line="240" w:lineRule="auto" w:before="132" w:after="0"/>
        <w:ind w:left="569" w:right="0" w:hanging="426"/>
        <w:jc w:val="left"/>
      </w:pPr>
      <w:bookmarkStart w:name="_bookmark24" w:id="25"/>
      <w:bookmarkEnd w:id="25"/>
      <w:r>
        <w:rPr/>
      </w:r>
      <w:r>
        <w:rPr>
          <w:color w:val="2E5395"/>
          <w:spacing w:val="-2"/>
        </w:rPr>
        <w:t>Conclusiones</w:t>
      </w:r>
    </w:p>
    <w:p>
      <w:pPr>
        <w:pStyle w:val="BodyText"/>
        <w:spacing w:line="304" w:lineRule="auto" w:before="331"/>
        <w:ind w:left="143" w:right="706"/>
        <w:jc w:val="both"/>
      </w:pPr>
      <w:r>
        <w:rPr/>
        <w:t>La PNIG cuenta con 6 OP (que se miden a través de 13 indicadores) y 52 servicios. De estos últimos, 20 SS cuentan con protocolos</w:t>
      </w:r>
      <w:hyperlink w:history="true" w:anchor="_bookmark25">
        <w:r>
          <w:rPr>
            <w:position w:val="9"/>
            <w:sz w:val="16"/>
          </w:rPr>
          <w:t>9</w:t>
        </w:r>
      </w:hyperlink>
      <w:r>
        <w:rPr>
          <w:spacing w:val="27"/>
          <w:position w:val="9"/>
          <w:sz w:val="16"/>
        </w:rPr>
        <w:t> </w:t>
      </w:r>
      <w:r>
        <w:rPr/>
        <w:t>y se miden a través de 38 indicadores. Para el seguimiento del año 2023, se midió el avance de 48 indicadores,</w:t>
      </w:r>
      <w:r>
        <w:rPr>
          <w:spacing w:val="-6"/>
        </w:rPr>
        <w:t> </w:t>
      </w:r>
      <w:r>
        <w:rPr/>
        <w:t>tanto</w:t>
      </w:r>
      <w:r>
        <w:rPr>
          <w:spacing w:val="-8"/>
        </w:rPr>
        <w:t> </w:t>
      </w:r>
      <w:r>
        <w:rPr/>
        <w:t>de</w:t>
      </w:r>
      <w:r>
        <w:rPr>
          <w:spacing w:val="-9"/>
        </w:rPr>
        <w:t> </w:t>
      </w:r>
      <w:r>
        <w:rPr/>
        <w:t>OP</w:t>
      </w:r>
      <w:r>
        <w:rPr>
          <w:spacing w:val="-6"/>
        </w:rPr>
        <w:t> </w:t>
      </w:r>
      <w:r>
        <w:rPr/>
        <w:t>(13</w:t>
      </w:r>
      <w:r>
        <w:rPr>
          <w:spacing w:val="-7"/>
        </w:rPr>
        <w:t> </w:t>
      </w:r>
      <w:r>
        <w:rPr/>
        <w:t>indicadores)</w:t>
      </w:r>
      <w:r>
        <w:rPr>
          <w:spacing w:val="-7"/>
        </w:rPr>
        <w:t> </w:t>
      </w:r>
      <w:r>
        <w:rPr/>
        <w:t>como</w:t>
      </w:r>
      <w:r>
        <w:rPr>
          <w:spacing w:val="-6"/>
        </w:rPr>
        <w:t> </w:t>
      </w:r>
      <w:r>
        <w:rPr/>
        <w:t>de</w:t>
      </w:r>
      <w:r>
        <w:rPr>
          <w:spacing w:val="-6"/>
        </w:rPr>
        <w:t> </w:t>
      </w:r>
      <w:r>
        <w:rPr/>
        <w:t>servicios</w:t>
      </w:r>
      <w:r>
        <w:rPr>
          <w:spacing w:val="-6"/>
        </w:rPr>
        <w:t> </w:t>
      </w:r>
      <w:r>
        <w:rPr/>
        <w:t>(35</w:t>
      </w:r>
      <w:r>
        <w:rPr>
          <w:spacing w:val="-7"/>
        </w:rPr>
        <w:t> </w:t>
      </w:r>
      <w:r>
        <w:rPr/>
        <w:t>indicadores)</w:t>
      </w:r>
      <w:r>
        <w:rPr>
          <w:spacing w:val="-7"/>
        </w:rPr>
        <w:t> </w:t>
      </w:r>
      <w:r>
        <w:rPr/>
        <w:t>en tanto contaban con metas para dicho periodo.</w:t>
      </w:r>
    </w:p>
    <w:p>
      <w:pPr>
        <w:pStyle w:val="BodyText"/>
        <w:spacing w:line="316" w:lineRule="auto" w:before="145"/>
        <w:ind w:left="143" w:right="703"/>
        <w:jc w:val="both"/>
      </w:pPr>
      <w:r>
        <w:rPr>
          <w:w w:val="105"/>
        </w:rPr>
        <w:t>Respecto</w:t>
      </w:r>
      <w:r>
        <w:rPr>
          <w:w w:val="105"/>
        </w:rPr>
        <w:t> del</w:t>
      </w:r>
      <w:r>
        <w:rPr>
          <w:w w:val="105"/>
        </w:rPr>
        <w:t> avance</w:t>
      </w:r>
      <w:r>
        <w:rPr>
          <w:w w:val="105"/>
        </w:rPr>
        <w:t> de</w:t>
      </w:r>
      <w:r>
        <w:rPr>
          <w:w w:val="105"/>
        </w:rPr>
        <w:t> los</w:t>
      </w:r>
      <w:r>
        <w:rPr>
          <w:w w:val="105"/>
        </w:rPr>
        <w:t> 13</w:t>
      </w:r>
      <w:r>
        <w:rPr>
          <w:w w:val="105"/>
        </w:rPr>
        <w:t> indicadores</w:t>
      </w:r>
      <w:r>
        <w:rPr>
          <w:w w:val="105"/>
        </w:rPr>
        <w:t> de</w:t>
      </w:r>
      <w:r>
        <w:rPr>
          <w:w w:val="105"/>
        </w:rPr>
        <w:t> OP,</w:t>
      </w:r>
      <w:r>
        <w:rPr>
          <w:w w:val="105"/>
        </w:rPr>
        <w:t> 4</w:t>
      </w:r>
      <w:hyperlink w:history="true" w:anchor="_bookmark26">
        <w:r>
          <w:rPr>
            <w:w w:val="105"/>
            <w:position w:val="9"/>
            <w:sz w:val="16"/>
          </w:rPr>
          <w:t>10</w:t>
        </w:r>
      </w:hyperlink>
      <w:r>
        <w:rPr>
          <w:spacing w:val="33"/>
          <w:w w:val="105"/>
          <w:position w:val="9"/>
          <w:sz w:val="16"/>
        </w:rPr>
        <w:t> </w:t>
      </w:r>
      <w:r>
        <w:rPr>
          <w:w w:val="105"/>
        </w:rPr>
        <w:t>lograron</w:t>
      </w:r>
      <w:r>
        <w:rPr>
          <w:w w:val="105"/>
        </w:rPr>
        <w:t> un</w:t>
      </w:r>
      <w:r>
        <w:rPr>
          <w:w w:val="105"/>
        </w:rPr>
        <w:t> nivel</w:t>
      </w:r>
      <w:r>
        <w:rPr>
          <w:w w:val="105"/>
        </w:rPr>
        <w:t> de cumplimiento alto, 3</w:t>
      </w:r>
      <w:hyperlink w:history="true" w:anchor="_bookmark27">
        <w:r>
          <w:rPr>
            <w:w w:val="105"/>
            <w:position w:val="9"/>
            <w:sz w:val="16"/>
          </w:rPr>
          <w:t>11</w:t>
        </w:r>
      </w:hyperlink>
      <w:r>
        <w:rPr>
          <w:spacing w:val="28"/>
          <w:w w:val="105"/>
          <w:position w:val="9"/>
          <w:sz w:val="16"/>
        </w:rPr>
        <w:t> </w:t>
      </w:r>
      <w:r>
        <w:rPr>
          <w:w w:val="105"/>
        </w:rPr>
        <w:t>un cumplimiento medio, 1</w:t>
      </w:r>
      <w:hyperlink w:history="true" w:anchor="_bookmark28">
        <w:r>
          <w:rPr>
            <w:w w:val="105"/>
            <w:position w:val="9"/>
            <w:sz w:val="16"/>
          </w:rPr>
          <w:t>12</w:t>
        </w:r>
      </w:hyperlink>
      <w:r>
        <w:rPr>
          <w:spacing w:val="28"/>
          <w:w w:val="105"/>
          <w:position w:val="9"/>
          <w:sz w:val="16"/>
        </w:rPr>
        <w:t> </w:t>
      </w:r>
      <w:r>
        <w:rPr>
          <w:w w:val="105"/>
        </w:rPr>
        <w:t>un cumplimiento alto con posible</w:t>
      </w:r>
      <w:r>
        <w:rPr>
          <w:w w:val="105"/>
        </w:rPr>
        <w:t> fallo</w:t>
      </w:r>
      <w:r>
        <w:rPr>
          <w:w w:val="105"/>
        </w:rPr>
        <w:t> de</w:t>
      </w:r>
      <w:r>
        <w:rPr>
          <w:w w:val="105"/>
        </w:rPr>
        <w:t> planeación</w:t>
      </w:r>
      <w:r>
        <w:rPr>
          <w:w w:val="105"/>
        </w:rPr>
        <w:t> y</w:t>
      </w:r>
      <w:r>
        <w:rPr>
          <w:w w:val="105"/>
        </w:rPr>
        <w:t> 5</w:t>
      </w:r>
      <w:r>
        <w:rPr>
          <w:w w:val="105"/>
        </w:rPr>
        <w:t> presentaron</w:t>
      </w:r>
      <w:r>
        <w:rPr>
          <w:w w:val="105"/>
        </w:rPr>
        <w:t> limitaciones</w:t>
      </w:r>
      <w:r>
        <w:rPr>
          <w:w w:val="105"/>
        </w:rPr>
        <w:t> en</w:t>
      </w:r>
      <w:r>
        <w:rPr>
          <w:w w:val="105"/>
        </w:rPr>
        <w:t> su</w:t>
      </w:r>
      <w:r>
        <w:rPr>
          <w:w w:val="105"/>
        </w:rPr>
        <w:t> reporte</w:t>
      </w:r>
      <w:hyperlink w:history="true" w:anchor="_bookmark29">
        <w:r>
          <w:rPr>
            <w:w w:val="105"/>
            <w:position w:val="9"/>
            <w:sz w:val="16"/>
          </w:rPr>
          <w:t>13</w:t>
        </w:r>
        <w:r>
          <w:rPr>
            <w:w w:val="105"/>
          </w:rPr>
          <w:t>.</w:t>
        </w:r>
      </w:hyperlink>
      <w:r>
        <w:rPr>
          <w:w w:val="105"/>
        </w:rPr>
        <w:t> Asimismo,</w:t>
      </w:r>
      <w:r>
        <w:rPr>
          <w:w w:val="105"/>
        </w:rPr>
        <w:t> respecto</w:t>
      </w:r>
      <w:r>
        <w:rPr>
          <w:w w:val="105"/>
        </w:rPr>
        <w:t> del</w:t>
      </w:r>
      <w:r>
        <w:rPr>
          <w:w w:val="105"/>
        </w:rPr>
        <w:t> avance</w:t>
      </w:r>
      <w:r>
        <w:rPr>
          <w:w w:val="105"/>
        </w:rPr>
        <w:t> de</w:t>
      </w:r>
      <w:r>
        <w:rPr>
          <w:w w:val="105"/>
        </w:rPr>
        <w:t> los</w:t>
      </w:r>
      <w:r>
        <w:rPr>
          <w:w w:val="105"/>
        </w:rPr>
        <w:t> 35</w:t>
      </w:r>
      <w:r>
        <w:rPr>
          <w:w w:val="105"/>
        </w:rPr>
        <w:t> indicadores</w:t>
      </w:r>
      <w:r>
        <w:rPr>
          <w:w w:val="105"/>
        </w:rPr>
        <w:t> de</w:t>
      </w:r>
      <w:r>
        <w:rPr>
          <w:w w:val="105"/>
        </w:rPr>
        <w:t> servicios,</w:t>
      </w:r>
      <w:r>
        <w:rPr>
          <w:w w:val="105"/>
        </w:rPr>
        <w:t> 14</w:t>
      </w:r>
      <w:hyperlink w:history="true" w:anchor="_bookmark30">
        <w:r>
          <w:rPr>
            <w:w w:val="105"/>
            <w:position w:val="9"/>
            <w:sz w:val="16"/>
          </w:rPr>
          <w:t>14</w:t>
        </w:r>
      </w:hyperlink>
      <w:r>
        <w:rPr>
          <w:w w:val="105"/>
          <w:position w:val="9"/>
          <w:sz w:val="16"/>
        </w:rPr>
        <w:t> </w:t>
      </w:r>
      <w:r>
        <w:rPr>
          <w:w w:val="105"/>
        </w:rPr>
        <w:t>reportaron un nivel de cumplimiento alto, 4</w:t>
      </w:r>
      <w:hyperlink w:history="true" w:anchor="_bookmark31">
        <w:r>
          <w:rPr>
            <w:w w:val="105"/>
            <w:position w:val="9"/>
            <w:sz w:val="16"/>
          </w:rPr>
          <w:t>15</w:t>
        </w:r>
      </w:hyperlink>
      <w:r>
        <w:rPr>
          <w:spacing w:val="26"/>
          <w:w w:val="105"/>
          <w:position w:val="9"/>
          <w:sz w:val="16"/>
        </w:rPr>
        <w:t> </w:t>
      </w:r>
      <w:r>
        <w:rPr>
          <w:w w:val="105"/>
        </w:rPr>
        <w:t>un cumplimiento medio, 5</w:t>
      </w:r>
      <w:hyperlink w:history="true" w:anchor="_bookmark32">
        <w:r>
          <w:rPr>
            <w:w w:val="105"/>
            <w:position w:val="9"/>
            <w:sz w:val="16"/>
          </w:rPr>
          <w:t>16</w:t>
        </w:r>
      </w:hyperlink>
      <w:r>
        <w:rPr>
          <w:spacing w:val="26"/>
          <w:w w:val="105"/>
          <w:position w:val="9"/>
          <w:sz w:val="16"/>
        </w:rPr>
        <w:t> </w:t>
      </w:r>
      <w:r>
        <w:rPr>
          <w:w w:val="105"/>
        </w:rPr>
        <w:t>un </w:t>
      </w:r>
      <w:r>
        <w:rPr/>
        <w:t>cumplimiento bajo, 8</w:t>
      </w:r>
      <w:hyperlink w:history="true" w:anchor="_bookmark33">
        <w:r>
          <w:rPr>
            <w:position w:val="9"/>
            <w:sz w:val="16"/>
          </w:rPr>
          <w:t>17</w:t>
        </w:r>
      </w:hyperlink>
      <w:r>
        <w:rPr>
          <w:spacing w:val="25"/>
          <w:position w:val="9"/>
          <w:sz w:val="16"/>
        </w:rPr>
        <w:t> </w:t>
      </w:r>
      <w:r>
        <w:rPr/>
        <w:t>un cumplimiento alto con posible falla de planeación, 1</w:t>
      </w:r>
      <w:hyperlink w:history="true" w:anchor="_bookmark34">
        <w:r>
          <w:rPr>
            <w:position w:val="9"/>
            <w:sz w:val="16"/>
          </w:rPr>
          <w:t>18</w:t>
        </w:r>
      </w:hyperlink>
      <w:r>
        <w:rPr>
          <w:position w:val="9"/>
          <w:sz w:val="16"/>
        </w:rPr>
        <w:t> </w:t>
      </w:r>
      <w:r>
        <w:rPr>
          <w:w w:val="105"/>
        </w:rPr>
        <w:t>un</w:t>
      </w:r>
      <w:r>
        <w:rPr>
          <w:w w:val="105"/>
        </w:rPr>
        <w:t> cumplimiento</w:t>
      </w:r>
      <w:r>
        <w:rPr>
          <w:w w:val="105"/>
        </w:rPr>
        <w:t> bajo</w:t>
      </w:r>
      <w:r>
        <w:rPr>
          <w:w w:val="105"/>
        </w:rPr>
        <w:t> con</w:t>
      </w:r>
      <w:r>
        <w:rPr>
          <w:w w:val="105"/>
        </w:rPr>
        <w:t> posible</w:t>
      </w:r>
      <w:r>
        <w:rPr>
          <w:w w:val="105"/>
        </w:rPr>
        <w:t> falla</w:t>
      </w:r>
      <w:r>
        <w:rPr>
          <w:w w:val="105"/>
        </w:rPr>
        <w:t> de</w:t>
      </w:r>
      <w:r>
        <w:rPr>
          <w:w w:val="105"/>
        </w:rPr>
        <w:t> planeación;</w:t>
      </w:r>
      <w:r>
        <w:rPr>
          <w:w w:val="105"/>
        </w:rPr>
        <w:t> y</w:t>
      </w:r>
      <w:r>
        <w:rPr>
          <w:w w:val="105"/>
        </w:rPr>
        <w:t> 3</w:t>
      </w:r>
      <w:hyperlink w:history="true" w:anchor="_bookmark35">
        <w:r>
          <w:rPr>
            <w:w w:val="105"/>
            <w:position w:val="9"/>
            <w:sz w:val="16"/>
          </w:rPr>
          <w:t>19</w:t>
        </w:r>
      </w:hyperlink>
      <w:r>
        <w:rPr>
          <w:spacing w:val="40"/>
          <w:w w:val="105"/>
          <w:position w:val="9"/>
          <w:sz w:val="16"/>
        </w:rPr>
        <w:t> </w:t>
      </w:r>
      <w:r>
        <w:rPr>
          <w:w w:val="105"/>
        </w:rPr>
        <w:t>presentaron limitaciones en su medición.</w:t>
      </w:r>
    </w:p>
    <w:p>
      <w:pPr>
        <w:pStyle w:val="BodyText"/>
        <w:spacing w:line="304" w:lineRule="auto" w:before="241"/>
        <w:ind w:left="143" w:right="704"/>
        <w:jc w:val="both"/>
      </w:pPr>
      <w:r>
        <w:rPr/>
        <w:t>Para la evaluación de resultados se ha priorizado el análisis de aquellos indicadores de servicios con protocolo (20 de 52 servicios) que han presentado alertas</w:t>
      </w:r>
      <w:r>
        <w:rPr>
          <w:spacing w:val="-17"/>
        </w:rPr>
        <w:t> </w:t>
      </w:r>
      <w:r>
        <w:rPr/>
        <w:t>en</w:t>
      </w:r>
      <w:r>
        <w:rPr>
          <w:spacing w:val="-17"/>
        </w:rPr>
        <w:t> </w:t>
      </w:r>
      <w:r>
        <w:rPr/>
        <w:t>su</w:t>
      </w:r>
      <w:r>
        <w:rPr>
          <w:spacing w:val="-16"/>
        </w:rPr>
        <w:t> </w:t>
      </w:r>
      <w:r>
        <w:rPr/>
        <w:t>nivel</w:t>
      </w:r>
      <w:r>
        <w:rPr>
          <w:spacing w:val="-17"/>
        </w:rPr>
        <w:t> </w:t>
      </w:r>
      <w:r>
        <w:rPr/>
        <w:t>de</w:t>
      </w:r>
      <w:r>
        <w:rPr>
          <w:spacing w:val="-17"/>
        </w:rPr>
        <w:t> </w:t>
      </w:r>
      <w:r>
        <w:rPr/>
        <w:t>cumplimiento:</w:t>
      </w:r>
      <w:r>
        <w:rPr>
          <w:spacing w:val="-17"/>
        </w:rPr>
        <w:t> </w:t>
      </w:r>
      <w:r>
        <w:rPr/>
        <w:t>17</w:t>
      </w:r>
      <w:r>
        <w:rPr>
          <w:spacing w:val="-16"/>
        </w:rPr>
        <w:t> </w:t>
      </w:r>
      <w:r>
        <w:rPr/>
        <w:t>indicadores</w:t>
      </w:r>
      <w:r>
        <w:rPr>
          <w:spacing w:val="-17"/>
        </w:rPr>
        <w:t> </w:t>
      </w:r>
      <w:r>
        <w:rPr/>
        <w:t>(12</w:t>
      </w:r>
      <w:r>
        <w:rPr>
          <w:spacing w:val="-17"/>
        </w:rPr>
        <w:t> </w:t>
      </w:r>
      <w:r>
        <w:rPr/>
        <w:t>servicios</w:t>
      </w:r>
      <w:hyperlink w:history="true" w:anchor="_bookmark36">
        <w:r>
          <w:rPr>
            <w:position w:val="9"/>
            <w:sz w:val="16"/>
          </w:rPr>
          <w:t>20</w:t>
        </w:r>
      </w:hyperlink>
      <w:r>
        <w:rPr/>
        <w:t>).</w:t>
      </w:r>
      <w:r>
        <w:rPr>
          <w:spacing w:val="-16"/>
        </w:rPr>
        <w:t> </w:t>
      </w:r>
      <w:r>
        <w:rPr/>
        <w:t>De</w:t>
      </w:r>
      <w:r>
        <w:rPr>
          <w:spacing w:val="-17"/>
        </w:rPr>
        <w:t> </w:t>
      </w:r>
      <w:r>
        <w:rPr/>
        <w:t>los</w:t>
      </w:r>
      <w:r>
        <w:rPr>
          <w:spacing w:val="-17"/>
        </w:rPr>
        <w:t> </w:t>
      </w:r>
      <w:r>
        <w:rPr/>
        <w:t>cuales 9 fueron diagnosticados con una posible falla de planeación, 5 con un bajo cumplimiento y 3 con limitaciones en su medición.</w:t>
      </w:r>
    </w:p>
    <w:p>
      <w:pPr>
        <w:pStyle w:val="ListParagraph"/>
        <w:numPr>
          <w:ilvl w:val="0"/>
          <w:numId w:val="20"/>
        </w:numPr>
        <w:tabs>
          <w:tab w:pos="862" w:val="left" w:leader="none"/>
        </w:tabs>
        <w:spacing w:line="304" w:lineRule="auto" w:before="140" w:after="0"/>
        <w:ind w:left="862" w:right="710" w:hanging="360"/>
        <w:jc w:val="both"/>
        <w:rPr>
          <w:sz w:val="24"/>
        </w:rPr>
      </w:pPr>
      <w:r>
        <w:rPr>
          <w:w w:val="105"/>
          <w:sz w:val="24"/>
        </w:rPr>
        <w:t>De</w:t>
      </w:r>
      <w:r>
        <w:rPr>
          <w:w w:val="105"/>
          <w:sz w:val="24"/>
        </w:rPr>
        <w:t> los</w:t>
      </w:r>
      <w:r>
        <w:rPr>
          <w:w w:val="105"/>
          <w:sz w:val="24"/>
        </w:rPr>
        <w:t> 9</w:t>
      </w:r>
      <w:r>
        <w:rPr>
          <w:w w:val="105"/>
          <w:sz w:val="24"/>
        </w:rPr>
        <w:t> indicadores</w:t>
      </w:r>
      <w:r>
        <w:rPr>
          <w:w w:val="105"/>
          <w:sz w:val="24"/>
        </w:rPr>
        <w:t> que</w:t>
      </w:r>
      <w:r>
        <w:rPr>
          <w:w w:val="105"/>
          <w:sz w:val="24"/>
        </w:rPr>
        <w:t> presentaron</w:t>
      </w:r>
      <w:r>
        <w:rPr>
          <w:w w:val="105"/>
          <w:sz w:val="24"/>
        </w:rPr>
        <w:t> alertas</w:t>
      </w:r>
      <w:r>
        <w:rPr>
          <w:w w:val="105"/>
          <w:sz w:val="24"/>
        </w:rPr>
        <w:t> de</w:t>
      </w:r>
      <w:r>
        <w:rPr>
          <w:w w:val="105"/>
          <w:sz w:val="24"/>
        </w:rPr>
        <w:t> una</w:t>
      </w:r>
      <w:r>
        <w:rPr>
          <w:w w:val="105"/>
          <w:sz w:val="24"/>
        </w:rPr>
        <w:t> posible</w:t>
      </w:r>
      <w:r>
        <w:rPr>
          <w:w w:val="105"/>
          <w:sz w:val="24"/>
        </w:rPr>
        <w:t> falla</w:t>
      </w:r>
      <w:r>
        <w:rPr>
          <w:w w:val="105"/>
          <w:sz w:val="24"/>
        </w:rPr>
        <w:t> de </w:t>
      </w:r>
      <w:r>
        <w:rPr>
          <w:sz w:val="24"/>
        </w:rPr>
        <w:t>planeación,</w:t>
      </w:r>
      <w:r>
        <w:rPr>
          <w:spacing w:val="-3"/>
          <w:sz w:val="24"/>
        </w:rPr>
        <w:t> </w:t>
      </w:r>
      <w:r>
        <w:rPr>
          <w:sz w:val="24"/>
        </w:rPr>
        <w:t>8</w:t>
      </w:r>
      <w:r>
        <w:rPr>
          <w:spacing w:val="-9"/>
          <w:sz w:val="24"/>
        </w:rPr>
        <w:t> </w:t>
      </w:r>
      <w:r>
        <w:rPr>
          <w:sz w:val="24"/>
        </w:rPr>
        <w:t>de</w:t>
      </w:r>
      <w:r>
        <w:rPr>
          <w:spacing w:val="-5"/>
          <w:sz w:val="24"/>
        </w:rPr>
        <w:t> </w:t>
      </w:r>
      <w:r>
        <w:rPr>
          <w:sz w:val="24"/>
        </w:rPr>
        <w:t>ellos</w:t>
      </w:r>
      <w:r>
        <w:rPr>
          <w:spacing w:val="-7"/>
          <w:sz w:val="24"/>
        </w:rPr>
        <w:t> </w:t>
      </w:r>
      <w:r>
        <w:rPr>
          <w:sz w:val="24"/>
        </w:rPr>
        <w:t>tuvieron</w:t>
      </w:r>
      <w:r>
        <w:rPr>
          <w:spacing w:val="-6"/>
          <w:sz w:val="24"/>
        </w:rPr>
        <w:t> </w:t>
      </w:r>
      <w:r>
        <w:rPr>
          <w:sz w:val="24"/>
        </w:rPr>
        <w:t>un</w:t>
      </w:r>
      <w:r>
        <w:rPr>
          <w:spacing w:val="-9"/>
          <w:sz w:val="24"/>
        </w:rPr>
        <w:t> </w:t>
      </w:r>
      <w:r>
        <w:rPr>
          <w:sz w:val="24"/>
        </w:rPr>
        <w:t>nivel</w:t>
      </w:r>
      <w:r>
        <w:rPr>
          <w:spacing w:val="-7"/>
          <w:sz w:val="24"/>
        </w:rPr>
        <w:t> </w:t>
      </w:r>
      <w:r>
        <w:rPr>
          <w:sz w:val="24"/>
        </w:rPr>
        <w:t>de</w:t>
      </w:r>
      <w:r>
        <w:rPr>
          <w:spacing w:val="-9"/>
          <w:sz w:val="24"/>
        </w:rPr>
        <w:t> </w:t>
      </w:r>
      <w:r>
        <w:rPr>
          <w:sz w:val="24"/>
        </w:rPr>
        <w:t>cumplimiento</w:t>
      </w:r>
      <w:r>
        <w:rPr>
          <w:spacing w:val="-5"/>
          <w:sz w:val="24"/>
        </w:rPr>
        <w:t> </w:t>
      </w:r>
      <w:r>
        <w:rPr>
          <w:sz w:val="24"/>
        </w:rPr>
        <w:t>muy</w:t>
      </w:r>
      <w:r>
        <w:rPr>
          <w:spacing w:val="-9"/>
          <w:sz w:val="24"/>
        </w:rPr>
        <w:t> </w:t>
      </w:r>
      <w:r>
        <w:rPr>
          <w:sz w:val="24"/>
        </w:rPr>
        <w:t>alto</w:t>
      </w:r>
      <w:r>
        <w:rPr>
          <w:spacing w:val="-5"/>
          <w:sz w:val="24"/>
        </w:rPr>
        <w:t> </w:t>
      </w:r>
      <w:r>
        <w:rPr>
          <w:sz w:val="24"/>
        </w:rPr>
        <w:t>y</w:t>
      </w:r>
      <w:r>
        <w:rPr>
          <w:spacing w:val="-11"/>
          <w:sz w:val="24"/>
        </w:rPr>
        <w:t> </w:t>
      </w:r>
      <w:r>
        <w:rPr>
          <w:sz w:val="24"/>
        </w:rPr>
        <w:t>1</w:t>
      </w:r>
      <w:r>
        <w:rPr>
          <w:spacing w:val="-6"/>
          <w:sz w:val="24"/>
        </w:rPr>
        <w:t> </w:t>
      </w:r>
      <w:r>
        <w:rPr>
          <w:sz w:val="24"/>
        </w:rPr>
        <w:t>tuvo </w:t>
      </w:r>
      <w:r>
        <w:rPr>
          <w:w w:val="105"/>
          <w:sz w:val="24"/>
        </w:rPr>
        <w:t>un nivel de cumplimiento bajo.</w:t>
      </w:r>
    </w:p>
    <w:p>
      <w:pPr>
        <w:pStyle w:val="BodyText"/>
        <w:rPr>
          <w:sz w:val="20"/>
        </w:rPr>
      </w:pPr>
    </w:p>
    <w:p>
      <w:pPr>
        <w:pStyle w:val="BodyText"/>
        <w:spacing w:before="22"/>
        <w:rPr>
          <w:sz w:val="20"/>
        </w:rPr>
      </w:pPr>
      <w:r>
        <w:rPr>
          <w:sz w:val="20"/>
        </w:rPr>
        <mc:AlternateContent>
          <mc:Choice Requires="wps">
            <w:drawing>
              <wp:anchor distT="0" distB="0" distL="0" distR="0" allowOverlap="1" layoutInCell="1" locked="0" behindDoc="1" simplePos="0" relativeHeight="487599104">
                <wp:simplePos x="0" y="0"/>
                <wp:positionH relativeFrom="page">
                  <wp:posOffset>1080820</wp:posOffset>
                </wp:positionH>
                <wp:positionV relativeFrom="paragraph">
                  <wp:posOffset>175302</wp:posOffset>
                </wp:positionV>
                <wp:extent cx="1829435" cy="9525"/>
                <wp:effectExtent l="0" t="0" r="0" b="0"/>
                <wp:wrapTopAndBottom/>
                <wp:docPr id="575" name="Graphic 575"/>
                <wp:cNvGraphicFramePr>
                  <a:graphicFrameLocks/>
                </wp:cNvGraphicFramePr>
                <a:graphic>
                  <a:graphicData uri="http://schemas.microsoft.com/office/word/2010/wordprocessingShape">
                    <wps:wsp>
                      <wps:cNvPr id="575" name="Graphic 575"/>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85.103996pt;margin-top:13.803369pt;width:144.020pt;height:.72003pt;mso-position-horizontal-relative:page;mso-position-vertical-relative:paragraph;z-index:-15717376;mso-wrap-distance-left:0;mso-wrap-distance-right:0" id="docshape558" filled="true" fillcolor="#000000" stroked="false">
                <v:fill type="solid"/>
                <w10:wrap type="topAndBottom"/>
              </v:rect>
            </w:pict>
          </mc:Fallback>
        </mc:AlternateContent>
      </w:r>
    </w:p>
    <w:p>
      <w:pPr>
        <w:spacing w:before="102"/>
        <w:ind w:left="143" w:right="710" w:firstLine="0"/>
        <w:jc w:val="left"/>
        <w:rPr>
          <w:rFonts w:ascii="Calibri" w:hAnsi="Calibri"/>
          <w:sz w:val="20"/>
        </w:rPr>
      </w:pPr>
      <w:bookmarkStart w:name="_bookmark25" w:id="26"/>
      <w:bookmarkEnd w:id="26"/>
      <w:r>
        <w:rPr/>
      </w:r>
      <w:r>
        <w:rPr>
          <w:rFonts w:ascii="Calibri" w:hAnsi="Calibri"/>
          <w:sz w:val="20"/>
          <w:vertAlign w:val="superscript"/>
        </w:rPr>
        <w:t>9</w:t>
      </w:r>
      <w:r>
        <w:rPr>
          <w:rFonts w:ascii="Calibri" w:hAnsi="Calibri"/>
          <w:spacing w:val="40"/>
          <w:sz w:val="20"/>
          <w:vertAlign w:val="baseline"/>
        </w:rPr>
        <w:t> </w:t>
      </w:r>
      <w:r>
        <w:rPr>
          <w:rFonts w:ascii="Calibri" w:hAnsi="Calibri"/>
          <w:sz w:val="20"/>
          <w:vertAlign w:val="baseline"/>
        </w:rPr>
        <w:t>El servicio 4.3.5 “Capacitación y asistencia técnica en: gestión empresarial, productividad con innovación</w:t>
      </w:r>
      <w:r>
        <w:rPr>
          <w:rFonts w:ascii="Calibri" w:hAnsi="Calibri"/>
          <w:spacing w:val="-3"/>
          <w:sz w:val="20"/>
          <w:vertAlign w:val="baseline"/>
        </w:rPr>
        <w:t> </w:t>
      </w:r>
      <w:r>
        <w:rPr>
          <w:rFonts w:ascii="Calibri" w:hAnsi="Calibri"/>
          <w:sz w:val="20"/>
          <w:vertAlign w:val="baseline"/>
        </w:rPr>
        <w:t>tecnológica</w:t>
      </w:r>
      <w:r>
        <w:rPr>
          <w:rFonts w:ascii="Calibri" w:hAnsi="Calibri"/>
          <w:spacing w:val="-3"/>
          <w:sz w:val="20"/>
          <w:vertAlign w:val="baseline"/>
        </w:rPr>
        <w:t> </w:t>
      </w:r>
      <w:r>
        <w:rPr>
          <w:rFonts w:ascii="Calibri" w:hAnsi="Calibri"/>
          <w:sz w:val="20"/>
          <w:vertAlign w:val="baseline"/>
        </w:rPr>
        <w:t>y</w:t>
      </w:r>
      <w:r>
        <w:rPr>
          <w:rFonts w:ascii="Calibri" w:hAnsi="Calibri"/>
          <w:spacing w:val="-3"/>
          <w:sz w:val="20"/>
          <w:vertAlign w:val="baseline"/>
        </w:rPr>
        <w:t> </w:t>
      </w:r>
      <w:r>
        <w:rPr>
          <w:rFonts w:ascii="Calibri" w:hAnsi="Calibri"/>
          <w:sz w:val="20"/>
          <w:vertAlign w:val="baseline"/>
        </w:rPr>
        <w:t>para</w:t>
      </w:r>
      <w:r>
        <w:rPr>
          <w:rFonts w:ascii="Calibri" w:hAnsi="Calibri"/>
          <w:spacing w:val="-5"/>
          <w:sz w:val="20"/>
          <w:vertAlign w:val="baseline"/>
        </w:rPr>
        <w:t> </w:t>
      </w:r>
      <w:r>
        <w:rPr>
          <w:rFonts w:ascii="Calibri" w:hAnsi="Calibri"/>
          <w:sz w:val="20"/>
          <w:vertAlign w:val="baseline"/>
        </w:rPr>
        <w:t>la</w:t>
      </w:r>
      <w:r>
        <w:rPr>
          <w:rFonts w:ascii="Calibri" w:hAnsi="Calibri"/>
          <w:spacing w:val="-3"/>
          <w:sz w:val="20"/>
          <w:vertAlign w:val="baseline"/>
        </w:rPr>
        <w:t> </w:t>
      </w:r>
      <w:r>
        <w:rPr>
          <w:rFonts w:ascii="Calibri" w:hAnsi="Calibri"/>
          <w:sz w:val="20"/>
          <w:vertAlign w:val="baseline"/>
        </w:rPr>
        <w:t>internacionalización</w:t>
      </w:r>
      <w:r>
        <w:rPr>
          <w:rFonts w:ascii="Calibri" w:hAnsi="Calibri"/>
          <w:spacing w:val="-3"/>
          <w:sz w:val="20"/>
          <w:vertAlign w:val="baseline"/>
        </w:rPr>
        <w:t> </w:t>
      </w:r>
      <w:r>
        <w:rPr>
          <w:rFonts w:ascii="Calibri" w:hAnsi="Calibri"/>
          <w:sz w:val="20"/>
          <w:vertAlign w:val="baseline"/>
        </w:rPr>
        <w:t>de</w:t>
      </w:r>
      <w:r>
        <w:rPr>
          <w:rFonts w:ascii="Calibri" w:hAnsi="Calibri"/>
          <w:spacing w:val="-4"/>
          <w:sz w:val="20"/>
          <w:vertAlign w:val="baseline"/>
        </w:rPr>
        <w:t> </w:t>
      </w:r>
      <w:r>
        <w:rPr>
          <w:rFonts w:ascii="Calibri" w:hAnsi="Calibri"/>
          <w:sz w:val="20"/>
          <w:vertAlign w:val="baseline"/>
        </w:rPr>
        <w:t>las</w:t>
      </w:r>
      <w:r>
        <w:rPr>
          <w:rFonts w:ascii="Calibri" w:hAnsi="Calibri"/>
          <w:spacing w:val="-4"/>
          <w:sz w:val="20"/>
          <w:vertAlign w:val="baseline"/>
        </w:rPr>
        <w:t> </w:t>
      </w:r>
      <w:r>
        <w:rPr>
          <w:rFonts w:ascii="Calibri" w:hAnsi="Calibri"/>
          <w:sz w:val="20"/>
          <w:vertAlign w:val="baseline"/>
        </w:rPr>
        <w:t>empresas,</w:t>
      </w:r>
      <w:r>
        <w:rPr>
          <w:rFonts w:ascii="Calibri" w:hAnsi="Calibri"/>
          <w:spacing w:val="-3"/>
          <w:sz w:val="20"/>
          <w:vertAlign w:val="baseline"/>
        </w:rPr>
        <w:t> </w:t>
      </w:r>
      <w:r>
        <w:rPr>
          <w:rFonts w:ascii="Calibri" w:hAnsi="Calibri"/>
          <w:sz w:val="20"/>
          <w:vertAlign w:val="baseline"/>
        </w:rPr>
        <w:t>dirigidas</w:t>
      </w:r>
      <w:r>
        <w:rPr>
          <w:rFonts w:ascii="Calibri" w:hAnsi="Calibri"/>
          <w:spacing w:val="-2"/>
          <w:sz w:val="20"/>
          <w:vertAlign w:val="baseline"/>
        </w:rPr>
        <w:t> </w:t>
      </w:r>
      <w:r>
        <w:rPr>
          <w:rFonts w:ascii="Calibri" w:hAnsi="Calibri"/>
          <w:sz w:val="20"/>
          <w:vertAlign w:val="baseline"/>
        </w:rPr>
        <w:t>a</w:t>
      </w:r>
      <w:r>
        <w:rPr>
          <w:rFonts w:ascii="Calibri" w:hAnsi="Calibri"/>
          <w:spacing w:val="-3"/>
          <w:sz w:val="20"/>
          <w:vertAlign w:val="baseline"/>
        </w:rPr>
        <w:t> </w:t>
      </w:r>
      <w:r>
        <w:rPr>
          <w:rFonts w:ascii="Calibri" w:hAnsi="Calibri"/>
          <w:sz w:val="20"/>
          <w:vertAlign w:val="baseline"/>
        </w:rPr>
        <w:t>las</w:t>
      </w:r>
      <w:r>
        <w:rPr>
          <w:rFonts w:ascii="Calibri" w:hAnsi="Calibri"/>
          <w:spacing w:val="-3"/>
          <w:sz w:val="20"/>
          <w:vertAlign w:val="baseline"/>
        </w:rPr>
        <w:t> </w:t>
      </w:r>
      <w:r>
        <w:rPr>
          <w:rFonts w:ascii="Calibri" w:hAnsi="Calibri"/>
          <w:sz w:val="20"/>
          <w:vertAlign w:val="baseline"/>
        </w:rPr>
        <w:t>mujeres” tiene</w:t>
      </w:r>
      <w:r>
        <w:rPr>
          <w:rFonts w:ascii="Calibri" w:hAnsi="Calibri"/>
          <w:spacing w:val="-4"/>
          <w:sz w:val="20"/>
          <w:vertAlign w:val="baseline"/>
        </w:rPr>
        <w:t> </w:t>
      </w:r>
      <w:r>
        <w:rPr>
          <w:rFonts w:ascii="Calibri" w:hAnsi="Calibri"/>
          <w:sz w:val="20"/>
          <w:vertAlign w:val="baseline"/>
        </w:rPr>
        <w:t>2 protocolo con distintos responsables (MINCETUR y PROMPERU)</w:t>
      </w:r>
    </w:p>
    <w:p>
      <w:pPr>
        <w:spacing w:line="244" w:lineRule="exact" w:before="0"/>
        <w:ind w:left="143" w:right="0" w:firstLine="0"/>
        <w:jc w:val="left"/>
        <w:rPr>
          <w:rFonts w:ascii="Calibri"/>
          <w:sz w:val="20"/>
        </w:rPr>
      </w:pPr>
      <w:bookmarkStart w:name="_bookmark26" w:id="27"/>
      <w:bookmarkEnd w:id="27"/>
      <w:r>
        <w:rPr/>
      </w:r>
      <w:r>
        <w:rPr>
          <w:rFonts w:ascii="Calibri"/>
          <w:sz w:val="20"/>
          <w:vertAlign w:val="superscript"/>
        </w:rPr>
        <w:t>10</w:t>
      </w:r>
      <w:r>
        <w:rPr>
          <w:rFonts w:ascii="Calibri"/>
          <w:spacing w:val="-8"/>
          <w:sz w:val="20"/>
          <w:vertAlign w:val="baseline"/>
        </w:rPr>
        <w:t> </w:t>
      </w:r>
      <w:r>
        <w:rPr>
          <w:rFonts w:ascii="Calibri"/>
          <w:sz w:val="20"/>
          <w:vertAlign w:val="baseline"/>
        </w:rPr>
        <w:t>IOP.02.01,</w:t>
      </w:r>
      <w:r>
        <w:rPr>
          <w:rFonts w:ascii="Calibri"/>
          <w:spacing w:val="-7"/>
          <w:sz w:val="20"/>
          <w:vertAlign w:val="baseline"/>
        </w:rPr>
        <w:t> </w:t>
      </w:r>
      <w:r>
        <w:rPr>
          <w:rFonts w:ascii="Calibri"/>
          <w:sz w:val="20"/>
          <w:vertAlign w:val="baseline"/>
        </w:rPr>
        <w:t>IOP.02.03,</w:t>
      </w:r>
      <w:r>
        <w:rPr>
          <w:rFonts w:ascii="Calibri"/>
          <w:spacing w:val="-6"/>
          <w:sz w:val="20"/>
          <w:vertAlign w:val="baseline"/>
        </w:rPr>
        <w:t> </w:t>
      </w:r>
      <w:r>
        <w:rPr>
          <w:rFonts w:ascii="Calibri"/>
          <w:sz w:val="20"/>
          <w:vertAlign w:val="baseline"/>
        </w:rPr>
        <w:t>IOP</w:t>
      </w:r>
      <w:r>
        <w:rPr>
          <w:rFonts w:ascii="Calibri"/>
          <w:spacing w:val="-7"/>
          <w:sz w:val="20"/>
          <w:vertAlign w:val="baseline"/>
        </w:rPr>
        <w:t> </w:t>
      </w:r>
      <w:r>
        <w:rPr>
          <w:rFonts w:ascii="Calibri"/>
          <w:sz w:val="20"/>
          <w:vertAlign w:val="baseline"/>
        </w:rPr>
        <w:t>03.01,</w:t>
      </w:r>
      <w:r>
        <w:rPr>
          <w:rFonts w:ascii="Calibri"/>
          <w:spacing w:val="-7"/>
          <w:sz w:val="20"/>
          <w:vertAlign w:val="baseline"/>
        </w:rPr>
        <w:t> </w:t>
      </w:r>
      <w:r>
        <w:rPr>
          <w:rFonts w:ascii="Calibri"/>
          <w:spacing w:val="-2"/>
          <w:sz w:val="20"/>
          <w:vertAlign w:val="baseline"/>
        </w:rPr>
        <w:t>IOP.05.02</w:t>
      </w:r>
    </w:p>
    <w:p>
      <w:pPr>
        <w:spacing w:line="243" w:lineRule="exact" w:before="1"/>
        <w:ind w:left="143" w:right="0" w:firstLine="0"/>
        <w:jc w:val="left"/>
        <w:rPr>
          <w:rFonts w:ascii="Calibri"/>
          <w:sz w:val="20"/>
        </w:rPr>
      </w:pPr>
      <w:bookmarkStart w:name="_bookmark27" w:id="28"/>
      <w:bookmarkEnd w:id="28"/>
      <w:r>
        <w:rPr/>
      </w:r>
      <w:r>
        <w:rPr>
          <w:rFonts w:ascii="Calibri"/>
          <w:sz w:val="20"/>
          <w:vertAlign w:val="superscript"/>
        </w:rPr>
        <w:t>11</w:t>
      </w:r>
      <w:r>
        <w:rPr>
          <w:rFonts w:ascii="Calibri"/>
          <w:spacing w:val="-8"/>
          <w:sz w:val="20"/>
          <w:vertAlign w:val="baseline"/>
        </w:rPr>
        <w:t> </w:t>
      </w:r>
      <w:r>
        <w:rPr>
          <w:rFonts w:ascii="Calibri"/>
          <w:sz w:val="20"/>
          <w:vertAlign w:val="baseline"/>
        </w:rPr>
        <w:t>IOP.01.01,</w:t>
      </w:r>
      <w:r>
        <w:rPr>
          <w:rFonts w:ascii="Calibri"/>
          <w:spacing w:val="-7"/>
          <w:sz w:val="20"/>
          <w:vertAlign w:val="baseline"/>
        </w:rPr>
        <w:t> </w:t>
      </w:r>
      <w:r>
        <w:rPr>
          <w:rFonts w:ascii="Calibri"/>
          <w:sz w:val="20"/>
          <w:vertAlign w:val="baseline"/>
        </w:rPr>
        <w:t>IOP.02.02,</w:t>
      </w:r>
      <w:r>
        <w:rPr>
          <w:rFonts w:ascii="Calibri"/>
          <w:spacing w:val="-7"/>
          <w:sz w:val="20"/>
          <w:vertAlign w:val="baseline"/>
        </w:rPr>
        <w:t> </w:t>
      </w:r>
      <w:r>
        <w:rPr>
          <w:rFonts w:ascii="Calibri"/>
          <w:sz w:val="20"/>
          <w:vertAlign w:val="baseline"/>
        </w:rPr>
        <w:t>IOP</w:t>
      </w:r>
      <w:r>
        <w:rPr>
          <w:rFonts w:ascii="Calibri"/>
          <w:spacing w:val="-7"/>
          <w:sz w:val="20"/>
          <w:vertAlign w:val="baseline"/>
        </w:rPr>
        <w:t> </w:t>
      </w:r>
      <w:r>
        <w:rPr>
          <w:rFonts w:ascii="Calibri"/>
          <w:spacing w:val="-2"/>
          <w:sz w:val="20"/>
          <w:vertAlign w:val="baseline"/>
        </w:rPr>
        <w:t>05.03</w:t>
      </w:r>
    </w:p>
    <w:p>
      <w:pPr>
        <w:spacing w:line="243" w:lineRule="exact" w:before="0"/>
        <w:ind w:left="143" w:right="0" w:firstLine="0"/>
        <w:jc w:val="left"/>
        <w:rPr>
          <w:rFonts w:ascii="Calibri"/>
          <w:sz w:val="20"/>
        </w:rPr>
      </w:pPr>
      <w:bookmarkStart w:name="_bookmark28" w:id="29"/>
      <w:bookmarkEnd w:id="29"/>
      <w:r>
        <w:rPr/>
      </w:r>
      <w:r>
        <w:rPr>
          <w:rFonts w:ascii="Calibri"/>
          <w:sz w:val="20"/>
          <w:vertAlign w:val="superscript"/>
        </w:rPr>
        <w:t>12</w:t>
      </w:r>
      <w:r>
        <w:rPr>
          <w:rFonts w:ascii="Calibri"/>
          <w:spacing w:val="-4"/>
          <w:sz w:val="20"/>
          <w:vertAlign w:val="baseline"/>
        </w:rPr>
        <w:t> </w:t>
      </w:r>
      <w:r>
        <w:rPr>
          <w:rFonts w:ascii="Calibri"/>
          <w:sz w:val="20"/>
          <w:vertAlign w:val="baseline"/>
        </w:rPr>
        <w:t>IOP</w:t>
      </w:r>
      <w:r>
        <w:rPr>
          <w:rFonts w:ascii="Calibri"/>
          <w:spacing w:val="-3"/>
          <w:sz w:val="20"/>
          <w:vertAlign w:val="baseline"/>
        </w:rPr>
        <w:t> </w:t>
      </w:r>
      <w:r>
        <w:rPr>
          <w:rFonts w:ascii="Calibri"/>
          <w:spacing w:val="-2"/>
          <w:sz w:val="20"/>
          <w:vertAlign w:val="baseline"/>
        </w:rPr>
        <w:t>05.01</w:t>
      </w:r>
    </w:p>
    <w:p>
      <w:pPr>
        <w:spacing w:before="0"/>
        <w:ind w:left="143" w:right="0" w:firstLine="0"/>
        <w:jc w:val="left"/>
        <w:rPr>
          <w:rFonts w:ascii="Calibri"/>
          <w:sz w:val="20"/>
        </w:rPr>
      </w:pPr>
      <w:bookmarkStart w:name="_bookmark29" w:id="30"/>
      <w:bookmarkEnd w:id="30"/>
      <w:r>
        <w:rPr/>
      </w:r>
      <w:r>
        <w:rPr>
          <w:rFonts w:ascii="Calibri"/>
          <w:sz w:val="20"/>
          <w:vertAlign w:val="superscript"/>
        </w:rPr>
        <w:t>13</w:t>
      </w:r>
      <w:r>
        <w:rPr>
          <w:rFonts w:ascii="Calibri"/>
          <w:spacing w:val="-9"/>
          <w:sz w:val="20"/>
          <w:vertAlign w:val="baseline"/>
        </w:rPr>
        <w:t> </w:t>
      </w:r>
      <w:r>
        <w:rPr>
          <w:rFonts w:ascii="Calibri"/>
          <w:sz w:val="20"/>
          <w:vertAlign w:val="baseline"/>
        </w:rPr>
        <w:t>IOP.03.02,</w:t>
      </w:r>
      <w:r>
        <w:rPr>
          <w:rFonts w:ascii="Calibri"/>
          <w:spacing w:val="-7"/>
          <w:sz w:val="20"/>
          <w:vertAlign w:val="baseline"/>
        </w:rPr>
        <w:t> </w:t>
      </w:r>
      <w:r>
        <w:rPr>
          <w:rFonts w:ascii="Calibri"/>
          <w:sz w:val="20"/>
          <w:vertAlign w:val="baseline"/>
        </w:rPr>
        <w:t>IOP.04.01,</w:t>
      </w:r>
      <w:r>
        <w:rPr>
          <w:rFonts w:ascii="Calibri"/>
          <w:spacing w:val="-8"/>
          <w:sz w:val="20"/>
          <w:vertAlign w:val="baseline"/>
        </w:rPr>
        <w:t> </w:t>
      </w:r>
      <w:r>
        <w:rPr>
          <w:rFonts w:ascii="Calibri"/>
          <w:sz w:val="20"/>
          <w:vertAlign w:val="baseline"/>
        </w:rPr>
        <w:t>IOP</w:t>
      </w:r>
      <w:r>
        <w:rPr>
          <w:rFonts w:ascii="Calibri"/>
          <w:spacing w:val="-7"/>
          <w:sz w:val="20"/>
          <w:vertAlign w:val="baseline"/>
        </w:rPr>
        <w:t> </w:t>
      </w:r>
      <w:r>
        <w:rPr>
          <w:rFonts w:ascii="Calibri"/>
          <w:sz w:val="20"/>
          <w:vertAlign w:val="baseline"/>
        </w:rPr>
        <w:t>04.02,</w:t>
      </w:r>
      <w:r>
        <w:rPr>
          <w:rFonts w:ascii="Calibri"/>
          <w:spacing w:val="-8"/>
          <w:sz w:val="20"/>
          <w:vertAlign w:val="baseline"/>
        </w:rPr>
        <w:t> </w:t>
      </w:r>
      <w:r>
        <w:rPr>
          <w:rFonts w:ascii="Calibri"/>
          <w:sz w:val="20"/>
          <w:vertAlign w:val="baseline"/>
        </w:rPr>
        <w:t>IOP.04.03,</w:t>
      </w:r>
      <w:r>
        <w:rPr>
          <w:rFonts w:ascii="Calibri"/>
          <w:spacing w:val="-7"/>
          <w:sz w:val="20"/>
          <w:vertAlign w:val="baseline"/>
        </w:rPr>
        <w:t> </w:t>
      </w:r>
      <w:r>
        <w:rPr>
          <w:rFonts w:ascii="Calibri"/>
          <w:spacing w:val="-2"/>
          <w:sz w:val="20"/>
          <w:vertAlign w:val="baseline"/>
        </w:rPr>
        <w:t>IOP.06.01</w:t>
      </w:r>
    </w:p>
    <w:p>
      <w:pPr>
        <w:spacing w:line="244" w:lineRule="exact" w:before="1"/>
        <w:ind w:left="143" w:right="0" w:firstLine="0"/>
        <w:jc w:val="left"/>
        <w:rPr>
          <w:rFonts w:ascii="Calibri"/>
          <w:sz w:val="20"/>
        </w:rPr>
      </w:pPr>
      <w:bookmarkStart w:name="_bookmark30" w:id="31"/>
      <w:bookmarkEnd w:id="31"/>
      <w:r>
        <w:rPr/>
      </w:r>
      <w:r>
        <w:rPr>
          <w:rFonts w:ascii="Calibri"/>
          <w:spacing w:val="-2"/>
          <w:sz w:val="20"/>
          <w:vertAlign w:val="superscript"/>
        </w:rPr>
        <w:t>14</w:t>
      </w:r>
      <w:r>
        <w:rPr>
          <w:rFonts w:ascii="Calibri"/>
          <w:spacing w:val="13"/>
          <w:sz w:val="20"/>
          <w:vertAlign w:val="baseline"/>
        </w:rPr>
        <w:t> </w:t>
      </w:r>
      <w:r>
        <w:rPr>
          <w:rFonts w:ascii="Calibri"/>
          <w:spacing w:val="-2"/>
          <w:sz w:val="20"/>
          <w:vertAlign w:val="baseline"/>
        </w:rPr>
        <w:t>ISS.01.02.02.02,</w:t>
      </w:r>
      <w:r>
        <w:rPr>
          <w:rFonts w:ascii="Calibri"/>
          <w:spacing w:val="15"/>
          <w:sz w:val="20"/>
          <w:vertAlign w:val="baseline"/>
        </w:rPr>
        <w:t> </w:t>
      </w:r>
      <w:r>
        <w:rPr>
          <w:rFonts w:ascii="Calibri"/>
          <w:spacing w:val="-2"/>
          <w:sz w:val="20"/>
          <w:vertAlign w:val="baseline"/>
        </w:rPr>
        <w:t>ISS.01.01.03.02,</w:t>
      </w:r>
      <w:r>
        <w:rPr>
          <w:rFonts w:ascii="Calibri"/>
          <w:spacing w:val="14"/>
          <w:sz w:val="20"/>
          <w:vertAlign w:val="baseline"/>
        </w:rPr>
        <w:t> </w:t>
      </w:r>
      <w:r>
        <w:rPr>
          <w:rFonts w:ascii="Calibri"/>
          <w:spacing w:val="-2"/>
          <w:sz w:val="20"/>
          <w:vertAlign w:val="baseline"/>
        </w:rPr>
        <w:t>ISS.01.02.01.01,</w:t>
      </w:r>
      <w:r>
        <w:rPr>
          <w:rFonts w:ascii="Calibri"/>
          <w:spacing w:val="15"/>
          <w:sz w:val="20"/>
          <w:vertAlign w:val="baseline"/>
        </w:rPr>
        <w:t> </w:t>
      </w:r>
      <w:r>
        <w:rPr>
          <w:rFonts w:ascii="Calibri"/>
          <w:spacing w:val="-2"/>
          <w:sz w:val="20"/>
          <w:vertAlign w:val="baseline"/>
        </w:rPr>
        <w:t>ISS.01.02.02.01,</w:t>
      </w:r>
      <w:r>
        <w:rPr>
          <w:rFonts w:ascii="Calibri"/>
          <w:spacing w:val="15"/>
          <w:sz w:val="20"/>
          <w:vertAlign w:val="baseline"/>
        </w:rPr>
        <w:t> </w:t>
      </w:r>
      <w:r>
        <w:rPr>
          <w:rFonts w:ascii="Calibri"/>
          <w:spacing w:val="-2"/>
          <w:sz w:val="20"/>
          <w:vertAlign w:val="baseline"/>
        </w:rPr>
        <w:t>ISS.01.02.03.02,</w:t>
      </w:r>
      <w:r>
        <w:rPr>
          <w:rFonts w:ascii="Calibri"/>
          <w:spacing w:val="14"/>
          <w:sz w:val="20"/>
          <w:vertAlign w:val="baseline"/>
        </w:rPr>
        <w:t> </w:t>
      </w:r>
      <w:r>
        <w:rPr>
          <w:rFonts w:ascii="Calibri"/>
          <w:spacing w:val="-2"/>
          <w:sz w:val="20"/>
          <w:vertAlign w:val="baseline"/>
        </w:rPr>
        <w:t>ISS.04.04.01.01,</w:t>
      </w:r>
    </w:p>
    <w:p>
      <w:pPr>
        <w:spacing w:before="0"/>
        <w:ind w:left="143" w:right="0" w:firstLine="0"/>
        <w:jc w:val="left"/>
        <w:rPr>
          <w:rFonts w:ascii="Calibri"/>
          <w:sz w:val="20"/>
        </w:rPr>
      </w:pPr>
      <w:r>
        <w:rPr>
          <w:rFonts w:ascii="Calibri"/>
          <w:sz w:val="20"/>
        </w:rPr>
        <w:t>ISS.05.03.01.02,</w:t>
      </w:r>
      <w:r>
        <w:rPr>
          <w:rFonts w:ascii="Calibri"/>
          <w:spacing w:val="-8"/>
          <w:sz w:val="20"/>
        </w:rPr>
        <w:t> </w:t>
      </w:r>
      <w:r>
        <w:rPr>
          <w:rFonts w:ascii="Calibri"/>
          <w:sz w:val="20"/>
        </w:rPr>
        <w:t>ISS.04.03.05.01,</w:t>
      </w:r>
      <w:r>
        <w:rPr>
          <w:rFonts w:ascii="Calibri"/>
          <w:spacing w:val="-8"/>
          <w:sz w:val="20"/>
        </w:rPr>
        <w:t> </w:t>
      </w:r>
      <w:r>
        <w:rPr>
          <w:rFonts w:ascii="Calibri"/>
          <w:sz w:val="20"/>
        </w:rPr>
        <w:t>ISS.04.03.01.01,</w:t>
      </w:r>
      <w:r>
        <w:rPr>
          <w:rFonts w:ascii="Calibri"/>
          <w:spacing w:val="-8"/>
          <w:sz w:val="20"/>
        </w:rPr>
        <w:t> </w:t>
      </w:r>
      <w:r>
        <w:rPr>
          <w:rFonts w:ascii="Calibri"/>
          <w:sz w:val="20"/>
        </w:rPr>
        <w:t>ISS.04.03.01.02,</w:t>
      </w:r>
      <w:r>
        <w:rPr>
          <w:rFonts w:ascii="Calibri"/>
          <w:spacing w:val="-8"/>
          <w:sz w:val="20"/>
        </w:rPr>
        <w:t> </w:t>
      </w:r>
      <w:r>
        <w:rPr>
          <w:rFonts w:ascii="Calibri"/>
          <w:sz w:val="20"/>
        </w:rPr>
        <w:t>ISS.04.03.05.03,</w:t>
      </w:r>
      <w:r>
        <w:rPr>
          <w:rFonts w:ascii="Calibri"/>
          <w:spacing w:val="-8"/>
          <w:sz w:val="20"/>
        </w:rPr>
        <w:t> </w:t>
      </w:r>
      <w:r>
        <w:rPr>
          <w:rFonts w:ascii="Calibri"/>
          <w:sz w:val="20"/>
        </w:rPr>
        <w:t>ISS.01.01.08.02, ISS.05.04.01.01, ISS.05.04.01.02</w:t>
      </w:r>
    </w:p>
    <w:p>
      <w:pPr>
        <w:spacing w:before="1"/>
        <w:ind w:left="143" w:right="0" w:firstLine="0"/>
        <w:jc w:val="left"/>
        <w:rPr>
          <w:rFonts w:ascii="Calibri"/>
          <w:sz w:val="20"/>
        </w:rPr>
      </w:pPr>
      <w:bookmarkStart w:name="_bookmark31" w:id="32"/>
      <w:bookmarkEnd w:id="32"/>
      <w:r>
        <w:rPr/>
      </w:r>
      <w:r>
        <w:rPr>
          <w:rFonts w:ascii="Calibri"/>
          <w:spacing w:val="-2"/>
          <w:sz w:val="20"/>
          <w:vertAlign w:val="superscript"/>
        </w:rPr>
        <w:t>15</w:t>
      </w:r>
      <w:r>
        <w:rPr>
          <w:rFonts w:ascii="Calibri"/>
          <w:spacing w:val="11"/>
          <w:sz w:val="20"/>
          <w:vertAlign w:val="baseline"/>
        </w:rPr>
        <w:t> </w:t>
      </w:r>
      <w:r>
        <w:rPr>
          <w:rFonts w:ascii="Calibri"/>
          <w:spacing w:val="-2"/>
          <w:sz w:val="20"/>
          <w:vertAlign w:val="baseline"/>
        </w:rPr>
        <w:t>ISS.01.01.03.01,</w:t>
      </w:r>
      <w:r>
        <w:rPr>
          <w:rFonts w:ascii="Calibri"/>
          <w:spacing w:val="13"/>
          <w:sz w:val="20"/>
          <w:vertAlign w:val="baseline"/>
        </w:rPr>
        <w:t> </w:t>
      </w:r>
      <w:r>
        <w:rPr>
          <w:rFonts w:ascii="Calibri"/>
          <w:spacing w:val="-2"/>
          <w:sz w:val="20"/>
          <w:vertAlign w:val="baseline"/>
        </w:rPr>
        <w:t>ISS.01.02.05.01,</w:t>
      </w:r>
      <w:r>
        <w:rPr>
          <w:rFonts w:ascii="Calibri"/>
          <w:spacing w:val="13"/>
          <w:sz w:val="20"/>
          <w:vertAlign w:val="baseline"/>
        </w:rPr>
        <w:t> </w:t>
      </w:r>
      <w:r>
        <w:rPr>
          <w:rFonts w:ascii="Calibri"/>
          <w:spacing w:val="-2"/>
          <w:sz w:val="20"/>
          <w:vertAlign w:val="baseline"/>
        </w:rPr>
        <w:t>ISS.05.01.01.02,</w:t>
      </w:r>
      <w:r>
        <w:rPr>
          <w:rFonts w:ascii="Calibri"/>
          <w:spacing w:val="13"/>
          <w:sz w:val="20"/>
          <w:vertAlign w:val="baseline"/>
        </w:rPr>
        <w:t> </w:t>
      </w:r>
      <w:r>
        <w:rPr>
          <w:rFonts w:ascii="Calibri"/>
          <w:spacing w:val="-2"/>
          <w:sz w:val="20"/>
          <w:vertAlign w:val="baseline"/>
        </w:rPr>
        <w:t>ISS.04.03.05.04</w:t>
      </w:r>
    </w:p>
    <w:p>
      <w:pPr>
        <w:spacing w:line="243" w:lineRule="exact" w:before="0"/>
        <w:ind w:left="143" w:right="0" w:firstLine="0"/>
        <w:jc w:val="left"/>
        <w:rPr>
          <w:rFonts w:ascii="Calibri"/>
          <w:sz w:val="20"/>
        </w:rPr>
      </w:pPr>
      <w:bookmarkStart w:name="_bookmark32" w:id="33"/>
      <w:bookmarkEnd w:id="33"/>
      <w:r>
        <w:rPr/>
      </w:r>
      <w:r>
        <w:rPr>
          <w:rFonts w:ascii="Calibri"/>
          <w:sz w:val="20"/>
          <w:vertAlign w:val="superscript"/>
        </w:rPr>
        <w:t>16</w:t>
      </w:r>
      <w:r>
        <w:rPr>
          <w:rFonts w:ascii="Calibri"/>
          <w:spacing w:val="-7"/>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01.01.07.01,</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01.01.07.02,</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01.02.01,</w:t>
      </w:r>
      <w:r>
        <w:rPr>
          <w:rFonts w:ascii="Calibri"/>
          <w:spacing w:val="-5"/>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04.02.02,</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pacing w:val="-2"/>
          <w:sz w:val="20"/>
          <w:vertAlign w:val="baseline"/>
        </w:rPr>
        <w:t>05.01.01</w:t>
      </w:r>
    </w:p>
    <w:p>
      <w:pPr>
        <w:spacing w:line="243" w:lineRule="exact" w:before="0"/>
        <w:ind w:left="143" w:right="0" w:firstLine="0"/>
        <w:jc w:val="left"/>
        <w:rPr>
          <w:rFonts w:ascii="Calibri"/>
          <w:sz w:val="20"/>
        </w:rPr>
      </w:pPr>
      <w:bookmarkStart w:name="_bookmark33" w:id="34"/>
      <w:bookmarkEnd w:id="34"/>
      <w:r>
        <w:rPr/>
      </w:r>
      <w:r>
        <w:rPr>
          <w:rFonts w:ascii="Calibri"/>
          <w:sz w:val="20"/>
          <w:vertAlign w:val="superscript"/>
        </w:rPr>
        <w:t>17</w:t>
      </w:r>
      <w:r>
        <w:rPr>
          <w:rFonts w:ascii="Calibri"/>
          <w:spacing w:val="-7"/>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01.01.08.01,</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01.02.03.01,</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03.01.02.01,</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03.01.02.02,</w:t>
      </w:r>
      <w:r>
        <w:rPr>
          <w:rFonts w:ascii="Calibri"/>
          <w:spacing w:val="-6"/>
          <w:sz w:val="20"/>
          <w:vertAlign w:val="baseline"/>
        </w:rPr>
        <w:t> </w:t>
      </w:r>
      <w:r>
        <w:rPr>
          <w:rFonts w:ascii="Calibri"/>
          <w:sz w:val="20"/>
          <w:vertAlign w:val="baseline"/>
        </w:rPr>
        <w:t>ISS</w:t>
      </w:r>
      <w:r>
        <w:rPr>
          <w:rFonts w:ascii="Calibri"/>
          <w:spacing w:val="-6"/>
          <w:sz w:val="20"/>
          <w:vertAlign w:val="baseline"/>
        </w:rPr>
        <w:t> </w:t>
      </w:r>
      <w:r>
        <w:rPr>
          <w:rFonts w:ascii="Calibri"/>
          <w:sz w:val="20"/>
          <w:vertAlign w:val="baseline"/>
        </w:rPr>
        <w:t>04.03.05.02,</w:t>
      </w:r>
      <w:r>
        <w:rPr>
          <w:rFonts w:ascii="Calibri"/>
          <w:spacing w:val="-6"/>
          <w:sz w:val="20"/>
          <w:vertAlign w:val="baseline"/>
        </w:rPr>
        <w:t> </w:t>
      </w:r>
      <w:r>
        <w:rPr>
          <w:rFonts w:ascii="Calibri"/>
          <w:sz w:val="20"/>
          <w:vertAlign w:val="baseline"/>
        </w:rPr>
        <w:t>ISS</w:t>
      </w:r>
      <w:r>
        <w:rPr>
          <w:rFonts w:ascii="Calibri"/>
          <w:spacing w:val="-7"/>
          <w:sz w:val="20"/>
          <w:vertAlign w:val="baseline"/>
        </w:rPr>
        <w:t> </w:t>
      </w:r>
      <w:r>
        <w:rPr>
          <w:rFonts w:ascii="Calibri"/>
          <w:sz w:val="20"/>
          <w:vertAlign w:val="baseline"/>
        </w:rPr>
        <w:t>06.01.02.01,</w:t>
      </w:r>
      <w:r>
        <w:rPr>
          <w:rFonts w:ascii="Calibri"/>
          <w:spacing w:val="-6"/>
          <w:sz w:val="20"/>
          <w:vertAlign w:val="baseline"/>
        </w:rPr>
        <w:t> </w:t>
      </w:r>
      <w:r>
        <w:rPr>
          <w:rFonts w:ascii="Calibri"/>
          <w:spacing w:val="-5"/>
          <w:sz w:val="20"/>
          <w:vertAlign w:val="baseline"/>
        </w:rPr>
        <w:t>ISS</w:t>
      </w:r>
    </w:p>
    <w:p>
      <w:pPr>
        <w:spacing w:before="1"/>
        <w:ind w:left="143" w:right="0" w:firstLine="0"/>
        <w:jc w:val="left"/>
        <w:rPr>
          <w:rFonts w:ascii="Calibri"/>
          <w:sz w:val="20"/>
        </w:rPr>
      </w:pPr>
      <w:r>
        <w:rPr>
          <w:rFonts w:ascii="Calibri"/>
          <w:sz w:val="20"/>
        </w:rPr>
        <w:t>06.01.02.02,</w:t>
      </w:r>
      <w:r>
        <w:rPr>
          <w:rFonts w:ascii="Calibri"/>
          <w:spacing w:val="-7"/>
          <w:sz w:val="20"/>
        </w:rPr>
        <w:t> </w:t>
      </w:r>
      <w:r>
        <w:rPr>
          <w:rFonts w:ascii="Calibri"/>
          <w:sz w:val="20"/>
        </w:rPr>
        <w:t>ISS</w:t>
      </w:r>
      <w:r>
        <w:rPr>
          <w:rFonts w:ascii="Calibri"/>
          <w:spacing w:val="-8"/>
          <w:sz w:val="20"/>
        </w:rPr>
        <w:t> </w:t>
      </w:r>
      <w:r>
        <w:rPr>
          <w:rFonts w:ascii="Calibri"/>
          <w:spacing w:val="-2"/>
          <w:sz w:val="20"/>
        </w:rPr>
        <w:t>06.01.02.03</w:t>
      </w:r>
    </w:p>
    <w:p>
      <w:pPr>
        <w:spacing w:before="1"/>
        <w:ind w:left="143" w:right="0" w:firstLine="0"/>
        <w:jc w:val="left"/>
        <w:rPr>
          <w:rFonts w:ascii="Calibri"/>
          <w:sz w:val="20"/>
        </w:rPr>
      </w:pPr>
      <w:bookmarkStart w:name="_bookmark34" w:id="35"/>
      <w:bookmarkEnd w:id="35"/>
      <w:r>
        <w:rPr/>
      </w:r>
      <w:r>
        <w:rPr>
          <w:rFonts w:ascii="Calibri"/>
          <w:sz w:val="20"/>
          <w:vertAlign w:val="superscript"/>
        </w:rPr>
        <w:t>18</w:t>
      </w:r>
      <w:r>
        <w:rPr>
          <w:rFonts w:ascii="Calibri"/>
          <w:spacing w:val="-5"/>
          <w:sz w:val="20"/>
          <w:vertAlign w:val="baseline"/>
        </w:rPr>
        <w:t> </w:t>
      </w:r>
      <w:r>
        <w:rPr>
          <w:rFonts w:ascii="Calibri"/>
          <w:sz w:val="20"/>
          <w:vertAlign w:val="baseline"/>
        </w:rPr>
        <w:t>ISS</w:t>
      </w:r>
      <w:r>
        <w:rPr>
          <w:rFonts w:ascii="Calibri"/>
          <w:spacing w:val="-4"/>
          <w:sz w:val="20"/>
          <w:vertAlign w:val="baseline"/>
        </w:rPr>
        <w:t> </w:t>
      </w:r>
      <w:r>
        <w:rPr>
          <w:rFonts w:ascii="Calibri"/>
          <w:spacing w:val="-2"/>
          <w:sz w:val="20"/>
          <w:vertAlign w:val="baseline"/>
        </w:rPr>
        <w:t>05.03.01.01</w:t>
      </w:r>
    </w:p>
    <w:p>
      <w:pPr>
        <w:spacing w:line="243" w:lineRule="exact" w:before="0"/>
        <w:ind w:left="143" w:right="0" w:firstLine="0"/>
        <w:jc w:val="left"/>
        <w:rPr>
          <w:rFonts w:ascii="Calibri"/>
          <w:sz w:val="20"/>
        </w:rPr>
      </w:pPr>
      <w:bookmarkStart w:name="_bookmark35" w:id="36"/>
      <w:bookmarkEnd w:id="36"/>
      <w:r>
        <w:rPr/>
      </w:r>
      <w:r>
        <w:rPr>
          <w:rFonts w:ascii="Calibri"/>
          <w:sz w:val="20"/>
          <w:vertAlign w:val="superscript"/>
        </w:rPr>
        <w:t>19</w:t>
      </w:r>
      <w:r>
        <w:rPr>
          <w:rFonts w:ascii="Calibri"/>
          <w:spacing w:val="-8"/>
          <w:sz w:val="20"/>
          <w:vertAlign w:val="baseline"/>
        </w:rPr>
        <w:t> </w:t>
      </w:r>
      <w:r>
        <w:rPr>
          <w:rFonts w:ascii="Calibri"/>
          <w:sz w:val="20"/>
          <w:vertAlign w:val="baseline"/>
        </w:rPr>
        <w:t>ISS</w:t>
      </w:r>
      <w:r>
        <w:rPr>
          <w:rFonts w:ascii="Calibri"/>
          <w:spacing w:val="-8"/>
          <w:sz w:val="20"/>
          <w:vertAlign w:val="baseline"/>
        </w:rPr>
        <w:t> </w:t>
      </w:r>
      <w:r>
        <w:rPr>
          <w:rFonts w:ascii="Calibri"/>
          <w:sz w:val="20"/>
          <w:vertAlign w:val="baseline"/>
        </w:rPr>
        <w:t>04.03.07.01,</w:t>
      </w:r>
      <w:r>
        <w:rPr>
          <w:rFonts w:ascii="Calibri"/>
          <w:spacing w:val="-6"/>
          <w:sz w:val="20"/>
          <w:vertAlign w:val="baseline"/>
        </w:rPr>
        <w:t> </w:t>
      </w:r>
      <w:r>
        <w:rPr>
          <w:rFonts w:ascii="Calibri"/>
          <w:sz w:val="20"/>
          <w:vertAlign w:val="baseline"/>
        </w:rPr>
        <w:t>ISS</w:t>
      </w:r>
      <w:r>
        <w:rPr>
          <w:rFonts w:ascii="Calibri"/>
          <w:spacing w:val="-8"/>
          <w:sz w:val="20"/>
          <w:vertAlign w:val="baseline"/>
        </w:rPr>
        <w:t> </w:t>
      </w:r>
      <w:r>
        <w:rPr>
          <w:rFonts w:ascii="Calibri"/>
          <w:sz w:val="20"/>
          <w:vertAlign w:val="baseline"/>
        </w:rPr>
        <w:t>04.03.07.02,</w:t>
      </w:r>
      <w:r>
        <w:rPr>
          <w:rFonts w:ascii="Calibri"/>
          <w:spacing w:val="-7"/>
          <w:sz w:val="20"/>
          <w:vertAlign w:val="baseline"/>
        </w:rPr>
        <w:t> </w:t>
      </w:r>
      <w:r>
        <w:rPr>
          <w:rFonts w:ascii="Calibri"/>
          <w:sz w:val="20"/>
          <w:vertAlign w:val="baseline"/>
        </w:rPr>
        <w:t>ISS</w:t>
      </w:r>
      <w:r>
        <w:rPr>
          <w:rFonts w:ascii="Calibri"/>
          <w:spacing w:val="-7"/>
          <w:sz w:val="20"/>
          <w:vertAlign w:val="baseline"/>
        </w:rPr>
        <w:t> </w:t>
      </w:r>
      <w:r>
        <w:rPr>
          <w:rFonts w:ascii="Calibri"/>
          <w:spacing w:val="-2"/>
          <w:sz w:val="20"/>
          <w:vertAlign w:val="baseline"/>
        </w:rPr>
        <w:t>06.03.01.01</w:t>
      </w:r>
    </w:p>
    <w:p>
      <w:pPr>
        <w:spacing w:line="243" w:lineRule="exact" w:before="0"/>
        <w:ind w:left="143" w:right="0" w:firstLine="0"/>
        <w:jc w:val="left"/>
        <w:rPr>
          <w:rFonts w:ascii="Calibri"/>
          <w:sz w:val="20"/>
        </w:rPr>
      </w:pPr>
      <w:bookmarkStart w:name="_bookmark36" w:id="37"/>
      <w:bookmarkEnd w:id="37"/>
      <w:r>
        <w:rPr/>
      </w:r>
      <w:r>
        <w:rPr>
          <w:rFonts w:ascii="Calibri"/>
          <w:sz w:val="20"/>
          <w:vertAlign w:val="superscript"/>
        </w:rPr>
        <w:t>20</w:t>
      </w:r>
      <w:r>
        <w:rPr>
          <w:rFonts w:ascii="Calibri"/>
          <w:spacing w:val="-6"/>
          <w:sz w:val="20"/>
          <w:vertAlign w:val="baseline"/>
        </w:rPr>
        <w:t> </w:t>
      </w:r>
      <w:r>
        <w:rPr>
          <w:rFonts w:ascii="Calibri"/>
          <w:sz w:val="20"/>
          <w:vertAlign w:val="baseline"/>
        </w:rPr>
        <w:t>SS</w:t>
      </w:r>
      <w:r>
        <w:rPr>
          <w:rFonts w:ascii="Calibri"/>
          <w:spacing w:val="-6"/>
          <w:sz w:val="20"/>
          <w:vertAlign w:val="baseline"/>
        </w:rPr>
        <w:t> </w:t>
      </w:r>
      <w:r>
        <w:rPr>
          <w:rFonts w:ascii="Calibri"/>
          <w:sz w:val="20"/>
          <w:vertAlign w:val="baseline"/>
        </w:rPr>
        <w:t>01.01.08,</w:t>
      </w:r>
      <w:r>
        <w:rPr>
          <w:rFonts w:ascii="Calibri"/>
          <w:spacing w:val="-5"/>
          <w:sz w:val="20"/>
          <w:vertAlign w:val="baseline"/>
        </w:rPr>
        <w:t> </w:t>
      </w:r>
      <w:r>
        <w:rPr>
          <w:rFonts w:ascii="Calibri"/>
          <w:sz w:val="20"/>
          <w:vertAlign w:val="baseline"/>
        </w:rPr>
        <w:t>SS</w:t>
      </w:r>
      <w:r>
        <w:rPr>
          <w:rFonts w:ascii="Calibri"/>
          <w:spacing w:val="-5"/>
          <w:sz w:val="20"/>
          <w:vertAlign w:val="baseline"/>
        </w:rPr>
        <w:t> </w:t>
      </w:r>
      <w:r>
        <w:rPr>
          <w:rFonts w:ascii="Calibri"/>
          <w:sz w:val="20"/>
          <w:vertAlign w:val="baseline"/>
        </w:rPr>
        <w:t>01.02.03,</w:t>
      </w:r>
      <w:r>
        <w:rPr>
          <w:rFonts w:ascii="Calibri"/>
          <w:spacing w:val="-5"/>
          <w:sz w:val="20"/>
          <w:vertAlign w:val="baseline"/>
        </w:rPr>
        <w:t> </w:t>
      </w:r>
      <w:r>
        <w:rPr>
          <w:rFonts w:ascii="Calibri"/>
          <w:sz w:val="20"/>
          <w:vertAlign w:val="baseline"/>
        </w:rPr>
        <w:t>SS</w:t>
      </w:r>
      <w:r>
        <w:rPr>
          <w:rFonts w:ascii="Calibri"/>
          <w:spacing w:val="-6"/>
          <w:sz w:val="20"/>
          <w:vertAlign w:val="baseline"/>
        </w:rPr>
        <w:t> </w:t>
      </w:r>
      <w:r>
        <w:rPr>
          <w:rFonts w:ascii="Calibri"/>
          <w:sz w:val="20"/>
          <w:vertAlign w:val="baseline"/>
        </w:rPr>
        <w:t>03.01.02,</w:t>
      </w:r>
      <w:r>
        <w:rPr>
          <w:rFonts w:ascii="Calibri"/>
          <w:spacing w:val="-5"/>
          <w:sz w:val="20"/>
          <w:vertAlign w:val="baseline"/>
        </w:rPr>
        <w:t> </w:t>
      </w:r>
      <w:r>
        <w:rPr>
          <w:rFonts w:ascii="Calibri"/>
          <w:sz w:val="20"/>
          <w:vertAlign w:val="baseline"/>
        </w:rPr>
        <w:t>SS</w:t>
      </w:r>
      <w:r>
        <w:rPr>
          <w:rFonts w:ascii="Calibri"/>
          <w:spacing w:val="-3"/>
          <w:sz w:val="20"/>
          <w:vertAlign w:val="baseline"/>
        </w:rPr>
        <w:t> </w:t>
      </w:r>
      <w:r>
        <w:rPr>
          <w:rFonts w:ascii="Calibri"/>
          <w:sz w:val="20"/>
          <w:vertAlign w:val="baseline"/>
        </w:rPr>
        <w:t>04.03.05,</w:t>
      </w:r>
      <w:r>
        <w:rPr>
          <w:rFonts w:ascii="Calibri"/>
          <w:spacing w:val="-4"/>
          <w:sz w:val="20"/>
          <w:vertAlign w:val="baseline"/>
        </w:rPr>
        <w:t> </w:t>
      </w:r>
      <w:r>
        <w:rPr>
          <w:rFonts w:ascii="Calibri"/>
          <w:sz w:val="20"/>
          <w:vertAlign w:val="baseline"/>
        </w:rPr>
        <w:t>SS</w:t>
      </w:r>
      <w:r>
        <w:rPr>
          <w:rFonts w:ascii="Calibri"/>
          <w:spacing w:val="-6"/>
          <w:sz w:val="20"/>
          <w:vertAlign w:val="baseline"/>
        </w:rPr>
        <w:t> </w:t>
      </w:r>
      <w:r>
        <w:rPr>
          <w:rFonts w:ascii="Calibri"/>
          <w:sz w:val="20"/>
          <w:vertAlign w:val="baseline"/>
        </w:rPr>
        <w:t>06.01.02,</w:t>
      </w:r>
      <w:r>
        <w:rPr>
          <w:rFonts w:ascii="Calibri"/>
          <w:spacing w:val="-5"/>
          <w:sz w:val="20"/>
          <w:vertAlign w:val="baseline"/>
        </w:rPr>
        <w:t> </w:t>
      </w:r>
      <w:r>
        <w:rPr>
          <w:rFonts w:ascii="Calibri"/>
          <w:sz w:val="20"/>
          <w:vertAlign w:val="baseline"/>
        </w:rPr>
        <w:t>SS</w:t>
      </w:r>
      <w:r>
        <w:rPr>
          <w:rFonts w:ascii="Calibri"/>
          <w:spacing w:val="-6"/>
          <w:sz w:val="20"/>
          <w:vertAlign w:val="baseline"/>
        </w:rPr>
        <w:t> </w:t>
      </w:r>
      <w:r>
        <w:rPr>
          <w:rFonts w:ascii="Calibri"/>
          <w:sz w:val="20"/>
          <w:vertAlign w:val="baseline"/>
        </w:rPr>
        <w:t>05.03.01,</w:t>
      </w:r>
      <w:r>
        <w:rPr>
          <w:rFonts w:ascii="Calibri"/>
          <w:spacing w:val="-4"/>
          <w:sz w:val="20"/>
          <w:vertAlign w:val="baseline"/>
        </w:rPr>
        <w:t> </w:t>
      </w:r>
      <w:r>
        <w:rPr>
          <w:rFonts w:ascii="Calibri"/>
          <w:sz w:val="20"/>
          <w:vertAlign w:val="baseline"/>
        </w:rPr>
        <w:t>SS</w:t>
      </w:r>
      <w:r>
        <w:rPr>
          <w:rFonts w:ascii="Calibri"/>
          <w:spacing w:val="-6"/>
          <w:sz w:val="20"/>
          <w:vertAlign w:val="baseline"/>
        </w:rPr>
        <w:t> </w:t>
      </w:r>
      <w:r>
        <w:rPr>
          <w:rFonts w:ascii="Calibri"/>
          <w:sz w:val="20"/>
          <w:vertAlign w:val="baseline"/>
        </w:rPr>
        <w:t>01.01.07,</w:t>
      </w:r>
      <w:r>
        <w:rPr>
          <w:rFonts w:ascii="Calibri"/>
          <w:spacing w:val="-5"/>
          <w:sz w:val="20"/>
          <w:vertAlign w:val="baseline"/>
        </w:rPr>
        <w:t> </w:t>
      </w:r>
      <w:r>
        <w:rPr>
          <w:rFonts w:ascii="Calibri"/>
          <w:sz w:val="20"/>
          <w:vertAlign w:val="baseline"/>
        </w:rPr>
        <w:t>SS</w:t>
      </w:r>
      <w:r>
        <w:rPr>
          <w:rFonts w:ascii="Calibri"/>
          <w:spacing w:val="-6"/>
          <w:sz w:val="20"/>
          <w:vertAlign w:val="baseline"/>
        </w:rPr>
        <w:t> </w:t>
      </w:r>
      <w:r>
        <w:rPr>
          <w:rFonts w:ascii="Calibri"/>
          <w:spacing w:val="-2"/>
          <w:sz w:val="20"/>
          <w:vertAlign w:val="baseline"/>
        </w:rPr>
        <w:t>01.02.01,</w:t>
      </w:r>
    </w:p>
    <w:p>
      <w:pPr>
        <w:spacing w:before="1"/>
        <w:ind w:left="143" w:right="0" w:firstLine="0"/>
        <w:jc w:val="left"/>
        <w:rPr>
          <w:rFonts w:ascii="Calibri"/>
          <w:sz w:val="20"/>
        </w:rPr>
      </w:pPr>
      <w:r>
        <w:rPr>
          <w:rFonts w:ascii="Calibri"/>
          <w:sz w:val="20"/>
        </w:rPr>
        <w:t>SS</w:t>
      </w:r>
      <w:r>
        <w:rPr>
          <w:rFonts w:ascii="Calibri"/>
          <w:spacing w:val="-6"/>
          <w:sz w:val="20"/>
        </w:rPr>
        <w:t> </w:t>
      </w:r>
      <w:r>
        <w:rPr>
          <w:rFonts w:ascii="Calibri"/>
          <w:sz w:val="20"/>
        </w:rPr>
        <w:t>04.02.02,</w:t>
      </w:r>
      <w:r>
        <w:rPr>
          <w:rFonts w:ascii="Calibri"/>
          <w:spacing w:val="-5"/>
          <w:sz w:val="20"/>
        </w:rPr>
        <w:t> </w:t>
      </w:r>
      <w:r>
        <w:rPr>
          <w:rFonts w:ascii="Calibri"/>
          <w:sz w:val="20"/>
        </w:rPr>
        <w:t>SS</w:t>
      </w:r>
      <w:r>
        <w:rPr>
          <w:rFonts w:ascii="Calibri"/>
          <w:spacing w:val="-5"/>
          <w:sz w:val="20"/>
        </w:rPr>
        <w:t> </w:t>
      </w:r>
      <w:r>
        <w:rPr>
          <w:rFonts w:ascii="Calibri"/>
          <w:sz w:val="20"/>
        </w:rPr>
        <w:t>05.01.01,</w:t>
      </w:r>
      <w:r>
        <w:rPr>
          <w:rFonts w:ascii="Calibri"/>
          <w:spacing w:val="-5"/>
          <w:sz w:val="20"/>
        </w:rPr>
        <w:t> </w:t>
      </w:r>
      <w:r>
        <w:rPr>
          <w:rFonts w:ascii="Calibri"/>
          <w:sz w:val="20"/>
        </w:rPr>
        <w:t>SS</w:t>
      </w:r>
      <w:r>
        <w:rPr>
          <w:rFonts w:ascii="Calibri"/>
          <w:spacing w:val="-5"/>
          <w:sz w:val="20"/>
        </w:rPr>
        <w:t> </w:t>
      </w:r>
      <w:r>
        <w:rPr>
          <w:rFonts w:ascii="Calibri"/>
          <w:sz w:val="20"/>
        </w:rPr>
        <w:t>04.03.07,</w:t>
      </w:r>
      <w:r>
        <w:rPr>
          <w:rFonts w:ascii="Calibri"/>
          <w:spacing w:val="-5"/>
          <w:sz w:val="20"/>
        </w:rPr>
        <w:t> </w:t>
      </w:r>
      <w:r>
        <w:rPr>
          <w:rFonts w:ascii="Calibri"/>
          <w:sz w:val="20"/>
        </w:rPr>
        <w:t>SS</w:t>
      </w:r>
      <w:r>
        <w:rPr>
          <w:rFonts w:ascii="Calibri"/>
          <w:spacing w:val="-3"/>
          <w:sz w:val="20"/>
        </w:rPr>
        <w:t> </w:t>
      </w:r>
      <w:r>
        <w:rPr>
          <w:rFonts w:ascii="Calibri"/>
          <w:spacing w:val="-2"/>
          <w:sz w:val="20"/>
        </w:rPr>
        <w:t>06.03.01.</w:t>
      </w:r>
    </w:p>
    <w:p>
      <w:pPr>
        <w:spacing w:after="0"/>
        <w:jc w:val="left"/>
        <w:rPr>
          <w:rFonts w:ascii="Calibri"/>
          <w:sz w:val="20"/>
        </w:rPr>
        <w:sectPr>
          <w:pgSz w:w="11910" w:h="16840"/>
          <w:pgMar w:header="713" w:footer="1000" w:top="1420" w:bottom="1200" w:left="1559" w:right="992"/>
        </w:sectPr>
      </w:pPr>
    </w:p>
    <w:p>
      <w:pPr>
        <w:pStyle w:val="BodyText"/>
        <w:spacing w:line="304" w:lineRule="auto" w:before="123"/>
        <w:ind w:left="862" w:right="707"/>
        <w:jc w:val="both"/>
      </w:pPr>
      <w:r>
        <w:rPr/>
        <w:t>Precisar</w:t>
      </w:r>
      <w:r>
        <w:rPr>
          <w:spacing w:val="-7"/>
        </w:rPr>
        <w:t> </w:t>
      </w:r>
      <w:r>
        <w:rPr/>
        <w:t>que</w:t>
      </w:r>
      <w:r>
        <w:rPr>
          <w:spacing w:val="-7"/>
        </w:rPr>
        <w:t> </w:t>
      </w:r>
      <w:r>
        <w:rPr/>
        <w:t>la</w:t>
      </w:r>
      <w:r>
        <w:rPr>
          <w:spacing w:val="-5"/>
        </w:rPr>
        <w:t> </w:t>
      </w:r>
      <w:r>
        <w:rPr/>
        <w:t>desagregación</w:t>
      </w:r>
      <w:r>
        <w:rPr>
          <w:spacing w:val="-7"/>
        </w:rPr>
        <w:t> </w:t>
      </w:r>
      <w:r>
        <w:rPr/>
        <w:t>de</w:t>
      </w:r>
      <w:r>
        <w:rPr>
          <w:spacing w:val="-4"/>
        </w:rPr>
        <w:t> </w:t>
      </w:r>
      <w:r>
        <w:rPr/>
        <w:t>factores</w:t>
      </w:r>
      <w:r>
        <w:rPr>
          <w:spacing w:val="-5"/>
        </w:rPr>
        <w:t> </w:t>
      </w:r>
      <w:r>
        <w:rPr/>
        <w:t>que</w:t>
      </w:r>
      <w:r>
        <w:rPr>
          <w:spacing w:val="-4"/>
        </w:rPr>
        <w:t> </w:t>
      </w:r>
      <w:r>
        <w:rPr/>
        <w:t>se</w:t>
      </w:r>
      <w:r>
        <w:rPr>
          <w:spacing w:val="-7"/>
        </w:rPr>
        <w:t> </w:t>
      </w:r>
      <w:r>
        <w:rPr/>
        <w:t>detallan</w:t>
      </w:r>
      <w:r>
        <w:rPr>
          <w:spacing w:val="-5"/>
        </w:rPr>
        <w:t> </w:t>
      </w:r>
      <w:r>
        <w:rPr/>
        <w:t>a</w:t>
      </w:r>
      <w:r>
        <w:rPr>
          <w:spacing w:val="-7"/>
        </w:rPr>
        <w:t> </w:t>
      </w:r>
      <w:r>
        <w:rPr/>
        <w:t>continuación no es sumatoria del total de indicadores, en tanto, un indicador puede presentar más de un factor.</w:t>
      </w:r>
    </w:p>
    <w:p>
      <w:pPr>
        <w:pStyle w:val="BodyText"/>
        <w:spacing w:line="304" w:lineRule="auto" w:before="5"/>
        <w:ind w:left="1582" w:right="704" w:hanging="360"/>
        <w:jc w:val="both"/>
      </w:pPr>
      <w:r>
        <w:rPr>
          <w:rFonts w:ascii="Courier New" w:hAnsi="Courier New"/>
        </w:rPr>
        <w:t>o </w:t>
      </w:r>
      <w:r>
        <w:rPr/>
        <w:t>Respecto a los de cumplimento muy alto (8), 4 pertenecen a servicios que declararon haber realizado acciones estratégicas/operativas que mejoraron el alcance del servicio como: mejora en las herramientas de seguimiento, articulación con organizaciones aliadas y campañas de difusión del servicio (50%).</w:t>
      </w:r>
      <w:r>
        <w:rPr>
          <w:spacing w:val="-9"/>
        </w:rPr>
        <w:t> </w:t>
      </w:r>
      <w:r>
        <w:rPr/>
        <w:t>Asimismo,</w:t>
      </w:r>
      <w:r>
        <w:rPr>
          <w:spacing w:val="-6"/>
        </w:rPr>
        <w:t> </w:t>
      </w:r>
      <w:r>
        <w:rPr/>
        <w:t>7</w:t>
      </w:r>
      <w:r>
        <w:rPr>
          <w:spacing w:val="-9"/>
        </w:rPr>
        <w:t> </w:t>
      </w:r>
      <w:r>
        <w:rPr/>
        <w:t>no</w:t>
      </w:r>
      <w:r>
        <w:rPr>
          <w:spacing w:val="-10"/>
        </w:rPr>
        <w:t> </w:t>
      </w:r>
      <w:r>
        <w:rPr/>
        <w:t>contaban</w:t>
      </w:r>
      <w:r>
        <w:rPr>
          <w:spacing w:val="-11"/>
        </w:rPr>
        <w:t> </w:t>
      </w:r>
      <w:r>
        <w:rPr/>
        <w:t>con</w:t>
      </w:r>
      <w:r>
        <w:rPr>
          <w:spacing w:val="-11"/>
        </w:rPr>
        <w:t> </w:t>
      </w:r>
      <w:r>
        <w:rPr/>
        <w:t>línea</w:t>
      </w:r>
      <w:r>
        <w:rPr>
          <w:spacing w:val="-10"/>
        </w:rPr>
        <w:t> </w:t>
      </w:r>
      <w:r>
        <w:rPr/>
        <w:t>de</w:t>
      </w:r>
      <w:r>
        <w:rPr>
          <w:spacing w:val="-10"/>
        </w:rPr>
        <w:t> </w:t>
      </w:r>
      <w:r>
        <w:rPr/>
        <w:t>base</w:t>
      </w:r>
      <w:r>
        <w:rPr>
          <w:spacing w:val="-9"/>
        </w:rPr>
        <w:t> </w:t>
      </w:r>
      <w:r>
        <w:rPr/>
        <w:t>(87.5%),</w:t>
      </w:r>
      <w:r>
        <w:rPr>
          <w:spacing w:val="-3"/>
        </w:rPr>
        <w:t> </w:t>
      </w:r>
      <w:r>
        <w:rPr/>
        <w:t>lo</w:t>
      </w:r>
      <w:r>
        <w:rPr>
          <w:spacing w:val="-8"/>
        </w:rPr>
        <w:t> </w:t>
      </w:r>
      <w:r>
        <w:rPr/>
        <w:t>que se considera un indicio de desconocimiento de la situación previa a la implementación del servicio; mientras que 4 manifestaron requerir ajustes en la unidad de medida, las especificaciones técnicas y el método de cálculo para asegurar que miden un aspecto clave de la implementación del servicio (50%).</w:t>
      </w:r>
    </w:p>
    <w:p>
      <w:pPr>
        <w:pStyle w:val="ListParagraph"/>
        <w:numPr>
          <w:ilvl w:val="0"/>
          <w:numId w:val="21"/>
        </w:numPr>
        <w:tabs>
          <w:tab w:pos="1582" w:val="left" w:leader="none"/>
        </w:tabs>
        <w:spacing w:line="302" w:lineRule="auto" w:before="5" w:after="0"/>
        <w:ind w:left="1582" w:right="709" w:hanging="360"/>
        <w:jc w:val="both"/>
        <w:rPr>
          <w:sz w:val="24"/>
        </w:rPr>
      </w:pPr>
      <w:r>
        <w:rPr>
          <w:sz w:val="24"/>
        </w:rPr>
        <w:t>Respecto al indicador con cumplimiento muy bajo, se identificó que el indicador registraba este nivel debido a que las instituciones involucradas no reunieron las condiciones para el cumplimiento de lo requerido el servicio, el avance del indicador dependía de instituciones externas al implementador del servicio.</w:t>
      </w:r>
    </w:p>
    <w:p>
      <w:pPr>
        <w:pStyle w:val="BodyText"/>
        <w:spacing w:before="64"/>
      </w:pPr>
    </w:p>
    <w:p>
      <w:pPr>
        <w:pStyle w:val="ListParagraph"/>
        <w:numPr>
          <w:ilvl w:val="0"/>
          <w:numId w:val="22"/>
        </w:numPr>
        <w:tabs>
          <w:tab w:pos="862" w:val="left" w:leader="none"/>
        </w:tabs>
        <w:spacing w:line="307" w:lineRule="auto" w:before="0" w:after="0"/>
        <w:ind w:left="862" w:right="706" w:hanging="360"/>
        <w:jc w:val="both"/>
        <w:rPr>
          <w:sz w:val="24"/>
        </w:rPr>
      </w:pPr>
      <w:r>
        <w:rPr>
          <w:sz w:val="24"/>
        </w:rPr>
        <w:t>De los 5 servicios que presentaron un bajo nivel de cumplimiento, se identifica que los motivos por el cual no lograron alcanzar las metas programadas son diversos y atienden a determinadas particulares. El cumplimiento de metas de 3 indicadores fue afectado por factores externos a la implementación del servicio como un cambio normativo</w:t>
      </w:r>
      <w:r>
        <w:rPr>
          <w:spacing w:val="40"/>
          <w:sz w:val="24"/>
        </w:rPr>
        <w:t> </w:t>
      </w:r>
      <w:r>
        <w:rPr>
          <w:sz w:val="24"/>
        </w:rPr>
        <w:t>que</w:t>
      </w:r>
      <w:r>
        <w:rPr>
          <w:spacing w:val="-3"/>
          <w:sz w:val="24"/>
        </w:rPr>
        <w:t> </w:t>
      </w:r>
      <w:r>
        <w:rPr>
          <w:sz w:val="24"/>
        </w:rPr>
        <w:t>modifica</w:t>
      </w:r>
      <w:r>
        <w:rPr>
          <w:spacing w:val="-3"/>
          <w:sz w:val="24"/>
        </w:rPr>
        <w:t> </w:t>
      </w:r>
      <w:r>
        <w:rPr>
          <w:sz w:val="24"/>
        </w:rPr>
        <w:t>la</w:t>
      </w:r>
      <w:r>
        <w:rPr>
          <w:spacing w:val="-7"/>
          <w:sz w:val="24"/>
        </w:rPr>
        <w:t> </w:t>
      </w:r>
      <w:r>
        <w:rPr>
          <w:sz w:val="24"/>
        </w:rPr>
        <w:t>demanda</w:t>
      </w:r>
      <w:r>
        <w:rPr>
          <w:spacing w:val="-3"/>
          <w:sz w:val="24"/>
        </w:rPr>
        <w:t> </w:t>
      </w:r>
      <w:r>
        <w:rPr>
          <w:sz w:val="24"/>
        </w:rPr>
        <w:t>del</w:t>
      </w:r>
      <w:r>
        <w:rPr>
          <w:spacing w:val="-3"/>
          <w:sz w:val="24"/>
        </w:rPr>
        <w:t> </w:t>
      </w:r>
      <w:r>
        <w:rPr>
          <w:sz w:val="24"/>
        </w:rPr>
        <w:t>servicio</w:t>
      </w:r>
      <w:r>
        <w:rPr>
          <w:spacing w:val="-3"/>
          <w:sz w:val="24"/>
        </w:rPr>
        <w:t> </w:t>
      </w:r>
      <w:r>
        <w:rPr>
          <w:sz w:val="24"/>
        </w:rPr>
        <w:t>y</w:t>
      </w:r>
      <w:r>
        <w:rPr>
          <w:spacing w:val="-7"/>
          <w:sz w:val="24"/>
        </w:rPr>
        <w:t> </w:t>
      </w:r>
      <w:r>
        <w:rPr>
          <w:sz w:val="24"/>
        </w:rPr>
        <w:t>procesos</w:t>
      </w:r>
      <w:r>
        <w:rPr>
          <w:spacing w:val="-6"/>
          <w:sz w:val="24"/>
        </w:rPr>
        <w:t> </w:t>
      </w:r>
      <w:r>
        <w:rPr>
          <w:sz w:val="24"/>
        </w:rPr>
        <w:t>para</w:t>
      </w:r>
      <w:r>
        <w:rPr>
          <w:spacing w:val="-3"/>
          <w:sz w:val="24"/>
        </w:rPr>
        <w:t> </w:t>
      </w:r>
      <w:r>
        <w:rPr>
          <w:sz w:val="24"/>
        </w:rPr>
        <w:t>el</w:t>
      </w:r>
      <w:r>
        <w:rPr>
          <w:spacing w:val="-3"/>
          <w:sz w:val="24"/>
        </w:rPr>
        <w:t> </w:t>
      </w:r>
      <w:r>
        <w:rPr>
          <w:sz w:val="24"/>
        </w:rPr>
        <w:t>cumplimiento</w:t>
      </w:r>
      <w:r>
        <w:rPr>
          <w:spacing w:val="-3"/>
          <w:sz w:val="24"/>
        </w:rPr>
        <w:t> </w:t>
      </w:r>
      <w:r>
        <w:rPr>
          <w:sz w:val="24"/>
        </w:rPr>
        <w:t>de metas</w:t>
      </w:r>
      <w:r>
        <w:rPr>
          <w:spacing w:val="-2"/>
          <w:sz w:val="24"/>
        </w:rPr>
        <w:t> </w:t>
      </w:r>
      <w:r>
        <w:rPr>
          <w:sz w:val="24"/>
        </w:rPr>
        <w:t>que</w:t>
      </w:r>
      <w:r>
        <w:rPr>
          <w:spacing w:val="-3"/>
          <w:sz w:val="24"/>
        </w:rPr>
        <w:t> </w:t>
      </w:r>
      <w:r>
        <w:rPr>
          <w:sz w:val="24"/>
        </w:rPr>
        <w:t>dependen</w:t>
      </w:r>
      <w:r>
        <w:rPr>
          <w:spacing w:val="-3"/>
          <w:sz w:val="24"/>
        </w:rPr>
        <w:t> </w:t>
      </w:r>
      <w:r>
        <w:rPr>
          <w:sz w:val="24"/>
        </w:rPr>
        <w:t>de otras</w:t>
      </w:r>
      <w:r>
        <w:rPr>
          <w:spacing w:val="-2"/>
          <w:sz w:val="24"/>
        </w:rPr>
        <w:t> </w:t>
      </w:r>
      <w:r>
        <w:rPr>
          <w:sz w:val="24"/>
        </w:rPr>
        <w:t>entidades.</w:t>
      </w:r>
      <w:r>
        <w:rPr>
          <w:spacing w:val="-2"/>
          <w:sz w:val="24"/>
        </w:rPr>
        <w:t> </w:t>
      </w:r>
      <w:r>
        <w:rPr>
          <w:sz w:val="24"/>
        </w:rPr>
        <w:t>Asimismo, no</w:t>
      </w:r>
      <w:r>
        <w:rPr>
          <w:spacing w:val="-2"/>
          <w:sz w:val="24"/>
        </w:rPr>
        <w:t> </w:t>
      </w:r>
      <w:r>
        <w:rPr>
          <w:sz w:val="24"/>
        </w:rPr>
        <w:t>se</w:t>
      </w:r>
      <w:r>
        <w:rPr>
          <w:spacing w:val="-3"/>
          <w:sz w:val="24"/>
        </w:rPr>
        <w:t> </w:t>
      </w:r>
      <w:r>
        <w:rPr>
          <w:sz w:val="24"/>
        </w:rPr>
        <w:t>pudo</w:t>
      </w:r>
      <w:r>
        <w:rPr>
          <w:spacing w:val="-2"/>
          <w:sz w:val="24"/>
        </w:rPr>
        <w:t> </w:t>
      </w:r>
      <w:r>
        <w:rPr>
          <w:sz w:val="24"/>
        </w:rPr>
        <w:t>alcanzar las metas programadas de 2 indicadores, debido a que en uno de ellos las instituciones no lograron cumplir las condiciones de implementación, mientras que, en otro indicador, el paquete de intervención era</w:t>
      </w:r>
      <w:r>
        <w:rPr>
          <w:spacing w:val="40"/>
          <w:sz w:val="24"/>
        </w:rPr>
        <w:t> </w:t>
      </w:r>
      <w:r>
        <w:rPr>
          <w:sz w:val="24"/>
        </w:rPr>
        <w:t>entregado en un plazo mayor al considerado en el cálculo del indicador.</w:t>
      </w:r>
    </w:p>
    <w:p>
      <w:pPr>
        <w:pStyle w:val="BodyText"/>
        <w:spacing w:before="47"/>
      </w:pPr>
    </w:p>
    <w:p>
      <w:pPr>
        <w:pStyle w:val="ListParagraph"/>
        <w:numPr>
          <w:ilvl w:val="0"/>
          <w:numId w:val="22"/>
        </w:numPr>
        <w:tabs>
          <w:tab w:pos="862" w:val="left" w:leader="none"/>
        </w:tabs>
        <w:spacing w:line="307" w:lineRule="auto" w:before="0" w:after="0"/>
        <w:ind w:left="862" w:right="706" w:hanging="360"/>
        <w:jc w:val="both"/>
        <w:rPr>
          <w:sz w:val="24"/>
        </w:rPr>
      </w:pPr>
      <w:r>
        <w:rPr>
          <w:w w:val="105"/>
          <w:sz w:val="24"/>
        </w:rPr>
        <w:t>En</w:t>
      </w:r>
      <w:r>
        <w:rPr>
          <w:w w:val="105"/>
          <w:sz w:val="24"/>
        </w:rPr>
        <w:t> cuanto</w:t>
      </w:r>
      <w:r>
        <w:rPr>
          <w:w w:val="105"/>
          <w:sz w:val="24"/>
        </w:rPr>
        <w:t> a</w:t>
      </w:r>
      <w:r>
        <w:rPr>
          <w:w w:val="105"/>
          <w:sz w:val="24"/>
        </w:rPr>
        <w:t> los</w:t>
      </w:r>
      <w:r>
        <w:rPr>
          <w:w w:val="105"/>
          <w:sz w:val="24"/>
        </w:rPr>
        <w:t> 3</w:t>
      </w:r>
      <w:r>
        <w:rPr>
          <w:w w:val="105"/>
          <w:sz w:val="24"/>
        </w:rPr>
        <w:t> indicadores</w:t>
      </w:r>
      <w:r>
        <w:rPr>
          <w:w w:val="105"/>
          <w:sz w:val="24"/>
        </w:rPr>
        <w:t> que</w:t>
      </w:r>
      <w:r>
        <w:rPr>
          <w:w w:val="105"/>
          <w:sz w:val="24"/>
        </w:rPr>
        <w:t> presentaron</w:t>
      </w:r>
      <w:r>
        <w:rPr>
          <w:w w:val="105"/>
          <w:sz w:val="24"/>
        </w:rPr>
        <w:t> dificultades</w:t>
      </w:r>
      <w:r>
        <w:rPr>
          <w:w w:val="105"/>
          <w:sz w:val="24"/>
        </w:rPr>
        <w:t> en</w:t>
      </w:r>
      <w:r>
        <w:rPr>
          <w:w w:val="105"/>
          <w:sz w:val="24"/>
        </w:rPr>
        <w:t> su medición (DIFF-MIMP</w:t>
      </w:r>
      <w:r>
        <w:rPr>
          <w:w w:val="105"/>
          <w:sz w:val="24"/>
        </w:rPr>
        <w:t> y</w:t>
      </w:r>
      <w:r>
        <w:rPr>
          <w:w w:val="105"/>
          <w:sz w:val="24"/>
        </w:rPr>
        <w:t> INEI) se</w:t>
      </w:r>
      <w:r>
        <w:rPr>
          <w:w w:val="105"/>
          <w:sz w:val="24"/>
        </w:rPr>
        <w:t> identificó</w:t>
      </w:r>
      <w:r>
        <w:rPr>
          <w:w w:val="105"/>
          <w:sz w:val="24"/>
        </w:rPr>
        <w:t> que</w:t>
      </w:r>
      <w:r>
        <w:rPr>
          <w:w w:val="105"/>
          <w:sz w:val="24"/>
        </w:rPr>
        <w:t> no</w:t>
      </w:r>
      <w:r>
        <w:rPr>
          <w:w w:val="105"/>
          <w:sz w:val="24"/>
        </w:rPr>
        <w:t> se</w:t>
      </w:r>
      <w:r>
        <w:rPr>
          <w:w w:val="105"/>
          <w:sz w:val="24"/>
        </w:rPr>
        <w:t> cuenta</w:t>
      </w:r>
      <w:r>
        <w:rPr>
          <w:w w:val="105"/>
          <w:sz w:val="24"/>
        </w:rPr>
        <w:t> con la información</w:t>
      </w:r>
      <w:r>
        <w:rPr>
          <w:spacing w:val="-15"/>
          <w:w w:val="105"/>
          <w:sz w:val="24"/>
        </w:rPr>
        <w:t> </w:t>
      </w:r>
      <w:r>
        <w:rPr>
          <w:w w:val="105"/>
          <w:sz w:val="24"/>
        </w:rPr>
        <w:t>necesaria</w:t>
      </w:r>
      <w:r>
        <w:rPr>
          <w:spacing w:val="-16"/>
          <w:w w:val="105"/>
          <w:sz w:val="24"/>
        </w:rPr>
        <w:t> </w:t>
      </w:r>
      <w:r>
        <w:rPr>
          <w:w w:val="105"/>
          <w:sz w:val="24"/>
        </w:rPr>
        <w:t>para</w:t>
      </w:r>
      <w:r>
        <w:rPr>
          <w:spacing w:val="-15"/>
          <w:w w:val="105"/>
          <w:sz w:val="24"/>
        </w:rPr>
        <w:t> </w:t>
      </w:r>
      <w:r>
        <w:rPr>
          <w:w w:val="105"/>
          <w:sz w:val="24"/>
        </w:rPr>
        <w:t>el</w:t>
      </w:r>
      <w:r>
        <w:rPr>
          <w:spacing w:val="-16"/>
          <w:w w:val="105"/>
          <w:sz w:val="24"/>
        </w:rPr>
        <w:t> </w:t>
      </w:r>
      <w:r>
        <w:rPr>
          <w:w w:val="105"/>
          <w:sz w:val="24"/>
        </w:rPr>
        <w:t>cálculo</w:t>
      </w:r>
      <w:r>
        <w:rPr>
          <w:spacing w:val="-16"/>
          <w:w w:val="105"/>
          <w:sz w:val="24"/>
        </w:rPr>
        <w:t> </w:t>
      </w:r>
      <w:r>
        <w:rPr>
          <w:w w:val="105"/>
          <w:sz w:val="24"/>
        </w:rPr>
        <w:t>del</w:t>
      </w:r>
      <w:r>
        <w:rPr>
          <w:spacing w:val="-16"/>
          <w:w w:val="105"/>
          <w:sz w:val="24"/>
        </w:rPr>
        <w:t> </w:t>
      </w:r>
      <w:r>
        <w:rPr>
          <w:w w:val="105"/>
          <w:sz w:val="24"/>
        </w:rPr>
        <w:t>indicador,</w:t>
      </w:r>
      <w:r>
        <w:rPr>
          <w:spacing w:val="-14"/>
          <w:w w:val="105"/>
          <w:sz w:val="24"/>
        </w:rPr>
        <w:t> </w:t>
      </w:r>
      <w:r>
        <w:rPr>
          <w:w w:val="105"/>
          <w:sz w:val="24"/>
        </w:rPr>
        <w:t>en</w:t>
      </w:r>
      <w:r>
        <w:rPr>
          <w:spacing w:val="-16"/>
          <w:w w:val="105"/>
          <w:sz w:val="24"/>
        </w:rPr>
        <w:t> </w:t>
      </w:r>
      <w:r>
        <w:rPr>
          <w:w w:val="105"/>
          <w:sz w:val="24"/>
        </w:rPr>
        <w:t>tanto</w:t>
      </w:r>
      <w:r>
        <w:rPr>
          <w:spacing w:val="-16"/>
          <w:w w:val="105"/>
          <w:sz w:val="24"/>
        </w:rPr>
        <w:t> </w:t>
      </w:r>
      <w:r>
        <w:rPr>
          <w:w w:val="105"/>
          <w:sz w:val="24"/>
        </w:rPr>
        <w:t>el</w:t>
      </w:r>
      <w:r>
        <w:rPr>
          <w:spacing w:val="-16"/>
          <w:w w:val="105"/>
          <w:sz w:val="24"/>
        </w:rPr>
        <w:t> </w:t>
      </w:r>
      <w:r>
        <w:rPr>
          <w:w w:val="105"/>
          <w:sz w:val="24"/>
        </w:rPr>
        <w:t>servicio no</w:t>
      </w:r>
      <w:r>
        <w:rPr>
          <w:spacing w:val="-18"/>
          <w:w w:val="105"/>
          <w:sz w:val="24"/>
        </w:rPr>
        <w:t> </w:t>
      </w:r>
      <w:r>
        <w:rPr>
          <w:w w:val="105"/>
          <w:sz w:val="24"/>
        </w:rPr>
        <w:t>se</w:t>
      </w:r>
      <w:r>
        <w:rPr>
          <w:spacing w:val="-17"/>
          <w:w w:val="105"/>
          <w:sz w:val="24"/>
        </w:rPr>
        <w:t> </w:t>
      </w:r>
      <w:r>
        <w:rPr>
          <w:w w:val="105"/>
          <w:sz w:val="24"/>
        </w:rPr>
        <w:t>viene</w:t>
      </w:r>
      <w:r>
        <w:rPr>
          <w:spacing w:val="-18"/>
          <w:w w:val="105"/>
          <w:sz w:val="24"/>
        </w:rPr>
        <w:t> </w:t>
      </w:r>
      <w:r>
        <w:rPr>
          <w:w w:val="105"/>
          <w:sz w:val="24"/>
        </w:rPr>
        <w:t>implementando</w:t>
      </w:r>
      <w:r>
        <w:rPr>
          <w:spacing w:val="-18"/>
          <w:w w:val="105"/>
          <w:sz w:val="24"/>
        </w:rPr>
        <w:t> </w:t>
      </w:r>
      <w:r>
        <w:rPr>
          <w:w w:val="105"/>
          <w:sz w:val="24"/>
        </w:rPr>
        <w:t>de</w:t>
      </w:r>
      <w:r>
        <w:rPr>
          <w:spacing w:val="-17"/>
          <w:w w:val="105"/>
          <w:sz w:val="24"/>
        </w:rPr>
        <w:t> </w:t>
      </w:r>
      <w:r>
        <w:rPr>
          <w:w w:val="105"/>
          <w:sz w:val="24"/>
        </w:rPr>
        <w:t>acuerdo</w:t>
      </w:r>
      <w:r>
        <w:rPr>
          <w:spacing w:val="-18"/>
          <w:w w:val="105"/>
          <w:sz w:val="24"/>
        </w:rPr>
        <w:t> </w:t>
      </w:r>
      <w:r>
        <w:rPr>
          <w:w w:val="105"/>
          <w:sz w:val="24"/>
        </w:rPr>
        <w:t>a</w:t>
      </w:r>
      <w:r>
        <w:rPr>
          <w:spacing w:val="-17"/>
          <w:w w:val="105"/>
          <w:sz w:val="24"/>
        </w:rPr>
        <w:t> </w:t>
      </w:r>
      <w:r>
        <w:rPr>
          <w:w w:val="105"/>
          <w:sz w:val="24"/>
        </w:rPr>
        <w:t>lo</w:t>
      </w:r>
      <w:r>
        <w:rPr>
          <w:spacing w:val="-18"/>
          <w:w w:val="105"/>
          <w:sz w:val="24"/>
        </w:rPr>
        <w:t> </w:t>
      </w:r>
      <w:r>
        <w:rPr>
          <w:w w:val="105"/>
          <w:sz w:val="24"/>
        </w:rPr>
        <w:t>establecido</w:t>
      </w:r>
      <w:r>
        <w:rPr>
          <w:spacing w:val="-17"/>
          <w:w w:val="105"/>
          <w:sz w:val="24"/>
        </w:rPr>
        <w:t> </w:t>
      </w:r>
      <w:r>
        <w:rPr>
          <w:w w:val="105"/>
          <w:sz w:val="24"/>
        </w:rPr>
        <w:t>en</w:t>
      </w:r>
      <w:r>
        <w:rPr>
          <w:spacing w:val="-18"/>
          <w:w w:val="105"/>
          <w:sz w:val="24"/>
        </w:rPr>
        <w:t> </w:t>
      </w:r>
      <w:r>
        <w:rPr>
          <w:w w:val="105"/>
          <w:sz w:val="24"/>
        </w:rPr>
        <w:t>el</w:t>
      </w:r>
      <w:r>
        <w:rPr>
          <w:spacing w:val="-17"/>
          <w:w w:val="105"/>
          <w:sz w:val="24"/>
        </w:rPr>
        <w:t> </w:t>
      </w:r>
      <w:r>
        <w:rPr>
          <w:w w:val="105"/>
          <w:sz w:val="24"/>
        </w:rPr>
        <w:t>protocolo de servicio.</w:t>
      </w:r>
    </w:p>
    <w:p>
      <w:pPr>
        <w:pStyle w:val="BodyText"/>
        <w:spacing w:line="307" w:lineRule="auto" w:before="152"/>
        <w:ind w:left="143" w:right="712"/>
        <w:jc w:val="both"/>
      </w:pPr>
      <w:r>
        <w:rPr/>
        <w:t>Por otro lado, del análisis de coherencia realizado al cumplimiento</w:t>
      </w:r>
      <w:r>
        <w:rPr>
          <w:spacing w:val="-1"/>
        </w:rPr>
        <w:t> </w:t>
      </w:r>
      <w:r>
        <w:rPr/>
        <w:t>de metas de los</w:t>
      </w:r>
      <w:r>
        <w:rPr>
          <w:spacing w:val="-9"/>
        </w:rPr>
        <w:t> </w:t>
      </w:r>
      <w:r>
        <w:rPr/>
        <w:t>indicadores</w:t>
      </w:r>
      <w:r>
        <w:rPr>
          <w:spacing w:val="-7"/>
        </w:rPr>
        <w:t> </w:t>
      </w:r>
      <w:r>
        <w:rPr/>
        <w:t>de</w:t>
      </w:r>
      <w:r>
        <w:rPr>
          <w:spacing w:val="-9"/>
        </w:rPr>
        <w:t> </w:t>
      </w:r>
      <w:r>
        <w:rPr/>
        <w:t>objetivos</w:t>
      </w:r>
      <w:r>
        <w:rPr>
          <w:spacing w:val="-7"/>
        </w:rPr>
        <w:t> </w:t>
      </w:r>
      <w:r>
        <w:rPr/>
        <w:t>prioritarios</w:t>
      </w:r>
      <w:r>
        <w:rPr>
          <w:spacing w:val="-7"/>
        </w:rPr>
        <w:t> </w:t>
      </w:r>
      <w:r>
        <w:rPr/>
        <w:t>y</w:t>
      </w:r>
      <w:r>
        <w:rPr>
          <w:spacing w:val="-7"/>
        </w:rPr>
        <w:t> </w:t>
      </w:r>
      <w:r>
        <w:rPr/>
        <w:t>los</w:t>
      </w:r>
      <w:r>
        <w:rPr>
          <w:spacing w:val="-9"/>
        </w:rPr>
        <w:t> </w:t>
      </w:r>
      <w:r>
        <w:rPr/>
        <w:t>indicadores</w:t>
      </w:r>
      <w:r>
        <w:rPr>
          <w:spacing w:val="-9"/>
        </w:rPr>
        <w:t> </w:t>
      </w:r>
      <w:r>
        <w:rPr/>
        <w:t>de</w:t>
      </w:r>
      <w:r>
        <w:rPr>
          <w:spacing w:val="-7"/>
        </w:rPr>
        <w:t> </w:t>
      </w:r>
      <w:r>
        <w:rPr/>
        <w:t>servicios</w:t>
      </w:r>
      <w:r>
        <w:rPr>
          <w:spacing w:val="-7"/>
        </w:rPr>
        <w:t> </w:t>
      </w:r>
      <w:r>
        <w:rPr/>
        <w:t>asociados,</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0"/>
        <w:jc w:val="both"/>
      </w:pPr>
      <w:r>
        <w:rPr/>
        <w:t>se observa que solo el OP5 tiene una relación directa entre sus indicadores de objetivo</w:t>
      </w:r>
      <w:r>
        <w:rPr>
          <w:spacing w:val="-6"/>
        </w:rPr>
        <w:t> </w:t>
      </w:r>
      <w:r>
        <w:rPr/>
        <w:t>prioritario</w:t>
      </w:r>
      <w:r>
        <w:rPr>
          <w:spacing w:val="-6"/>
        </w:rPr>
        <w:t> </w:t>
      </w:r>
      <w:r>
        <w:rPr/>
        <w:t>y</w:t>
      </w:r>
      <w:r>
        <w:rPr>
          <w:spacing w:val="-7"/>
        </w:rPr>
        <w:t> </w:t>
      </w:r>
      <w:r>
        <w:rPr/>
        <w:t>de</w:t>
      </w:r>
      <w:r>
        <w:rPr>
          <w:spacing w:val="-7"/>
        </w:rPr>
        <w:t> </w:t>
      </w:r>
      <w:r>
        <w:rPr/>
        <w:t>servicios</w:t>
      </w:r>
      <w:r>
        <w:rPr>
          <w:spacing w:val="-6"/>
        </w:rPr>
        <w:t> </w:t>
      </w:r>
      <w:r>
        <w:rPr/>
        <w:t>y</w:t>
      </w:r>
      <w:r>
        <w:rPr>
          <w:spacing w:val="-7"/>
        </w:rPr>
        <w:t> </w:t>
      </w:r>
      <w:r>
        <w:rPr/>
        <w:t>el</w:t>
      </w:r>
      <w:r>
        <w:rPr>
          <w:spacing w:val="-6"/>
        </w:rPr>
        <w:t> </w:t>
      </w:r>
      <w:r>
        <w:rPr/>
        <w:t>OP1,</w:t>
      </w:r>
      <w:r>
        <w:rPr>
          <w:spacing w:val="-6"/>
        </w:rPr>
        <w:t> </w:t>
      </w:r>
      <w:r>
        <w:rPr/>
        <w:t>OP3,</w:t>
      </w:r>
      <w:r>
        <w:rPr>
          <w:spacing w:val="-6"/>
        </w:rPr>
        <w:t> </w:t>
      </w:r>
      <w:r>
        <w:rPr/>
        <w:t>OP4</w:t>
      </w:r>
      <w:r>
        <w:rPr>
          <w:spacing w:val="-7"/>
        </w:rPr>
        <w:t> </w:t>
      </w:r>
      <w:r>
        <w:rPr/>
        <w:t>no</w:t>
      </w:r>
      <w:r>
        <w:rPr>
          <w:spacing w:val="-6"/>
        </w:rPr>
        <w:t> </w:t>
      </w:r>
      <w:r>
        <w:rPr/>
        <w:t>evidencian</w:t>
      </w:r>
      <w:r>
        <w:rPr>
          <w:spacing w:val="-10"/>
        </w:rPr>
        <w:t> </w:t>
      </w:r>
      <w:r>
        <w:rPr/>
        <w:t>una</w:t>
      </w:r>
      <w:r>
        <w:rPr>
          <w:spacing w:val="-7"/>
        </w:rPr>
        <w:t> </w:t>
      </w:r>
      <w:r>
        <w:rPr/>
        <w:t>relación positiva entre los indicadores de servicios y los indicadores de objetivo prioritarios por lo que es necesario revisar la cadena causal que conecta las acciones</w:t>
      </w:r>
      <w:r>
        <w:rPr>
          <w:spacing w:val="-1"/>
        </w:rPr>
        <w:t> </w:t>
      </w:r>
      <w:r>
        <w:rPr/>
        <w:t>realizadas en los</w:t>
      </w:r>
      <w:r>
        <w:rPr>
          <w:spacing w:val="-1"/>
        </w:rPr>
        <w:t> </w:t>
      </w:r>
      <w:r>
        <w:rPr/>
        <w:t>servicios</w:t>
      </w:r>
      <w:r>
        <w:rPr>
          <w:spacing w:val="-1"/>
        </w:rPr>
        <w:t> </w:t>
      </w:r>
      <w:r>
        <w:rPr/>
        <w:t>y su</w:t>
      </w:r>
      <w:r>
        <w:rPr>
          <w:spacing w:val="-2"/>
        </w:rPr>
        <w:t> </w:t>
      </w:r>
      <w:r>
        <w:rPr/>
        <w:t>aporte en</w:t>
      </w:r>
      <w:r>
        <w:rPr>
          <w:spacing w:val="-2"/>
        </w:rPr>
        <w:t> </w:t>
      </w:r>
      <w:r>
        <w:rPr/>
        <w:t>la</w:t>
      </w:r>
      <w:r>
        <w:rPr>
          <w:spacing w:val="-2"/>
        </w:rPr>
        <w:t> </w:t>
      </w:r>
      <w:r>
        <w:rPr/>
        <w:t>obtención</w:t>
      </w:r>
      <w:r>
        <w:rPr>
          <w:spacing w:val="-2"/>
        </w:rPr>
        <w:t> </w:t>
      </w:r>
      <w:r>
        <w:rPr/>
        <w:t>de</w:t>
      </w:r>
      <w:r>
        <w:rPr>
          <w:spacing w:val="-2"/>
        </w:rPr>
        <w:t> </w:t>
      </w:r>
      <w:r>
        <w:rPr/>
        <w:t>resultados</w:t>
      </w:r>
      <w:r>
        <w:rPr>
          <w:spacing w:val="-1"/>
        </w:rPr>
        <w:t> </w:t>
      </w:r>
      <w:r>
        <w:rPr/>
        <w:t>a nivel del objetivo prioritario.</w:t>
      </w:r>
    </w:p>
    <w:p>
      <w:pPr>
        <w:pStyle w:val="BodyText"/>
        <w:spacing w:line="307" w:lineRule="auto" w:before="156"/>
        <w:ind w:left="143" w:right="705"/>
        <w:jc w:val="both"/>
      </w:pPr>
      <w:r>
        <w:rPr/>
        <w:t>Asimismo,</w:t>
      </w:r>
      <w:r>
        <w:rPr>
          <w:spacing w:val="-13"/>
        </w:rPr>
        <w:t> </w:t>
      </w:r>
      <w:r>
        <w:rPr/>
        <w:t>la</w:t>
      </w:r>
      <w:r>
        <w:rPr>
          <w:spacing w:val="-13"/>
        </w:rPr>
        <w:t> </w:t>
      </w:r>
      <w:r>
        <w:rPr/>
        <w:t>Resolución</w:t>
      </w:r>
      <w:r>
        <w:rPr>
          <w:spacing w:val="-14"/>
        </w:rPr>
        <w:t> </w:t>
      </w:r>
      <w:r>
        <w:rPr/>
        <w:t>Ministerial</w:t>
      </w:r>
      <w:r>
        <w:rPr>
          <w:spacing w:val="-13"/>
        </w:rPr>
        <w:t> </w:t>
      </w:r>
      <w:r>
        <w:rPr/>
        <w:t>N°116-221-</w:t>
      </w:r>
      <w:r>
        <w:rPr>
          <w:spacing w:val="-14"/>
        </w:rPr>
        <w:t> </w:t>
      </w:r>
      <w:r>
        <w:rPr/>
        <w:t>MIMP</w:t>
      </w:r>
      <w:r>
        <w:rPr>
          <w:spacing w:val="-13"/>
        </w:rPr>
        <w:t> </w:t>
      </w:r>
      <w:r>
        <w:rPr/>
        <w:t>establece</w:t>
      </w:r>
      <w:r>
        <w:rPr>
          <w:spacing w:val="-14"/>
        </w:rPr>
        <w:t> </w:t>
      </w:r>
      <w:r>
        <w:rPr/>
        <w:t>la</w:t>
      </w:r>
      <w:r>
        <w:rPr>
          <w:spacing w:val="-14"/>
        </w:rPr>
        <w:t> </w:t>
      </w:r>
      <w:r>
        <w:rPr/>
        <w:t>necesidad</w:t>
      </w:r>
      <w:r>
        <w:rPr>
          <w:spacing w:val="-15"/>
        </w:rPr>
        <w:t> </w:t>
      </w:r>
      <w:r>
        <w:rPr/>
        <w:t>de contar con la aprobación del protocolo de servicio para el desarrollo de dichos indicadores. Sin embargo, este proceso aún se encuentra en curso y, considerando el tiempo que tomó aprobar los protocolos de los 20 servicios</w:t>
      </w:r>
      <w:r>
        <w:rPr>
          <w:spacing w:val="80"/>
        </w:rPr>
        <w:t> </w:t>
      </w:r>
      <w:r>
        <w:rPr/>
        <w:t>que ya cuentan con ellos, así como la aprobación pendiente de 32 protocolos adicionales, es altamente probable, de mantenerse la tendencia, que no se concluya antes del 2030, año en que finaliza la implementación de la política. Esta metodología de formulación de indicadores no solo dificultaría el seguimiento integral de la política, sino que también comprometería la capacidad de medir de manera adecuada</w:t>
      </w:r>
      <w:r>
        <w:rPr>
          <w:spacing w:val="-1"/>
        </w:rPr>
        <w:t> </w:t>
      </w:r>
      <w:r>
        <w:rPr/>
        <w:t>los resultados alcanzados</w:t>
      </w:r>
      <w:r>
        <w:rPr>
          <w:spacing w:val="-2"/>
        </w:rPr>
        <w:t> </w:t>
      </w:r>
      <w:r>
        <w:rPr/>
        <w:t>durante su </w:t>
      </w:r>
      <w:r>
        <w:rPr>
          <w:spacing w:val="-2"/>
        </w:rPr>
        <w:t>implementación.</w:t>
      </w:r>
    </w:p>
    <w:p>
      <w:pPr>
        <w:pStyle w:val="BodyText"/>
        <w:spacing w:line="307" w:lineRule="auto" w:before="154"/>
        <w:ind w:left="143" w:right="712"/>
        <w:jc w:val="both"/>
      </w:pPr>
      <w:r>
        <w:rPr/>
        <w:t>Por</w:t>
      </w:r>
      <w:r>
        <w:rPr>
          <w:spacing w:val="-1"/>
        </w:rPr>
        <w:t> </w:t>
      </w:r>
      <w:r>
        <w:rPr/>
        <w:t>otro</w:t>
      </w:r>
      <w:r>
        <w:rPr>
          <w:spacing w:val="-2"/>
        </w:rPr>
        <w:t> </w:t>
      </w:r>
      <w:r>
        <w:rPr/>
        <w:t>lado, la</w:t>
      </w:r>
      <w:r>
        <w:rPr>
          <w:spacing w:val="-3"/>
        </w:rPr>
        <w:t> </w:t>
      </w:r>
      <w:r>
        <w:rPr/>
        <w:t>presente</w:t>
      </w:r>
      <w:r>
        <w:rPr>
          <w:spacing w:val="-1"/>
        </w:rPr>
        <w:t> </w:t>
      </w:r>
      <w:r>
        <w:rPr/>
        <w:t>evaluación</w:t>
      </w:r>
      <w:r>
        <w:rPr>
          <w:spacing w:val="-3"/>
        </w:rPr>
        <w:t> </w:t>
      </w:r>
      <w:r>
        <w:rPr/>
        <w:t>también</w:t>
      </w:r>
      <w:r>
        <w:rPr>
          <w:spacing w:val="-1"/>
        </w:rPr>
        <w:t> </w:t>
      </w:r>
      <w:r>
        <w:rPr/>
        <w:t>incorpora</w:t>
      </w:r>
      <w:r>
        <w:rPr>
          <w:spacing w:val="-3"/>
        </w:rPr>
        <w:t> </w:t>
      </w:r>
      <w:r>
        <w:rPr/>
        <w:t>la</w:t>
      </w:r>
      <w:r>
        <w:rPr>
          <w:spacing w:val="-1"/>
        </w:rPr>
        <w:t> </w:t>
      </w:r>
      <w:r>
        <w:rPr/>
        <w:t>evaluación</w:t>
      </w:r>
      <w:r>
        <w:rPr>
          <w:spacing w:val="-1"/>
        </w:rPr>
        <w:t> </w:t>
      </w:r>
      <w:r>
        <w:rPr/>
        <w:t>de</w:t>
      </w:r>
      <w:r>
        <w:rPr>
          <w:spacing w:val="-1"/>
        </w:rPr>
        <w:t> </w:t>
      </w:r>
      <w:r>
        <w:rPr/>
        <w:t>diseño e implementación a la PNIG realizado por CEPLAN, de la cual se concluye lo </w:t>
      </w:r>
      <w:r>
        <w:rPr>
          <w:spacing w:val="-2"/>
        </w:rPr>
        <w:t>siguiente:</w:t>
      </w:r>
    </w:p>
    <w:p>
      <w:pPr>
        <w:pStyle w:val="ListParagraph"/>
        <w:numPr>
          <w:ilvl w:val="0"/>
          <w:numId w:val="22"/>
        </w:numPr>
        <w:tabs>
          <w:tab w:pos="862" w:val="left" w:leader="none"/>
        </w:tabs>
        <w:spacing w:line="307" w:lineRule="auto" w:before="143" w:after="0"/>
        <w:ind w:left="862" w:right="705" w:hanging="360"/>
        <w:jc w:val="both"/>
        <w:rPr>
          <w:sz w:val="24"/>
        </w:rPr>
      </w:pPr>
      <w:r>
        <w:rPr>
          <w:spacing w:val="-2"/>
          <w:sz w:val="24"/>
        </w:rPr>
        <w:t>El</w:t>
      </w:r>
      <w:r>
        <w:rPr>
          <w:spacing w:val="-15"/>
          <w:sz w:val="24"/>
        </w:rPr>
        <w:t> </w:t>
      </w:r>
      <w:r>
        <w:rPr>
          <w:spacing w:val="-2"/>
          <w:sz w:val="24"/>
        </w:rPr>
        <w:t>OP1</w:t>
      </w:r>
      <w:r>
        <w:rPr>
          <w:spacing w:val="-15"/>
          <w:sz w:val="24"/>
        </w:rPr>
        <w:t> </w:t>
      </w:r>
      <w:r>
        <w:rPr>
          <w:spacing w:val="-2"/>
          <w:sz w:val="24"/>
        </w:rPr>
        <w:t>“Reducir</w:t>
      </w:r>
      <w:r>
        <w:rPr>
          <w:spacing w:val="-14"/>
          <w:sz w:val="24"/>
        </w:rPr>
        <w:t> </w:t>
      </w:r>
      <w:r>
        <w:rPr>
          <w:spacing w:val="-2"/>
          <w:sz w:val="24"/>
        </w:rPr>
        <w:t>la</w:t>
      </w:r>
      <w:r>
        <w:rPr>
          <w:spacing w:val="-15"/>
          <w:sz w:val="24"/>
        </w:rPr>
        <w:t> </w:t>
      </w:r>
      <w:r>
        <w:rPr>
          <w:spacing w:val="-2"/>
          <w:sz w:val="24"/>
        </w:rPr>
        <w:t>violencia</w:t>
      </w:r>
      <w:r>
        <w:rPr>
          <w:spacing w:val="-13"/>
          <w:sz w:val="24"/>
        </w:rPr>
        <w:t> </w:t>
      </w:r>
      <w:r>
        <w:rPr>
          <w:spacing w:val="-2"/>
          <w:sz w:val="24"/>
        </w:rPr>
        <w:t>hacia</w:t>
      </w:r>
      <w:r>
        <w:rPr>
          <w:spacing w:val="-15"/>
          <w:sz w:val="24"/>
        </w:rPr>
        <w:t> </w:t>
      </w:r>
      <w:r>
        <w:rPr>
          <w:spacing w:val="-2"/>
          <w:sz w:val="24"/>
        </w:rPr>
        <w:t>las</w:t>
      </w:r>
      <w:r>
        <w:rPr>
          <w:spacing w:val="-15"/>
          <w:sz w:val="24"/>
        </w:rPr>
        <w:t> </w:t>
      </w:r>
      <w:r>
        <w:rPr>
          <w:spacing w:val="-2"/>
          <w:sz w:val="24"/>
        </w:rPr>
        <w:t>mujeres”</w:t>
      </w:r>
      <w:r>
        <w:rPr>
          <w:spacing w:val="-14"/>
          <w:sz w:val="24"/>
        </w:rPr>
        <w:t> </w:t>
      </w:r>
      <w:r>
        <w:rPr>
          <w:spacing w:val="-2"/>
          <w:sz w:val="24"/>
        </w:rPr>
        <w:t>de</w:t>
      </w:r>
      <w:r>
        <w:rPr>
          <w:spacing w:val="-13"/>
          <w:sz w:val="24"/>
        </w:rPr>
        <w:t> </w:t>
      </w:r>
      <w:r>
        <w:rPr>
          <w:spacing w:val="-2"/>
          <w:sz w:val="24"/>
        </w:rPr>
        <w:t>la</w:t>
      </w:r>
      <w:r>
        <w:rPr>
          <w:spacing w:val="-15"/>
          <w:sz w:val="24"/>
        </w:rPr>
        <w:t> </w:t>
      </w:r>
      <w:r>
        <w:rPr>
          <w:spacing w:val="-2"/>
          <w:sz w:val="24"/>
        </w:rPr>
        <w:t>PNIG</w:t>
      </w:r>
      <w:r>
        <w:rPr>
          <w:spacing w:val="-8"/>
          <w:sz w:val="24"/>
        </w:rPr>
        <w:t> </w:t>
      </w:r>
      <w:r>
        <w:rPr>
          <w:spacing w:val="-2"/>
          <w:sz w:val="24"/>
        </w:rPr>
        <w:t>requiere</w:t>
      </w:r>
      <w:r>
        <w:rPr>
          <w:spacing w:val="-15"/>
          <w:sz w:val="24"/>
        </w:rPr>
        <w:t> </w:t>
      </w:r>
      <w:r>
        <w:rPr>
          <w:spacing w:val="-2"/>
          <w:sz w:val="24"/>
        </w:rPr>
        <w:t>ampliar </w:t>
      </w:r>
      <w:r>
        <w:rPr>
          <w:sz w:val="24"/>
        </w:rPr>
        <w:t>el diagnóstico de la problemática para incluir violencias emergentes, como aquellas que ocurren en entornos digitales, así como aquellas dirigidas a grupos vulnerables que no están visibilizados de manera suficiente, como la población LGTBQ+. Asimismo, se señala la importancia de incorporar en las alternativas de prevención de la violencia el trabajo con las masculinidades, un enfoque clave para abordar de manera integral las causas de la violencia.</w:t>
      </w:r>
    </w:p>
    <w:p>
      <w:pPr>
        <w:pStyle w:val="ListParagraph"/>
        <w:numPr>
          <w:ilvl w:val="0"/>
          <w:numId w:val="22"/>
        </w:numPr>
        <w:tabs>
          <w:tab w:pos="861" w:val="left" w:leader="none"/>
        </w:tabs>
        <w:spacing w:line="265" w:lineRule="exact" w:before="0" w:after="0"/>
        <w:ind w:left="861" w:right="0" w:hanging="359"/>
        <w:jc w:val="both"/>
        <w:rPr>
          <w:sz w:val="24"/>
        </w:rPr>
      </w:pPr>
      <w:r>
        <w:rPr>
          <w:sz w:val="24"/>
        </w:rPr>
        <w:t>Los</w:t>
      </w:r>
      <w:r>
        <w:rPr>
          <w:spacing w:val="74"/>
          <w:sz w:val="24"/>
        </w:rPr>
        <w:t> </w:t>
      </w:r>
      <w:r>
        <w:rPr>
          <w:sz w:val="24"/>
        </w:rPr>
        <w:t>servicios</w:t>
      </w:r>
      <w:r>
        <w:rPr>
          <w:spacing w:val="72"/>
          <w:sz w:val="24"/>
        </w:rPr>
        <w:t> </w:t>
      </w:r>
      <w:r>
        <w:rPr>
          <w:sz w:val="24"/>
        </w:rPr>
        <w:t>de</w:t>
      </w:r>
      <w:r>
        <w:rPr>
          <w:spacing w:val="74"/>
          <w:sz w:val="24"/>
        </w:rPr>
        <w:t> </w:t>
      </w:r>
      <w:r>
        <w:rPr>
          <w:sz w:val="24"/>
        </w:rPr>
        <w:t>la</w:t>
      </w:r>
      <w:r>
        <w:rPr>
          <w:spacing w:val="71"/>
          <w:sz w:val="24"/>
        </w:rPr>
        <w:t> </w:t>
      </w:r>
      <w:r>
        <w:rPr>
          <w:sz w:val="24"/>
        </w:rPr>
        <w:t>OP1</w:t>
      </w:r>
      <w:r>
        <w:rPr>
          <w:spacing w:val="74"/>
          <w:sz w:val="24"/>
        </w:rPr>
        <w:t> </w:t>
      </w:r>
      <w:r>
        <w:rPr>
          <w:sz w:val="24"/>
        </w:rPr>
        <w:t>tienen</w:t>
      </w:r>
      <w:r>
        <w:rPr>
          <w:spacing w:val="75"/>
          <w:sz w:val="24"/>
        </w:rPr>
        <w:t> </w:t>
      </w:r>
      <w:r>
        <w:rPr>
          <w:sz w:val="24"/>
        </w:rPr>
        <w:t>deficiencias</w:t>
      </w:r>
      <w:r>
        <w:rPr>
          <w:spacing w:val="74"/>
          <w:sz w:val="24"/>
        </w:rPr>
        <w:t> </w:t>
      </w:r>
      <w:r>
        <w:rPr>
          <w:sz w:val="24"/>
        </w:rPr>
        <w:t>claves</w:t>
      </w:r>
      <w:r>
        <w:rPr>
          <w:spacing w:val="75"/>
          <w:sz w:val="24"/>
        </w:rPr>
        <w:t> </w:t>
      </w:r>
      <w:r>
        <w:rPr>
          <w:sz w:val="24"/>
        </w:rPr>
        <w:t>en</w:t>
      </w:r>
      <w:r>
        <w:rPr>
          <w:spacing w:val="72"/>
          <w:sz w:val="24"/>
        </w:rPr>
        <w:t> </w:t>
      </w:r>
      <w:r>
        <w:rPr>
          <w:sz w:val="24"/>
        </w:rPr>
        <w:t>su</w:t>
      </w:r>
      <w:r>
        <w:rPr>
          <w:spacing w:val="71"/>
          <w:sz w:val="24"/>
        </w:rPr>
        <w:t> </w:t>
      </w:r>
      <w:r>
        <w:rPr>
          <w:sz w:val="24"/>
        </w:rPr>
        <w:t>diseño</w:t>
      </w:r>
      <w:r>
        <w:rPr>
          <w:spacing w:val="72"/>
          <w:sz w:val="24"/>
        </w:rPr>
        <w:t> </w:t>
      </w:r>
      <w:r>
        <w:rPr>
          <w:spacing w:val="-10"/>
          <w:sz w:val="24"/>
        </w:rPr>
        <w:t>y</w:t>
      </w:r>
    </w:p>
    <w:p>
      <w:pPr>
        <w:pStyle w:val="BodyText"/>
        <w:spacing w:line="307" w:lineRule="auto" w:before="75"/>
        <w:ind w:left="862" w:right="710"/>
        <w:jc w:val="both"/>
      </w:pPr>
      <w:r>
        <w:rPr/>
        <w:t>ejecución. Varios servicios no cuentan con protocolos aprobados, lo que impide</w:t>
      </w:r>
      <w:r>
        <w:rPr>
          <w:spacing w:val="-7"/>
        </w:rPr>
        <w:t> </w:t>
      </w:r>
      <w:r>
        <w:rPr/>
        <w:t>su</w:t>
      </w:r>
      <w:r>
        <w:rPr>
          <w:spacing w:val="-7"/>
        </w:rPr>
        <w:t> </w:t>
      </w:r>
      <w:r>
        <w:rPr/>
        <w:t>seguimiento</w:t>
      </w:r>
      <w:r>
        <w:rPr>
          <w:spacing w:val="-8"/>
        </w:rPr>
        <w:t> </w:t>
      </w:r>
      <w:r>
        <w:rPr/>
        <w:t>adecuado.</w:t>
      </w:r>
      <w:r>
        <w:rPr>
          <w:spacing w:val="-6"/>
        </w:rPr>
        <w:t> </w:t>
      </w:r>
      <w:r>
        <w:rPr/>
        <w:t>Aunque</w:t>
      </w:r>
      <w:r>
        <w:rPr>
          <w:spacing w:val="-10"/>
        </w:rPr>
        <w:t> </w:t>
      </w:r>
      <w:r>
        <w:rPr/>
        <w:t>la</w:t>
      </w:r>
      <w:r>
        <w:rPr>
          <w:spacing w:val="-10"/>
        </w:rPr>
        <w:t> </w:t>
      </w:r>
      <w:r>
        <w:rPr/>
        <w:t>mayoría</w:t>
      </w:r>
      <w:r>
        <w:rPr>
          <w:spacing w:val="-7"/>
        </w:rPr>
        <w:t> </w:t>
      </w:r>
      <w:r>
        <w:rPr/>
        <w:t>de</w:t>
      </w:r>
      <w:r>
        <w:rPr>
          <w:spacing w:val="-7"/>
        </w:rPr>
        <w:t> </w:t>
      </w:r>
      <w:r>
        <w:rPr/>
        <w:t>los</w:t>
      </w:r>
      <w:r>
        <w:rPr>
          <w:spacing w:val="-6"/>
        </w:rPr>
        <w:t> </w:t>
      </w:r>
      <w:r>
        <w:rPr/>
        <w:t>servicios</w:t>
      </w:r>
      <w:r>
        <w:rPr>
          <w:spacing w:val="-6"/>
        </w:rPr>
        <w:t> </w:t>
      </w:r>
      <w:r>
        <w:rPr/>
        <w:t>son coherentes y pertinentes, los indicadores no son suficientemente ambiciosos ni capturan información clave.</w:t>
      </w:r>
    </w:p>
    <w:p>
      <w:pPr>
        <w:pStyle w:val="ListParagraph"/>
        <w:numPr>
          <w:ilvl w:val="0"/>
          <w:numId w:val="22"/>
        </w:numPr>
        <w:tabs>
          <w:tab w:pos="861" w:val="left" w:leader="none"/>
        </w:tabs>
        <w:spacing w:line="277" w:lineRule="exact" w:before="0" w:after="0"/>
        <w:ind w:left="861" w:right="0" w:hanging="359"/>
        <w:jc w:val="both"/>
        <w:rPr>
          <w:sz w:val="24"/>
        </w:rPr>
      </w:pPr>
      <w:r>
        <w:rPr>
          <w:sz w:val="24"/>
        </w:rPr>
        <w:t>Tanto</w:t>
      </w:r>
      <w:r>
        <w:rPr>
          <w:spacing w:val="34"/>
          <w:sz w:val="24"/>
        </w:rPr>
        <w:t> </w:t>
      </w:r>
      <w:r>
        <w:rPr>
          <w:sz w:val="24"/>
        </w:rPr>
        <w:t>los</w:t>
      </w:r>
      <w:r>
        <w:rPr>
          <w:spacing w:val="35"/>
          <w:sz w:val="24"/>
        </w:rPr>
        <w:t> </w:t>
      </w:r>
      <w:r>
        <w:rPr>
          <w:sz w:val="24"/>
        </w:rPr>
        <w:t>servicios</w:t>
      </w:r>
      <w:r>
        <w:rPr>
          <w:spacing w:val="34"/>
          <w:sz w:val="24"/>
        </w:rPr>
        <w:t> </w:t>
      </w:r>
      <w:r>
        <w:rPr>
          <w:sz w:val="24"/>
        </w:rPr>
        <w:t>de</w:t>
      </w:r>
      <w:r>
        <w:rPr>
          <w:spacing w:val="31"/>
          <w:sz w:val="24"/>
        </w:rPr>
        <w:t> </w:t>
      </w:r>
      <w:r>
        <w:rPr>
          <w:sz w:val="24"/>
        </w:rPr>
        <w:t>atención</w:t>
      </w:r>
      <w:r>
        <w:rPr>
          <w:spacing w:val="34"/>
          <w:sz w:val="24"/>
        </w:rPr>
        <w:t> </w:t>
      </w:r>
      <w:r>
        <w:rPr>
          <w:sz w:val="24"/>
        </w:rPr>
        <w:t>como</w:t>
      </w:r>
      <w:r>
        <w:rPr>
          <w:spacing w:val="34"/>
          <w:sz w:val="24"/>
        </w:rPr>
        <w:t> </w:t>
      </w:r>
      <w:r>
        <w:rPr>
          <w:sz w:val="24"/>
        </w:rPr>
        <w:t>los</w:t>
      </w:r>
      <w:r>
        <w:rPr>
          <w:spacing w:val="35"/>
          <w:sz w:val="24"/>
        </w:rPr>
        <w:t> </w:t>
      </w:r>
      <w:r>
        <w:rPr>
          <w:sz w:val="24"/>
        </w:rPr>
        <w:t>de</w:t>
      </w:r>
      <w:r>
        <w:rPr>
          <w:spacing w:val="33"/>
          <w:sz w:val="24"/>
        </w:rPr>
        <w:t> </w:t>
      </w:r>
      <w:r>
        <w:rPr>
          <w:sz w:val="24"/>
        </w:rPr>
        <w:t>prevención</w:t>
      </w:r>
      <w:r>
        <w:rPr>
          <w:spacing w:val="34"/>
          <w:sz w:val="24"/>
        </w:rPr>
        <w:t> </w:t>
      </w:r>
      <w:r>
        <w:rPr>
          <w:sz w:val="24"/>
        </w:rPr>
        <w:t>requieren</w:t>
      </w:r>
      <w:r>
        <w:rPr>
          <w:spacing w:val="33"/>
          <w:sz w:val="24"/>
        </w:rPr>
        <w:t> </w:t>
      </w:r>
      <w:r>
        <w:rPr>
          <w:spacing w:val="-5"/>
          <w:sz w:val="24"/>
        </w:rPr>
        <w:t>ser</w:t>
      </w:r>
    </w:p>
    <w:p>
      <w:pPr>
        <w:pStyle w:val="BodyText"/>
        <w:spacing w:line="307" w:lineRule="auto" w:before="75"/>
        <w:ind w:left="862" w:right="707"/>
        <w:jc w:val="both"/>
      </w:pPr>
      <w:r>
        <w:rPr/>
        <w:t>rediseñados para mejorar su efectividad y contribuir de manera más adecuada a la política, especialmente en cuanto a cobertura, calidad y alineación con los objetivos prioritarios.</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143" w:right="712"/>
        <w:jc w:val="both"/>
      </w:pPr>
      <w:r>
        <w:rPr/>
        <w:t>En conclusión, se identifican aspectos del diseño de la política que deben ser revisados</w:t>
      </w:r>
      <w:r>
        <w:rPr>
          <w:spacing w:val="-2"/>
        </w:rPr>
        <w:t> </w:t>
      </w:r>
      <w:r>
        <w:rPr/>
        <w:t>y</w:t>
      </w:r>
      <w:r>
        <w:rPr>
          <w:spacing w:val="-1"/>
        </w:rPr>
        <w:t> </w:t>
      </w:r>
      <w:r>
        <w:rPr/>
        <w:t>ajustados,</w:t>
      </w:r>
      <w:r>
        <w:rPr>
          <w:spacing w:val="-2"/>
        </w:rPr>
        <w:t> </w:t>
      </w:r>
      <w:r>
        <w:rPr/>
        <w:t>tales</w:t>
      </w:r>
      <w:r>
        <w:rPr>
          <w:spacing w:val="-2"/>
        </w:rPr>
        <w:t> </w:t>
      </w:r>
      <w:r>
        <w:rPr/>
        <w:t>como: i)</w:t>
      </w:r>
      <w:r>
        <w:rPr>
          <w:spacing w:val="-4"/>
        </w:rPr>
        <w:t> </w:t>
      </w:r>
      <w:r>
        <w:rPr/>
        <w:t>la</w:t>
      </w:r>
      <w:r>
        <w:rPr>
          <w:spacing w:val="-3"/>
        </w:rPr>
        <w:t> </w:t>
      </w:r>
      <w:r>
        <w:rPr/>
        <w:t>identificación</w:t>
      </w:r>
      <w:r>
        <w:rPr>
          <w:spacing w:val="-3"/>
        </w:rPr>
        <w:t> </w:t>
      </w:r>
      <w:r>
        <w:rPr/>
        <w:t>de</w:t>
      </w:r>
      <w:r>
        <w:rPr>
          <w:spacing w:val="-3"/>
        </w:rPr>
        <w:t> </w:t>
      </w:r>
      <w:r>
        <w:rPr/>
        <w:t>las</w:t>
      </w:r>
      <w:r>
        <w:rPr>
          <w:spacing w:val="-2"/>
        </w:rPr>
        <w:t> </w:t>
      </w:r>
      <w:r>
        <w:rPr/>
        <w:t>características de</w:t>
      </w:r>
      <w:r>
        <w:rPr>
          <w:spacing w:val="-3"/>
        </w:rPr>
        <w:t> </w:t>
      </w:r>
      <w:r>
        <w:rPr/>
        <w:t>la población objetivo, ii) el diseño de los servicios que faciliten el logro de los objetivos, iii)</w:t>
      </w:r>
      <w:r>
        <w:rPr>
          <w:spacing w:val="-2"/>
        </w:rPr>
        <w:t> </w:t>
      </w:r>
      <w:r>
        <w:rPr/>
        <w:t>las</w:t>
      </w:r>
      <w:r>
        <w:rPr>
          <w:spacing w:val="-1"/>
        </w:rPr>
        <w:t> </w:t>
      </w:r>
      <w:r>
        <w:rPr/>
        <w:t>características</w:t>
      </w:r>
      <w:r>
        <w:rPr>
          <w:spacing w:val="-1"/>
        </w:rPr>
        <w:t> </w:t>
      </w:r>
      <w:r>
        <w:rPr/>
        <w:t>de</w:t>
      </w:r>
      <w:r>
        <w:rPr>
          <w:spacing w:val="-1"/>
        </w:rPr>
        <w:t> </w:t>
      </w:r>
      <w:r>
        <w:rPr/>
        <w:t>los</w:t>
      </w:r>
      <w:r>
        <w:rPr>
          <w:spacing w:val="-1"/>
        </w:rPr>
        <w:t> </w:t>
      </w:r>
      <w:r>
        <w:rPr/>
        <w:t>indicadores que</w:t>
      </w:r>
      <w:r>
        <w:rPr>
          <w:spacing w:val="-1"/>
        </w:rPr>
        <w:t> </w:t>
      </w:r>
      <w:r>
        <w:rPr/>
        <w:t>permitan</w:t>
      </w:r>
      <w:r>
        <w:rPr>
          <w:spacing w:val="-2"/>
        </w:rPr>
        <w:t> </w:t>
      </w:r>
      <w:r>
        <w:rPr/>
        <w:t>un</w:t>
      </w:r>
      <w:r>
        <w:rPr>
          <w:spacing w:val="-2"/>
        </w:rPr>
        <w:t> </w:t>
      </w:r>
      <w:r>
        <w:rPr/>
        <w:t>seguimiento efectivo</w:t>
      </w:r>
      <w:r>
        <w:rPr>
          <w:spacing w:val="-10"/>
        </w:rPr>
        <w:t> </w:t>
      </w:r>
      <w:r>
        <w:rPr/>
        <w:t>de</w:t>
      </w:r>
      <w:r>
        <w:rPr>
          <w:spacing w:val="-9"/>
        </w:rPr>
        <w:t> </w:t>
      </w:r>
      <w:r>
        <w:rPr/>
        <w:t>la</w:t>
      </w:r>
      <w:r>
        <w:rPr>
          <w:spacing w:val="-9"/>
        </w:rPr>
        <w:t> </w:t>
      </w:r>
      <w:r>
        <w:rPr/>
        <w:t>política.</w:t>
      </w:r>
      <w:r>
        <w:rPr>
          <w:spacing w:val="-11"/>
        </w:rPr>
        <w:t> </w:t>
      </w:r>
      <w:r>
        <w:rPr/>
        <w:t>Por</w:t>
      </w:r>
      <w:r>
        <w:rPr>
          <w:spacing w:val="-9"/>
        </w:rPr>
        <w:t> </w:t>
      </w:r>
      <w:r>
        <w:rPr/>
        <w:t>ello,</w:t>
      </w:r>
      <w:r>
        <w:rPr>
          <w:spacing w:val="-8"/>
        </w:rPr>
        <w:t> </w:t>
      </w:r>
      <w:r>
        <w:rPr/>
        <w:t>en</w:t>
      </w:r>
      <w:r>
        <w:rPr>
          <w:spacing w:val="-9"/>
        </w:rPr>
        <w:t> </w:t>
      </w:r>
      <w:r>
        <w:rPr/>
        <w:t>línea</w:t>
      </w:r>
      <w:r>
        <w:rPr>
          <w:spacing w:val="-9"/>
        </w:rPr>
        <w:t> </w:t>
      </w:r>
      <w:r>
        <w:rPr/>
        <w:t>con</w:t>
      </w:r>
      <w:r>
        <w:rPr>
          <w:spacing w:val="-9"/>
        </w:rPr>
        <w:t> </w:t>
      </w:r>
      <w:r>
        <w:rPr/>
        <w:t>la</w:t>
      </w:r>
      <w:r>
        <w:rPr>
          <w:spacing w:val="-9"/>
        </w:rPr>
        <w:t> </w:t>
      </w:r>
      <w:r>
        <w:rPr/>
        <w:t>guía</w:t>
      </w:r>
      <w:r>
        <w:rPr>
          <w:spacing w:val="-9"/>
        </w:rPr>
        <w:t> </w:t>
      </w:r>
      <w:r>
        <w:rPr/>
        <w:t>de</w:t>
      </w:r>
      <w:r>
        <w:rPr>
          <w:spacing w:val="-9"/>
        </w:rPr>
        <w:t> </w:t>
      </w:r>
      <w:r>
        <w:rPr/>
        <w:t>políticas</w:t>
      </w:r>
      <w:r>
        <w:rPr>
          <w:spacing w:val="-8"/>
        </w:rPr>
        <w:t> </w:t>
      </w:r>
      <w:r>
        <w:rPr/>
        <w:t>nacionales</w:t>
      </w:r>
      <w:r>
        <w:rPr>
          <w:spacing w:val="-8"/>
        </w:rPr>
        <w:t> </w:t>
      </w:r>
      <w:r>
        <w:rPr/>
        <w:t>2024, resulta necesario iniciar el proceso de actualización de la política para abordar las mejoras requeridas en su diseño.</w:t>
      </w:r>
    </w:p>
    <w:p>
      <w:pPr>
        <w:pStyle w:val="BodyText"/>
        <w:spacing w:line="309" w:lineRule="auto" w:before="156"/>
        <w:ind w:left="143" w:right="704"/>
        <w:jc w:val="both"/>
      </w:pPr>
      <w:r>
        <w:rPr/>
        <w:t>Sobre la</w:t>
      </w:r>
      <w:r>
        <w:rPr>
          <w:spacing w:val="-3"/>
        </w:rPr>
        <w:t> </w:t>
      </w:r>
      <w:r>
        <w:rPr/>
        <w:t>base</w:t>
      </w:r>
      <w:r>
        <w:rPr>
          <w:spacing w:val="-3"/>
        </w:rPr>
        <w:t> </w:t>
      </w:r>
      <w:r>
        <w:rPr/>
        <w:t>de</w:t>
      </w:r>
      <w:r>
        <w:rPr>
          <w:spacing w:val="-3"/>
        </w:rPr>
        <w:t> </w:t>
      </w:r>
      <w:r>
        <w:rPr/>
        <w:t>lo</w:t>
      </w:r>
      <w:r>
        <w:rPr>
          <w:spacing w:val="-2"/>
        </w:rPr>
        <w:t> </w:t>
      </w:r>
      <w:r>
        <w:rPr/>
        <w:t>señalado, es necesario</w:t>
      </w:r>
      <w:r>
        <w:rPr>
          <w:spacing w:val="-2"/>
        </w:rPr>
        <w:t> </w:t>
      </w:r>
      <w:r>
        <w:rPr/>
        <w:t>incorporar mejoras a</w:t>
      </w:r>
      <w:r>
        <w:rPr>
          <w:spacing w:val="-3"/>
        </w:rPr>
        <w:t> </w:t>
      </w:r>
      <w:r>
        <w:rPr/>
        <w:t>la</w:t>
      </w:r>
      <w:r>
        <w:rPr>
          <w:spacing w:val="-1"/>
        </w:rPr>
        <w:t> </w:t>
      </w:r>
      <w:r>
        <w:rPr/>
        <w:t>política bajo un</w:t>
      </w:r>
      <w:r>
        <w:rPr>
          <w:spacing w:val="-4"/>
        </w:rPr>
        <w:t> </w:t>
      </w:r>
      <w:r>
        <w:rPr/>
        <w:t>proceso</w:t>
      </w:r>
      <w:r>
        <w:rPr>
          <w:spacing w:val="-5"/>
        </w:rPr>
        <w:t> </w:t>
      </w:r>
      <w:r>
        <w:rPr/>
        <w:t>de</w:t>
      </w:r>
      <w:r>
        <w:rPr>
          <w:spacing w:val="-3"/>
        </w:rPr>
        <w:t> </w:t>
      </w:r>
      <w:r>
        <w:rPr/>
        <w:t>actualización</w:t>
      </w:r>
      <w:r>
        <w:rPr>
          <w:spacing w:val="-6"/>
        </w:rPr>
        <w:t> </w:t>
      </w:r>
      <w:r>
        <w:rPr/>
        <w:t>de</w:t>
      </w:r>
      <w:r>
        <w:rPr>
          <w:spacing w:val="-3"/>
        </w:rPr>
        <w:t> </w:t>
      </w:r>
      <w:r>
        <w:rPr/>
        <w:t>la</w:t>
      </w:r>
      <w:r>
        <w:rPr>
          <w:spacing w:val="-4"/>
        </w:rPr>
        <w:t> </w:t>
      </w:r>
      <w:r>
        <w:rPr/>
        <w:t>misma,</w:t>
      </w:r>
      <w:r>
        <w:rPr>
          <w:spacing w:val="-3"/>
        </w:rPr>
        <w:t> </w:t>
      </w:r>
      <w:r>
        <w:rPr/>
        <w:t>la</w:t>
      </w:r>
      <w:r>
        <w:rPr>
          <w:spacing w:val="-4"/>
        </w:rPr>
        <w:t> </w:t>
      </w:r>
      <w:r>
        <w:rPr/>
        <w:t>cual</w:t>
      </w:r>
      <w:r>
        <w:rPr>
          <w:spacing w:val="-3"/>
        </w:rPr>
        <w:t> </w:t>
      </w:r>
      <w:r>
        <w:rPr/>
        <w:t>deberá</w:t>
      </w:r>
      <w:r>
        <w:rPr>
          <w:spacing w:val="-4"/>
        </w:rPr>
        <w:t> </w:t>
      </w:r>
      <w:r>
        <w:rPr/>
        <w:t>considerar</w:t>
      </w:r>
      <w:r>
        <w:rPr>
          <w:spacing w:val="-6"/>
        </w:rPr>
        <w:t> </w:t>
      </w:r>
      <w:r>
        <w:rPr/>
        <w:t>lo</w:t>
      </w:r>
      <w:r>
        <w:rPr>
          <w:spacing w:val="-3"/>
        </w:rPr>
        <w:t> </w:t>
      </w:r>
      <w:r>
        <w:rPr/>
        <w:t>siguiente:</w:t>
      </w:r>
    </w:p>
    <w:p>
      <w:pPr>
        <w:pStyle w:val="ListParagraph"/>
        <w:numPr>
          <w:ilvl w:val="1"/>
          <w:numId w:val="22"/>
        </w:numPr>
        <w:tabs>
          <w:tab w:pos="1222" w:val="left" w:leader="none"/>
        </w:tabs>
        <w:spacing w:line="304" w:lineRule="auto" w:before="138" w:after="0"/>
        <w:ind w:left="1222" w:right="705" w:hanging="360"/>
        <w:jc w:val="both"/>
        <w:rPr>
          <w:sz w:val="24"/>
        </w:rPr>
      </w:pPr>
      <w:r>
        <w:rPr>
          <w:sz w:val="24"/>
        </w:rPr>
        <w:t>Revisar la cadena causal entre los indicadores de servicio y los indicadores</w:t>
      </w:r>
      <w:r>
        <w:rPr>
          <w:spacing w:val="-11"/>
          <w:sz w:val="24"/>
        </w:rPr>
        <w:t> </w:t>
      </w:r>
      <w:r>
        <w:rPr>
          <w:sz w:val="24"/>
        </w:rPr>
        <w:t>de</w:t>
      </w:r>
      <w:r>
        <w:rPr>
          <w:spacing w:val="-11"/>
          <w:sz w:val="24"/>
        </w:rPr>
        <w:t> </w:t>
      </w:r>
      <w:r>
        <w:rPr>
          <w:sz w:val="24"/>
        </w:rPr>
        <w:t>objetivos</w:t>
      </w:r>
      <w:r>
        <w:rPr>
          <w:spacing w:val="-11"/>
          <w:sz w:val="24"/>
        </w:rPr>
        <w:t> </w:t>
      </w:r>
      <w:r>
        <w:rPr>
          <w:sz w:val="24"/>
        </w:rPr>
        <w:t>prioritarios</w:t>
      </w:r>
      <w:r>
        <w:rPr>
          <w:spacing w:val="-11"/>
          <w:sz w:val="24"/>
        </w:rPr>
        <w:t> </w:t>
      </w:r>
      <w:r>
        <w:rPr>
          <w:sz w:val="24"/>
        </w:rPr>
        <w:t>del</w:t>
      </w:r>
      <w:r>
        <w:rPr>
          <w:spacing w:val="-11"/>
          <w:sz w:val="24"/>
        </w:rPr>
        <w:t> </w:t>
      </w:r>
      <w:r>
        <w:rPr>
          <w:sz w:val="24"/>
        </w:rPr>
        <w:t>OP1,</w:t>
      </w:r>
      <w:r>
        <w:rPr>
          <w:spacing w:val="-14"/>
          <w:sz w:val="24"/>
        </w:rPr>
        <w:t> </w:t>
      </w:r>
      <w:r>
        <w:rPr>
          <w:sz w:val="24"/>
        </w:rPr>
        <w:t>OP3,</w:t>
      </w:r>
      <w:r>
        <w:rPr>
          <w:spacing w:val="-11"/>
          <w:sz w:val="24"/>
        </w:rPr>
        <w:t> </w:t>
      </w:r>
      <w:r>
        <w:rPr>
          <w:sz w:val="24"/>
        </w:rPr>
        <w:t>OP4</w:t>
      </w:r>
      <w:r>
        <w:rPr>
          <w:spacing w:val="-6"/>
          <w:sz w:val="24"/>
        </w:rPr>
        <w:t> </w:t>
      </w:r>
      <w:r>
        <w:rPr>
          <w:sz w:val="24"/>
        </w:rPr>
        <w:t>a</w:t>
      </w:r>
      <w:r>
        <w:rPr>
          <w:spacing w:val="-12"/>
          <w:sz w:val="24"/>
        </w:rPr>
        <w:t> </w:t>
      </w:r>
      <w:r>
        <w:rPr>
          <w:sz w:val="24"/>
        </w:rPr>
        <w:t>fin</w:t>
      </w:r>
      <w:r>
        <w:rPr>
          <w:spacing w:val="-13"/>
          <w:sz w:val="24"/>
        </w:rPr>
        <w:t> </w:t>
      </w:r>
      <w:r>
        <w:rPr>
          <w:sz w:val="24"/>
        </w:rPr>
        <w:t>de</w:t>
      </w:r>
      <w:r>
        <w:rPr>
          <w:spacing w:val="-11"/>
          <w:sz w:val="24"/>
        </w:rPr>
        <w:t> </w:t>
      </w:r>
      <w:r>
        <w:rPr>
          <w:sz w:val="24"/>
        </w:rPr>
        <w:t>contar con un mejor análisis respecto a la relación a la lógica entre las actividades que se realizan para implementar el servicio y su contribución con el cumplimiento de metas de los objetivos </w:t>
      </w:r>
      <w:r>
        <w:rPr>
          <w:spacing w:val="-2"/>
          <w:sz w:val="24"/>
        </w:rPr>
        <w:t>prioritarios.</w:t>
      </w:r>
    </w:p>
    <w:p>
      <w:pPr>
        <w:pStyle w:val="ListParagraph"/>
        <w:numPr>
          <w:ilvl w:val="1"/>
          <w:numId w:val="22"/>
        </w:numPr>
        <w:tabs>
          <w:tab w:pos="1222" w:val="left" w:leader="none"/>
        </w:tabs>
        <w:spacing w:line="304" w:lineRule="auto" w:before="0" w:after="0"/>
        <w:ind w:left="1222" w:right="707" w:hanging="360"/>
        <w:jc w:val="both"/>
        <w:rPr>
          <w:sz w:val="24"/>
        </w:rPr>
      </w:pPr>
      <w:r>
        <w:rPr>
          <w:sz w:val="24"/>
        </w:rPr>
        <w:t>Incorporar las LB en los indicadores de los servicios 01.01.08, 01.02.03, 03.01.02, 06.01.02, 05.03.01 y proyectar los logros esperados en función a ello.</w:t>
      </w:r>
    </w:p>
    <w:p>
      <w:pPr>
        <w:pStyle w:val="ListParagraph"/>
        <w:numPr>
          <w:ilvl w:val="1"/>
          <w:numId w:val="22"/>
        </w:numPr>
        <w:tabs>
          <w:tab w:pos="1221" w:val="left" w:leader="none"/>
        </w:tabs>
        <w:spacing w:line="278" w:lineRule="exact" w:before="0" w:after="0"/>
        <w:ind w:left="1221" w:right="0" w:hanging="359"/>
        <w:jc w:val="both"/>
        <w:rPr>
          <w:sz w:val="24"/>
        </w:rPr>
      </w:pPr>
      <w:r>
        <w:rPr>
          <w:sz w:val="24"/>
        </w:rPr>
        <w:t>Actualizar</w:t>
      </w:r>
      <w:r>
        <w:rPr>
          <w:spacing w:val="48"/>
          <w:sz w:val="24"/>
        </w:rPr>
        <w:t> </w:t>
      </w:r>
      <w:r>
        <w:rPr>
          <w:sz w:val="24"/>
        </w:rPr>
        <w:t>las</w:t>
      </w:r>
      <w:r>
        <w:rPr>
          <w:spacing w:val="51"/>
          <w:sz w:val="24"/>
        </w:rPr>
        <w:t> </w:t>
      </w:r>
      <w:r>
        <w:rPr>
          <w:sz w:val="24"/>
        </w:rPr>
        <w:t>metas</w:t>
      </w:r>
      <w:r>
        <w:rPr>
          <w:spacing w:val="49"/>
          <w:sz w:val="24"/>
        </w:rPr>
        <w:t> </w:t>
      </w:r>
      <w:r>
        <w:rPr>
          <w:sz w:val="24"/>
        </w:rPr>
        <w:t>de</w:t>
      </w:r>
      <w:r>
        <w:rPr>
          <w:spacing w:val="51"/>
          <w:sz w:val="24"/>
        </w:rPr>
        <w:t> </w:t>
      </w:r>
      <w:r>
        <w:rPr>
          <w:sz w:val="24"/>
        </w:rPr>
        <w:t>los</w:t>
      </w:r>
      <w:r>
        <w:rPr>
          <w:spacing w:val="49"/>
          <w:sz w:val="24"/>
        </w:rPr>
        <w:t> </w:t>
      </w:r>
      <w:r>
        <w:rPr>
          <w:sz w:val="24"/>
        </w:rPr>
        <w:t>indicadores</w:t>
      </w:r>
      <w:r>
        <w:rPr>
          <w:spacing w:val="55"/>
          <w:sz w:val="24"/>
        </w:rPr>
        <w:t> </w:t>
      </w:r>
      <w:r>
        <w:rPr>
          <w:sz w:val="24"/>
        </w:rPr>
        <w:t>de</w:t>
      </w:r>
      <w:r>
        <w:rPr>
          <w:spacing w:val="51"/>
          <w:sz w:val="24"/>
        </w:rPr>
        <w:t> </w:t>
      </w:r>
      <w:r>
        <w:rPr>
          <w:sz w:val="24"/>
        </w:rPr>
        <w:t>los</w:t>
      </w:r>
      <w:r>
        <w:rPr>
          <w:spacing w:val="51"/>
          <w:sz w:val="24"/>
        </w:rPr>
        <w:t> </w:t>
      </w:r>
      <w:r>
        <w:rPr>
          <w:sz w:val="24"/>
        </w:rPr>
        <w:t>servicios</w:t>
      </w:r>
      <w:r>
        <w:rPr>
          <w:spacing w:val="52"/>
          <w:sz w:val="24"/>
        </w:rPr>
        <w:t> </w:t>
      </w:r>
      <w:r>
        <w:rPr>
          <w:spacing w:val="-2"/>
          <w:sz w:val="24"/>
        </w:rPr>
        <w:t>01.01.08,</w:t>
      </w:r>
    </w:p>
    <w:p>
      <w:pPr>
        <w:pStyle w:val="BodyText"/>
        <w:spacing w:before="64"/>
        <w:ind w:left="1222"/>
        <w:jc w:val="both"/>
      </w:pPr>
      <w:r>
        <w:rPr>
          <w:spacing w:val="-2"/>
        </w:rPr>
        <w:t>03.01.02,</w:t>
      </w:r>
      <w:r>
        <w:rPr>
          <w:spacing w:val="-3"/>
        </w:rPr>
        <w:t> </w:t>
      </w:r>
      <w:r>
        <w:rPr>
          <w:spacing w:val="-2"/>
        </w:rPr>
        <w:t>04.03.05, 05.03.01, 01.01.07, 01.02.01, 04.02.02</w:t>
      </w:r>
      <w:r>
        <w:rPr>
          <w:spacing w:val="-4"/>
        </w:rPr>
        <w:t> </w:t>
      </w:r>
      <w:r>
        <w:rPr>
          <w:spacing w:val="-2"/>
        </w:rPr>
        <w:t>y 05.01.01,</w:t>
      </w:r>
    </w:p>
    <w:p>
      <w:pPr>
        <w:pStyle w:val="BodyText"/>
        <w:spacing w:before="77"/>
        <w:ind w:left="1222"/>
        <w:jc w:val="both"/>
      </w:pPr>
      <w:r>
        <w:rPr/>
        <w:t>en</w:t>
      </w:r>
      <w:r>
        <w:rPr>
          <w:spacing w:val="-2"/>
        </w:rPr>
        <w:t> </w:t>
      </w:r>
      <w:r>
        <w:rPr/>
        <w:t>base</w:t>
      </w:r>
      <w:r>
        <w:rPr>
          <w:spacing w:val="-1"/>
        </w:rPr>
        <w:t> </w:t>
      </w:r>
      <w:r>
        <w:rPr/>
        <w:t>al contexto actual</w:t>
      </w:r>
      <w:r>
        <w:rPr>
          <w:spacing w:val="-1"/>
        </w:rPr>
        <w:t> </w:t>
      </w:r>
      <w:r>
        <w:rPr/>
        <w:t>en</w:t>
      </w:r>
      <w:r>
        <w:rPr>
          <w:spacing w:val="-1"/>
        </w:rPr>
        <w:t> </w:t>
      </w:r>
      <w:r>
        <w:rPr/>
        <w:t>las que</w:t>
      </w:r>
      <w:r>
        <w:rPr>
          <w:spacing w:val="-1"/>
        </w:rPr>
        <w:t> </w:t>
      </w:r>
      <w:r>
        <w:rPr/>
        <w:t>operan</w:t>
      </w:r>
      <w:r>
        <w:rPr>
          <w:spacing w:val="-4"/>
        </w:rPr>
        <w:t> </w:t>
      </w:r>
      <w:r>
        <w:rPr/>
        <w:t>los</w:t>
      </w:r>
      <w:r>
        <w:rPr>
          <w:spacing w:val="-2"/>
        </w:rPr>
        <w:t> servicios.</w:t>
      </w:r>
    </w:p>
    <w:p>
      <w:pPr>
        <w:pStyle w:val="ListParagraph"/>
        <w:numPr>
          <w:ilvl w:val="1"/>
          <w:numId w:val="22"/>
        </w:numPr>
        <w:tabs>
          <w:tab w:pos="1222" w:val="left" w:leader="none"/>
        </w:tabs>
        <w:spacing w:line="304" w:lineRule="auto" w:before="61" w:after="0"/>
        <w:ind w:left="1222" w:right="708" w:hanging="360"/>
        <w:jc w:val="both"/>
        <w:rPr>
          <w:sz w:val="24"/>
        </w:rPr>
      </w:pPr>
      <w:r>
        <w:rPr>
          <w:sz w:val="24"/>
        </w:rPr>
        <w:t>Actualizar las precisiones técnicas de los indicadores de los servicios 01.01.08, 01.02.03, 03.01.02, 06.01.02 en lo que respecta a definiciones, cálculo, sintaxis, según corresponda.</w:t>
      </w:r>
    </w:p>
    <w:p>
      <w:pPr>
        <w:pStyle w:val="BodyText"/>
        <w:spacing w:line="307" w:lineRule="auto" w:before="161"/>
        <w:ind w:left="570" w:right="703"/>
        <w:jc w:val="both"/>
      </w:pPr>
      <w:r>
        <w:rPr/>
        <w:t>Resaltar que unido a este proceso se destaca que estas mejoras deben realizarse en el marco de la Guía de Políticas Nacionales 2024, la cual establece que la política debe contar con ficha de servicio y ficha de indicadores. Al respecto, agregar que a este proceso también deberán incluirse</w:t>
      </w:r>
      <w:r>
        <w:rPr>
          <w:spacing w:val="-4"/>
        </w:rPr>
        <w:t> </w:t>
      </w:r>
      <w:r>
        <w:rPr/>
        <w:t>aquellos</w:t>
      </w:r>
      <w:r>
        <w:rPr>
          <w:spacing w:val="-3"/>
        </w:rPr>
        <w:t> </w:t>
      </w:r>
      <w:r>
        <w:rPr/>
        <w:t>servicios</w:t>
      </w:r>
      <w:r>
        <w:rPr>
          <w:spacing w:val="-3"/>
        </w:rPr>
        <w:t> </w:t>
      </w:r>
      <w:r>
        <w:rPr/>
        <w:t>que</w:t>
      </w:r>
      <w:r>
        <w:rPr>
          <w:spacing w:val="-4"/>
        </w:rPr>
        <w:t> </w:t>
      </w:r>
      <w:r>
        <w:rPr/>
        <w:t>a</w:t>
      </w:r>
      <w:r>
        <w:rPr>
          <w:spacing w:val="-4"/>
        </w:rPr>
        <w:t> </w:t>
      </w:r>
      <w:r>
        <w:rPr/>
        <w:t>la</w:t>
      </w:r>
      <w:r>
        <w:rPr>
          <w:spacing w:val="-4"/>
        </w:rPr>
        <w:t> </w:t>
      </w:r>
      <w:r>
        <w:rPr/>
        <w:t>fecha</w:t>
      </w:r>
      <w:r>
        <w:rPr>
          <w:spacing w:val="-4"/>
        </w:rPr>
        <w:t> </w:t>
      </w:r>
      <w:r>
        <w:rPr/>
        <w:t>no</w:t>
      </w:r>
      <w:r>
        <w:rPr>
          <w:spacing w:val="-3"/>
        </w:rPr>
        <w:t> </w:t>
      </w:r>
      <w:r>
        <w:rPr/>
        <w:t>cuentan</w:t>
      </w:r>
      <w:r>
        <w:rPr>
          <w:spacing w:val="-4"/>
        </w:rPr>
        <w:t> </w:t>
      </w:r>
      <w:r>
        <w:rPr/>
        <w:t>con</w:t>
      </w:r>
      <w:r>
        <w:rPr>
          <w:spacing w:val="-4"/>
        </w:rPr>
        <w:t> </w:t>
      </w:r>
      <w:r>
        <w:rPr/>
        <w:t>protocolo</w:t>
      </w:r>
      <w:r>
        <w:rPr>
          <w:spacing w:val="-5"/>
        </w:rPr>
        <w:t> </w:t>
      </w:r>
      <w:r>
        <w:rPr/>
        <w:t>vigente, siguiéndose la aplicación de la mencionada Guía, motivo por el cual, al no ser</w:t>
      </w:r>
      <w:r>
        <w:rPr>
          <w:spacing w:val="-3"/>
        </w:rPr>
        <w:t> </w:t>
      </w:r>
      <w:r>
        <w:rPr/>
        <w:t>aplicable</w:t>
      </w:r>
      <w:r>
        <w:rPr>
          <w:spacing w:val="-3"/>
        </w:rPr>
        <w:t> </w:t>
      </w:r>
      <w:r>
        <w:rPr/>
        <w:t>para</w:t>
      </w:r>
      <w:r>
        <w:rPr>
          <w:spacing w:val="-3"/>
        </w:rPr>
        <w:t> </w:t>
      </w:r>
      <w:r>
        <w:rPr/>
        <w:t>estos</w:t>
      </w:r>
      <w:r>
        <w:rPr>
          <w:spacing w:val="-2"/>
        </w:rPr>
        <w:t> </w:t>
      </w:r>
      <w:r>
        <w:rPr/>
        <w:t>casos</w:t>
      </w:r>
      <w:r>
        <w:rPr>
          <w:spacing w:val="-2"/>
        </w:rPr>
        <w:t> </w:t>
      </w:r>
      <w:r>
        <w:rPr/>
        <w:t>la</w:t>
      </w:r>
      <w:r>
        <w:rPr>
          <w:spacing w:val="-3"/>
        </w:rPr>
        <w:t> </w:t>
      </w:r>
      <w:r>
        <w:rPr/>
        <w:t>elaboración</w:t>
      </w:r>
      <w:r>
        <w:rPr>
          <w:spacing w:val="-5"/>
        </w:rPr>
        <w:t> </w:t>
      </w:r>
      <w:r>
        <w:rPr/>
        <w:t>de</w:t>
      </w:r>
      <w:r>
        <w:rPr>
          <w:spacing w:val="-3"/>
        </w:rPr>
        <w:t> </w:t>
      </w:r>
      <w:r>
        <w:rPr/>
        <w:t>protocolos,</w:t>
      </w:r>
      <w:r>
        <w:rPr>
          <w:spacing w:val="-2"/>
        </w:rPr>
        <w:t> </w:t>
      </w:r>
      <w:r>
        <w:rPr/>
        <w:t>el</w:t>
      </w:r>
      <w:r>
        <w:rPr>
          <w:spacing w:val="-2"/>
        </w:rPr>
        <w:t> </w:t>
      </w:r>
      <w:r>
        <w:rPr/>
        <w:t>conductor</w:t>
      </w:r>
      <w:r>
        <w:rPr>
          <w:spacing w:val="-5"/>
        </w:rPr>
        <w:t> </w:t>
      </w:r>
      <w:r>
        <w:rPr/>
        <w:t>de la Política evaluará la pertinencia de continuar con su exigibilidad.</w:t>
      </w:r>
    </w:p>
    <w:p>
      <w:pPr>
        <w:pStyle w:val="BodyText"/>
        <w:spacing w:line="307" w:lineRule="auto" w:before="155"/>
        <w:ind w:left="570" w:right="709"/>
        <w:jc w:val="both"/>
      </w:pPr>
      <w:r>
        <w:rPr/>
        <w:t>Por</w:t>
      </w:r>
      <w:r>
        <w:rPr>
          <w:spacing w:val="-8"/>
        </w:rPr>
        <w:t> </w:t>
      </w:r>
      <w:r>
        <w:rPr/>
        <w:t>otro</w:t>
      </w:r>
      <w:r>
        <w:rPr>
          <w:spacing w:val="-7"/>
        </w:rPr>
        <w:t> </w:t>
      </w:r>
      <w:r>
        <w:rPr/>
        <w:t>lado,</w:t>
      </w:r>
      <w:r>
        <w:rPr>
          <w:spacing w:val="-7"/>
        </w:rPr>
        <w:t> </w:t>
      </w:r>
      <w:r>
        <w:rPr/>
        <w:t>en</w:t>
      </w:r>
      <w:r>
        <w:rPr>
          <w:spacing w:val="-8"/>
        </w:rPr>
        <w:t> </w:t>
      </w:r>
      <w:r>
        <w:rPr/>
        <w:t>lo</w:t>
      </w:r>
      <w:r>
        <w:rPr>
          <w:spacing w:val="-8"/>
        </w:rPr>
        <w:t> </w:t>
      </w:r>
      <w:r>
        <w:rPr/>
        <w:t>que</w:t>
      </w:r>
      <w:r>
        <w:rPr>
          <w:spacing w:val="-8"/>
        </w:rPr>
        <w:t> </w:t>
      </w:r>
      <w:r>
        <w:rPr/>
        <w:t>respecta</w:t>
      </w:r>
      <w:r>
        <w:rPr>
          <w:spacing w:val="-8"/>
        </w:rPr>
        <w:t> </w:t>
      </w:r>
      <w:r>
        <w:rPr/>
        <w:t>a</w:t>
      </w:r>
      <w:r>
        <w:rPr>
          <w:spacing w:val="-8"/>
        </w:rPr>
        <w:t> </w:t>
      </w:r>
      <w:r>
        <w:rPr/>
        <w:t>los</w:t>
      </w:r>
      <w:r>
        <w:rPr>
          <w:spacing w:val="-8"/>
        </w:rPr>
        <w:t> </w:t>
      </w:r>
      <w:r>
        <w:rPr/>
        <w:t>resultados</w:t>
      </w:r>
      <w:r>
        <w:rPr>
          <w:spacing w:val="-8"/>
        </w:rPr>
        <w:t> </w:t>
      </w:r>
      <w:r>
        <w:rPr/>
        <w:t>de</w:t>
      </w:r>
      <w:r>
        <w:rPr>
          <w:spacing w:val="-8"/>
        </w:rPr>
        <w:t> </w:t>
      </w:r>
      <w:r>
        <w:rPr/>
        <w:t>la</w:t>
      </w:r>
      <w:r>
        <w:rPr>
          <w:spacing w:val="-8"/>
        </w:rPr>
        <w:t> </w:t>
      </w:r>
      <w:r>
        <w:rPr/>
        <w:t>evaluación</w:t>
      </w:r>
      <w:r>
        <w:rPr>
          <w:spacing w:val="-8"/>
        </w:rPr>
        <w:t> </w:t>
      </w:r>
      <w:r>
        <w:rPr/>
        <w:t>de</w:t>
      </w:r>
      <w:r>
        <w:rPr>
          <w:spacing w:val="-8"/>
        </w:rPr>
        <w:t> </w:t>
      </w:r>
      <w:r>
        <w:rPr/>
        <w:t>diseño e implementación realizada por CEPLAN, sus conclusiones se centran exclusivamente en el OP1, uno de los seis objetivos de la PNIG. En este informe se resalta la necesidad de ampliar el diagnóstico del problema público</w:t>
      </w:r>
      <w:r>
        <w:rPr>
          <w:spacing w:val="21"/>
        </w:rPr>
        <w:t> </w:t>
      </w:r>
      <w:r>
        <w:rPr/>
        <w:t>para</w:t>
      </w:r>
      <w:r>
        <w:rPr>
          <w:spacing w:val="21"/>
        </w:rPr>
        <w:t> </w:t>
      </w:r>
      <w:r>
        <w:rPr/>
        <w:t>incluir</w:t>
      </w:r>
      <w:r>
        <w:rPr>
          <w:spacing w:val="22"/>
        </w:rPr>
        <w:t> </w:t>
      </w:r>
      <w:r>
        <w:rPr/>
        <w:t>violencias</w:t>
      </w:r>
      <w:r>
        <w:rPr>
          <w:spacing w:val="22"/>
        </w:rPr>
        <w:t> </w:t>
      </w:r>
      <w:r>
        <w:rPr/>
        <w:t>emergentes,</w:t>
      </w:r>
      <w:r>
        <w:rPr>
          <w:spacing w:val="19"/>
        </w:rPr>
        <w:t> </w:t>
      </w:r>
      <w:r>
        <w:rPr/>
        <w:t>como</w:t>
      </w:r>
      <w:r>
        <w:rPr>
          <w:spacing w:val="23"/>
        </w:rPr>
        <w:t> </w:t>
      </w:r>
      <w:r>
        <w:rPr/>
        <w:t>aquellas</w:t>
      </w:r>
      <w:r>
        <w:rPr>
          <w:spacing w:val="22"/>
        </w:rPr>
        <w:t> </w:t>
      </w:r>
      <w:r>
        <w:rPr/>
        <w:t>que</w:t>
      </w:r>
      <w:r>
        <w:rPr>
          <w:spacing w:val="22"/>
        </w:rPr>
        <w:t> </w:t>
      </w:r>
      <w:r>
        <w:rPr/>
        <w:t>ocurren</w:t>
      </w:r>
      <w:r>
        <w:rPr>
          <w:spacing w:val="21"/>
        </w:rPr>
        <w:t> </w:t>
      </w:r>
      <w:r>
        <w:rPr>
          <w:spacing w:val="-5"/>
        </w:rPr>
        <w:t>en</w:t>
      </w:r>
    </w:p>
    <w:p>
      <w:pPr>
        <w:pStyle w:val="BodyText"/>
        <w:spacing w:after="0" w:line="307" w:lineRule="auto"/>
        <w:jc w:val="both"/>
        <w:sectPr>
          <w:pgSz w:w="11910" w:h="16840"/>
          <w:pgMar w:header="713" w:footer="1000" w:top="1420" w:bottom="1200" w:left="1559" w:right="992"/>
        </w:sectPr>
      </w:pPr>
    </w:p>
    <w:p>
      <w:pPr>
        <w:pStyle w:val="BodyText"/>
        <w:spacing w:line="307" w:lineRule="auto" w:before="123"/>
        <w:ind w:left="570" w:right="704"/>
        <w:jc w:val="both"/>
      </w:pPr>
      <w:r>
        <w:rPr/>
        <w:t>entornos digitales, así como aquellas dirigidas a grupos vulnerables que no están visibilizados de manera suficiente, como la población LGTBQ+. Asimismo, se señala la importancia de incorporar en las alternativas de prevención de la violencia el trabajo con las masculinidades, un enfoque clave</w:t>
      </w:r>
      <w:r>
        <w:rPr>
          <w:spacing w:val="-3"/>
        </w:rPr>
        <w:t> </w:t>
      </w:r>
      <w:r>
        <w:rPr/>
        <w:t>para</w:t>
      </w:r>
      <w:r>
        <w:rPr>
          <w:spacing w:val="-1"/>
        </w:rPr>
        <w:t> </w:t>
      </w:r>
      <w:r>
        <w:rPr/>
        <w:t>abordar</w:t>
      </w:r>
      <w:r>
        <w:rPr>
          <w:spacing w:val="-3"/>
        </w:rPr>
        <w:t> </w:t>
      </w:r>
      <w:r>
        <w:rPr/>
        <w:t>de</w:t>
      </w:r>
      <w:r>
        <w:rPr>
          <w:spacing w:val="-3"/>
        </w:rPr>
        <w:t> </w:t>
      </w:r>
      <w:r>
        <w:rPr/>
        <w:t>manera integral</w:t>
      </w:r>
      <w:r>
        <w:rPr>
          <w:spacing w:val="-3"/>
        </w:rPr>
        <w:t> </w:t>
      </w:r>
      <w:r>
        <w:rPr/>
        <w:t>las</w:t>
      </w:r>
      <w:r>
        <w:rPr>
          <w:spacing w:val="-2"/>
        </w:rPr>
        <w:t> </w:t>
      </w:r>
      <w:r>
        <w:rPr/>
        <w:t>causas de</w:t>
      </w:r>
      <w:r>
        <w:rPr>
          <w:spacing w:val="-1"/>
        </w:rPr>
        <w:t> </w:t>
      </w:r>
      <w:r>
        <w:rPr/>
        <w:t>la</w:t>
      </w:r>
      <w:r>
        <w:rPr>
          <w:spacing w:val="-1"/>
        </w:rPr>
        <w:t> </w:t>
      </w:r>
      <w:r>
        <w:rPr/>
        <w:t>violencia. Agregar</w:t>
      </w:r>
      <w:r>
        <w:rPr>
          <w:spacing w:val="-1"/>
        </w:rPr>
        <w:t> </w:t>
      </w:r>
      <w:r>
        <w:rPr/>
        <w:t>a ello que, como se ha señalado anteriormente, existe un número considerable de indicadores de servicios que ameritan mejorarse, siendo</w:t>
      </w:r>
      <w:r>
        <w:rPr>
          <w:spacing w:val="40"/>
        </w:rPr>
        <w:t> </w:t>
      </w:r>
      <w:r>
        <w:rPr/>
        <w:t>un porcentaje amplio del total de servicios, esto también aporta a una revisión</w:t>
      </w:r>
      <w:r>
        <w:rPr>
          <w:spacing w:val="-1"/>
        </w:rPr>
        <w:t> </w:t>
      </w:r>
      <w:r>
        <w:rPr/>
        <w:t>más detallada</w:t>
      </w:r>
      <w:r>
        <w:rPr>
          <w:spacing w:val="-4"/>
        </w:rPr>
        <w:t> </w:t>
      </w:r>
      <w:r>
        <w:rPr/>
        <w:t>de su</w:t>
      </w:r>
      <w:r>
        <w:rPr>
          <w:spacing w:val="-1"/>
        </w:rPr>
        <w:t> </w:t>
      </w:r>
      <w:r>
        <w:rPr/>
        <w:t>aporte al problema</w:t>
      </w:r>
      <w:r>
        <w:rPr>
          <w:spacing w:val="-1"/>
        </w:rPr>
        <w:t> </w:t>
      </w:r>
      <w:r>
        <w:rPr/>
        <w:t>público. En</w:t>
      </w:r>
      <w:r>
        <w:rPr>
          <w:spacing w:val="-1"/>
        </w:rPr>
        <w:t> </w:t>
      </w:r>
      <w:r>
        <w:rPr/>
        <w:t>el sentido de</w:t>
      </w:r>
      <w:r>
        <w:rPr>
          <w:spacing w:val="-4"/>
        </w:rPr>
        <w:t> </w:t>
      </w:r>
      <w:r>
        <w:rPr/>
        <w:t>lo señalado,</w:t>
      </w:r>
      <w:r>
        <w:rPr>
          <w:spacing w:val="-2"/>
        </w:rPr>
        <w:t> </w:t>
      </w:r>
      <w:r>
        <w:rPr/>
        <w:t>todas estas</w:t>
      </w:r>
      <w:r>
        <w:rPr>
          <w:spacing w:val="-4"/>
        </w:rPr>
        <w:t> </w:t>
      </w:r>
      <w:r>
        <w:rPr/>
        <w:t>evidencias apuntan</w:t>
      </w:r>
      <w:r>
        <w:rPr>
          <w:spacing w:val="-1"/>
        </w:rPr>
        <w:t> </w:t>
      </w:r>
      <w:r>
        <w:rPr/>
        <w:t>a</w:t>
      </w:r>
      <w:r>
        <w:rPr>
          <w:spacing w:val="-5"/>
        </w:rPr>
        <w:t> </w:t>
      </w:r>
      <w:r>
        <w:rPr/>
        <w:t>que los</w:t>
      </w:r>
      <w:r>
        <w:rPr>
          <w:spacing w:val="-2"/>
        </w:rPr>
        <w:t> </w:t>
      </w:r>
      <w:r>
        <w:rPr/>
        <w:t>informes</w:t>
      </w:r>
      <w:r>
        <w:rPr>
          <w:spacing w:val="-1"/>
        </w:rPr>
        <w:t> </w:t>
      </w:r>
      <w:r>
        <w:rPr/>
        <w:t>de evaluación presentados deben ser complementadas con la revisión del modelo conceptual de la política. Este aspecto es relevante en la medida que han transcurrido más de 5 años de implementado, y como ha señalado la evaluación de CEPLAN se visibilizan en la actualidad nuevas formas de vulneración a la población objetivo no consideradas en el diagnóstico de la política, tal cual se señala en el análisis del diseño del OP1.</w:t>
      </w:r>
    </w:p>
    <w:p>
      <w:pPr>
        <w:pStyle w:val="Heading1"/>
        <w:numPr>
          <w:ilvl w:val="0"/>
          <w:numId w:val="3"/>
        </w:numPr>
        <w:tabs>
          <w:tab w:pos="569" w:val="left" w:leader="none"/>
        </w:tabs>
        <w:spacing w:line="240" w:lineRule="auto" w:before="243" w:after="0"/>
        <w:ind w:left="569" w:right="0" w:hanging="426"/>
        <w:jc w:val="left"/>
      </w:pPr>
      <w:bookmarkStart w:name="_bookmark37" w:id="38"/>
      <w:bookmarkEnd w:id="38"/>
      <w:r>
        <w:rPr/>
      </w:r>
      <w:r>
        <w:rPr>
          <w:color w:val="2E5395"/>
          <w:spacing w:val="-2"/>
        </w:rPr>
        <w:t>Recomendaciones</w:t>
      </w:r>
    </w:p>
    <w:p>
      <w:pPr>
        <w:pStyle w:val="BodyText"/>
        <w:spacing w:before="69"/>
        <w:rPr>
          <w:sz w:val="20"/>
        </w:rPr>
      </w:pPr>
    </w:p>
    <w:tbl>
      <w:tblPr>
        <w:tblW w:w="0" w:type="auto"/>
        <w:jc w:val="left"/>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390"/>
        <w:gridCol w:w="4105"/>
      </w:tblGrid>
      <w:tr>
        <w:trPr>
          <w:trHeight w:val="652" w:hRule="atLeast"/>
        </w:trPr>
        <w:tc>
          <w:tcPr>
            <w:tcW w:w="4390" w:type="dxa"/>
          </w:tcPr>
          <w:p>
            <w:pPr>
              <w:pStyle w:val="TableParagraph"/>
              <w:spacing w:before="31"/>
              <w:ind w:left="107"/>
              <w:rPr>
                <w:sz w:val="24"/>
              </w:rPr>
            </w:pPr>
            <w:r>
              <w:rPr>
                <w:sz w:val="24"/>
              </w:rPr>
              <w:t>Unidad</w:t>
            </w:r>
            <w:r>
              <w:rPr>
                <w:spacing w:val="15"/>
                <w:sz w:val="24"/>
              </w:rPr>
              <w:t> </w:t>
            </w:r>
            <w:r>
              <w:rPr>
                <w:sz w:val="24"/>
              </w:rPr>
              <w:t>operativa/</w:t>
            </w:r>
            <w:r>
              <w:rPr>
                <w:spacing w:val="16"/>
                <w:sz w:val="24"/>
              </w:rPr>
              <w:t> </w:t>
            </w:r>
            <w:r>
              <w:rPr>
                <w:spacing w:val="-2"/>
                <w:sz w:val="24"/>
              </w:rPr>
              <w:t>Responsable</w:t>
            </w:r>
          </w:p>
        </w:tc>
        <w:tc>
          <w:tcPr>
            <w:tcW w:w="4105" w:type="dxa"/>
          </w:tcPr>
          <w:p>
            <w:pPr>
              <w:pStyle w:val="TableParagraph"/>
              <w:spacing w:before="31"/>
              <w:ind w:left="107"/>
              <w:rPr>
                <w:sz w:val="24"/>
              </w:rPr>
            </w:pPr>
            <w:r>
              <w:rPr>
                <w:spacing w:val="-4"/>
                <w:sz w:val="24"/>
              </w:rPr>
              <w:t>OMEP</w:t>
            </w:r>
          </w:p>
        </w:tc>
      </w:tr>
      <w:tr>
        <w:trPr>
          <w:trHeight w:val="328" w:hRule="atLeast"/>
        </w:trPr>
        <w:tc>
          <w:tcPr>
            <w:tcW w:w="4390" w:type="dxa"/>
          </w:tcPr>
          <w:p>
            <w:pPr>
              <w:pStyle w:val="TableParagraph"/>
              <w:spacing w:line="275" w:lineRule="exact" w:before="34"/>
              <w:ind w:left="107"/>
              <w:rPr>
                <w:sz w:val="24"/>
              </w:rPr>
            </w:pPr>
            <w:r>
              <w:rPr>
                <w:sz w:val="24"/>
              </w:rPr>
              <w:t>Aspecto</w:t>
            </w:r>
            <w:r>
              <w:rPr>
                <w:spacing w:val="-7"/>
                <w:sz w:val="24"/>
              </w:rPr>
              <w:t> </w:t>
            </w:r>
            <w:r>
              <w:rPr>
                <w:sz w:val="24"/>
              </w:rPr>
              <w:t>de</w:t>
            </w:r>
            <w:r>
              <w:rPr>
                <w:spacing w:val="-6"/>
                <w:sz w:val="24"/>
              </w:rPr>
              <w:t> </w:t>
            </w:r>
            <w:r>
              <w:rPr>
                <w:spacing w:val="-2"/>
                <w:sz w:val="24"/>
              </w:rPr>
              <w:t>mejora</w:t>
            </w:r>
          </w:p>
        </w:tc>
        <w:tc>
          <w:tcPr>
            <w:tcW w:w="4105" w:type="dxa"/>
          </w:tcPr>
          <w:p>
            <w:pPr>
              <w:pStyle w:val="TableParagraph"/>
              <w:spacing w:line="275" w:lineRule="exact" w:before="34"/>
              <w:ind w:left="107"/>
              <w:rPr>
                <w:sz w:val="24"/>
              </w:rPr>
            </w:pPr>
            <w:r>
              <w:rPr>
                <w:spacing w:val="-2"/>
                <w:sz w:val="24"/>
              </w:rPr>
              <w:t>Diseño</w:t>
            </w:r>
          </w:p>
        </w:tc>
      </w:tr>
      <w:tr>
        <w:trPr>
          <w:trHeight w:val="1473" w:hRule="atLeast"/>
        </w:trPr>
        <w:tc>
          <w:tcPr>
            <w:tcW w:w="8495" w:type="dxa"/>
            <w:gridSpan w:val="2"/>
          </w:tcPr>
          <w:p>
            <w:pPr>
              <w:pStyle w:val="TableParagraph"/>
              <w:spacing w:before="32"/>
              <w:ind w:left="107"/>
              <w:rPr>
                <w:rFonts w:ascii="Arial" w:hAnsi="Arial"/>
                <w:i/>
                <w:sz w:val="24"/>
              </w:rPr>
            </w:pPr>
            <w:r>
              <w:rPr>
                <w:rFonts w:ascii="Arial" w:hAnsi="Arial"/>
                <w:i/>
                <w:spacing w:val="-2"/>
                <w:sz w:val="24"/>
              </w:rPr>
              <w:t>Recomendación:</w:t>
            </w:r>
          </w:p>
          <w:p>
            <w:pPr>
              <w:pStyle w:val="TableParagraph"/>
              <w:spacing w:line="283" w:lineRule="auto" w:before="50"/>
              <w:ind w:left="107" w:right="103"/>
              <w:jc w:val="both"/>
              <w:rPr>
                <w:sz w:val="24"/>
              </w:rPr>
            </w:pPr>
            <w:r>
              <w:rPr>
                <w:w w:val="105"/>
                <w:sz w:val="24"/>
              </w:rPr>
              <w:t>Realizar</w:t>
            </w:r>
            <w:r>
              <w:rPr>
                <w:w w:val="105"/>
                <w:sz w:val="24"/>
              </w:rPr>
              <w:t> una</w:t>
            </w:r>
            <w:r>
              <w:rPr>
                <w:w w:val="105"/>
                <w:sz w:val="24"/>
              </w:rPr>
              <w:t> revisión</w:t>
            </w:r>
            <w:r>
              <w:rPr>
                <w:w w:val="105"/>
                <w:sz w:val="24"/>
              </w:rPr>
              <w:t> de</w:t>
            </w:r>
            <w:r>
              <w:rPr>
                <w:w w:val="105"/>
                <w:sz w:val="24"/>
              </w:rPr>
              <w:t> evidencias</w:t>
            </w:r>
            <w:r>
              <w:rPr>
                <w:w w:val="105"/>
                <w:sz w:val="24"/>
              </w:rPr>
              <w:t> con</w:t>
            </w:r>
            <w:r>
              <w:rPr>
                <w:w w:val="105"/>
                <w:sz w:val="24"/>
              </w:rPr>
              <w:t> relación</w:t>
            </w:r>
            <w:r>
              <w:rPr>
                <w:w w:val="105"/>
                <w:sz w:val="24"/>
              </w:rPr>
              <w:t> a</w:t>
            </w:r>
            <w:r>
              <w:rPr>
                <w:w w:val="105"/>
                <w:sz w:val="24"/>
              </w:rPr>
              <w:t> la</w:t>
            </w:r>
            <w:r>
              <w:rPr>
                <w:w w:val="105"/>
                <w:sz w:val="24"/>
              </w:rPr>
              <w:t> problemática</w:t>
            </w:r>
            <w:r>
              <w:rPr>
                <w:w w:val="105"/>
                <w:sz w:val="24"/>
              </w:rPr>
              <w:t> que</w:t>
            </w:r>
            <w:r>
              <w:rPr>
                <w:w w:val="105"/>
                <w:sz w:val="24"/>
              </w:rPr>
              <w:t> se busca atender</w:t>
            </w:r>
            <w:r>
              <w:rPr>
                <w:w w:val="105"/>
                <w:sz w:val="24"/>
              </w:rPr>
              <w:t> en la PNIG y</w:t>
            </w:r>
            <w:r>
              <w:rPr>
                <w:w w:val="105"/>
                <w:sz w:val="24"/>
              </w:rPr>
              <w:t> en</w:t>
            </w:r>
            <w:r>
              <w:rPr>
                <w:w w:val="105"/>
                <w:sz w:val="24"/>
              </w:rPr>
              <w:t> función</w:t>
            </w:r>
            <w:r>
              <w:rPr>
                <w:w w:val="105"/>
                <w:sz w:val="24"/>
              </w:rPr>
              <w:t> a ello proponer</w:t>
            </w:r>
            <w:r>
              <w:rPr>
                <w:w w:val="105"/>
                <w:sz w:val="24"/>
              </w:rPr>
              <w:t> ajustes al</w:t>
            </w:r>
            <w:r>
              <w:rPr>
                <w:w w:val="105"/>
                <w:sz w:val="24"/>
              </w:rPr>
              <w:t> modelo conceptual,</w:t>
            </w:r>
            <w:r>
              <w:rPr>
                <w:spacing w:val="-17"/>
                <w:w w:val="105"/>
                <w:sz w:val="24"/>
              </w:rPr>
              <w:t> </w:t>
            </w:r>
            <w:r>
              <w:rPr>
                <w:w w:val="105"/>
                <w:sz w:val="24"/>
              </w:rPr>
              <w:t>que</w:t>
            </w:r>
            <w:r>
              <w:rPr>
                <w:spacing w:val="-18"/>
                <w:w w:val="105"/>
                <w:sz w:val="24"/>
              </w:rPr>
              <w:t> </w:t>
            </w:r>
            <w:r>
              <w:rPr>
                <w:w w:val="105"/>
                <w:sz w:val="24"/>
              </w:rPr>
              <w:t>permita</w:t>
            </w:r>
            <w:r>
              <w:rPr>
                <w:spacing w:val="-16"/>
                <w:w w:val="105"/>
                <w:sz w:val="24"/>
              </w:rPr>
              <w:t> </w:t>
            </w:r>
            <w:r>
              <w:rPr>
                <w:w w:val="105"/>
                <w:sz w:val="24"/>
              </w:rPr>
              <w:t>precisar</w:t>
            </w:r>
            <w:r>
              <w:rPr>
                <w:spacing w:val="-16"/>
                <w:w w:val="105"/>
                <w:sz w:val="24"/>
              </w:rPr>
              <w:t> </w:t>
            </w:r>
            <w:r>
              <w:rPr>
                <w:w w:val="105"/>
                <w:sz w:val="24"/>
              </w:rPr>
              <w:t>los</w:t>
            </w:r>
            <w:r>
              <w:rPr>
                <w:spacing w:val="-15"/>
                <w:w w:val="105"/>
                <w:sz w:val="24"/>
              </w:rPr>
              <w:t> </w:t>
            </w:r>
            <w:r>
              <w:rPr>
                <w:w w:val="105"/>
                <w:sz w:val="24"/>
              </w:rPr>
              <w:t>factores</w:t>
            </w:r>
            <w:r>
              <w:rPr>
                <w:spacing w:val="-17"/>
                <w:w w:val="105"/>
                <w:sz w:val="24"/>
              </w:rPr>
              <w:t> </w:t>
            </w:r>
            <w:r>
              <w:rPr>
                <w:w w:val="105"/>
                <w:sz w:val="24"/>
              </w:rPr>
              <w:t>determinantes</w:t>
            </w:r>
            <w:r>
              <w:rPr>
                <w:spacing w:val="-17"/>
                <w:w w:val="105"/>
                <w:sz w:val="24"/>
              </w:rPr>
              <w:t> </w:t>
            </w:r>
            <w:r>
              <w:rPr>
                <w:w w:val="105"/>
                <w:sz w:val="24"/>
              </w:rPr>
              <w:t>de</w:t>
            </w:r>
            <w:r>
              <w:rPr>
                <w:spacing w:val="-16"/>
                <w:w w:val="105"/>
                <w:sz w:val="24"/>
              </w:rPr>
              <w:t> </w:t>
            </w:r>
            <w:r>
              <w:rPr>
                <w:w w:val="105"/>
                <w:sz w:val="24"/>
              </w:rPr>
              <w:t>la</w:t>
            </w:r>
            <w:r>
              <w:rPr>
                <w:spacing w:val="-18"/>
                <w:w w:val="105"/>
                <w:sz w:val="24"/>
              </w:rPr>
              <w:t> </w:t>
            </w:r>
            <w:r>
              <w:rPr>
                <w:w w:val="105"/>
                <w:sz w:val="24"/>
              </w:rPr>
              <w:t>misma.</w:t>
            </w:r>
          </w:p>
        </w:tc>
      </w:tr>
      <w:tr>
        <w:trPr>
          <w:trHeight w:val="325" w:hRule="atLeast"/>
        </w:trPr>
        <w:tc>
          <w:tcPr>
            <w:tcW w:w="4390" w:type="dxa"/>
          </w:tcPr>
          <w:p>
            <w:pPr>
              <w:pStyle w:val="TableParagraph"/>
              <w:spacing w:line="275" w:lineRule="exact" w:before="31"/>
              <w:ind w:left="107"/>
              <w:rPr>
                <w:sz w:val="24"/>
              </w:rPr>
            </w:pPr>
            <w:r>
              <w:rPr>
                <w:spacing w:val="-4"/>
                <w:sz w:val="24"/>
              </w:rPr>
              <w:t>Plazo</w:t>
            </w:r>
          </w:p>
        </w:tc>
        <w:tc>
          <w:tcPr>
            <w:tcW w:w="4105" w:type="dxa"/>
          </w:tcPr>
          <w:p>
            <w:pPr>
              <w:pStyle w:val="TableParagraph"/>
              <w:spacing w:line="275" w:lineRule="exact" w:before="31"/>
              <w:ind w:left="107"/>
              <w:rPr>
                <w:sz w:val="24"/>
              </w:rPr>
            </w:pPr>
            <w:r>
              <w:rPr>
                <w:sz w:val="24"/>
              </w:rPr>
              <w:t>Primer</w:t>
            </w:r>
            <w:r>
              <w:rPr>
                <w:spacing w:val="15"/>
                <w:sz w:val="24"/>
              </w:rPr>
              <w:t> </w:t>
            </w:r>
            <w:r>
              <w:rPr>
                <w:sz w:val="24"/>
              </w:rPr>
              <w:t>trimestre</w:t>
            </w:r>
            <w:r>
              <w:rPr>
                <w:spacing w:val="15"/>
                <w:sz w:val="24"/>
              </w:rPr>
              <w:t> </w:t>
            </w:r>
            <w:r>
              <w:rPr>
                <w:sz w:val="24"/>
              </w:rPr>
              <w:t>del</w:t>
            </w:r>
            <w:r>
              <w:rPr>
                <w:spacing w:val="16"/>
                <w:sz w:val="24"/>
              </w:rPr>
              <w:t> </w:t>
            </w:r>
            <w:r>
              <w:rPr>
                <w:spacing w:val="-2"/>
                <w:sz w:val="24"/>
              </w:rPr>
              <w:t>2025.</w:t>
            </w:r>
          </w:p>
        </w:tc>
      </w:tr>
    </w:tbl>
    <w:p>
      <w:pPr>
        <w:pStyle w:val="TableParagraph"/>
        <w:spacing w:after="0" w:line="275" w:lineRule="exact"/>
        <w:rPr>
          <w:sz w:val="24"/>
        </w:rPr>
        <w:sectPr>
          <w:pgSz w:w="11910" w:h="16840"/>
          <w:pgMar w:header="713" w:footer="1000" w:top="1420" w:bottom="1200" w:left="1559" w:right="992"/>
        </w:sectPr>
      </w:pPr>
    </w:p>
    <w:p>
      <w:pPr>
        <w:pStyle w:val="BodyText"/>
        <w:spacing w:before="10" w:after="1"/>
        <w:rPr>
          <w:sz w:val="7"/>
        </w:rPr>
      </w:pPr>
    </w:p>
    <w:tbl>
      <w:tblPr>
        <w:tblW w:w="0" w:type="auto"/>
        <w:jc w:val="left"/>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390"/>
        <w:gridCol w:w="4105"/>
      </w:tblGrid>
      <w:tr>
        <w:trPr>
          <w:trHeight w:val="652" w:hRule="atLeast"/>
        </w:trPr>
        <w:tc>
          <w:tcPr>
            <w:tcW w:w="4390" w:type="dxa"/>
          </w:tcPr>
          <w:p>
            <w:pPr>
              <w:pStyle w:val="TableParagraph"/>
              <w:spacing w:before="32"/>
              <w:ind w:left="107"/>
              <w:rPr>
                <w:sz w:val="24"/>
              </w:rPr>
            </w:pPr>
            <w:r>
              <w:rPr>
                <w:sz w:val="24"/>
              </w:rPr>
              <w:t>Unidad</w:t>
            </w:r>
            <w:r>
              <w:rPr>
                <w:spacing w:val="15"/>
                <w:sz w:val="24"/>
              </w:rPr>
              <w:t> </w:t>
            </w:r>
            <w:r>
              <w:rPr>
                <w:sz w:val="24"/>
              </w:rPr>
              <w:t>operativa/</w:t>
            </w:r>
            <w:r>
              <w:rPr>
                <w:spacing w:val="16"/>
                <w:sz w:val="24"/>
              </w:rPr>
              <w:t> </w:t>
            </w:r>
            <w:r>
              <w:rPr>
                <w:spacing w:val="-2"/>
                <w:sz w:val="24"/>
              </w:rPr>
              <w:t>Responsable</w:t>
            </w:r>
          </w:p>
        </w:tc>
        <w:tc>
          <w:tcPr>
            <w:tcW w:w="4105" w:type="dxa"/>
          </w:tcPr>
          <w:p>
            <w:pPr>
              <w:pStyle w:val="TableParagraph"/>
              <w:spacing w:before="32"/>
              <w:ind w:left="107"/>
              <w:rPr>
                <w:sz w:val="24"/>
              </w:rPr>
            </w:pPr>
            <w:r>
              <w:rPr>
                <w:spacing w:val="-10"/>
                <w:sz w:val="24"/>
              </w:rPr>
              <w:t>DPIGND,</w:t>
            </w:r>
            <w:r>
              <w:rPr>
                <w:spacing w:val="-6"/>
                <w:sz w:val="24"/>
              </w:rPr>
              <w:t> </w:t>
            </w:r>
            <w:r>
              <w:rPr>
                <w:spacing w:val="-10"/>
                <w:sz w:val="24"/>
              </w:rPr>
              <w:t>OP</w:t>
            </w:r>
            <w:r>
              <w:rPr>
                <w:spacing w:val="-6"/>
                <w:sz w:val="24"/>
              </w:rPr>
              <w:t> </w:t>
            </w:r>
            <w:r>
              <w:rPr>
                <w:spacing w:val="-10"/>
                <w:sz w:val="24"/>
              </w:rPr>
              <w:t>y</w:t>
            </w:r>
            <w:r>
              <w:rPr>
                <w:spacing w:val="-5"/>
                <w:sz w:val="24"/>
              </w:rPr>
              <w:t> </w:t>
            </w:r>
            <w:r>
              <w:rPr>
                <w:spacing w:val="-10"/>
                <w:sz w:val="24"/>
              </w:rPr>
              <w:t>OMEP</w:t>
            </w:r>
          </w:p>
        </w:tc>
      </w:tr>
      <w:tr>
        <w:trPr>
          <w:trHeight w:val="326" w:hRule="atLeast"/>
        </w:trPr>
        <w:tc>
          <w:tcPr>
            <w:tcW w:w="4390" w:type="dxa"/>
          </w:tcPr>
          <w:p>
            <w:pPr>
              <w:pStyle w:val="TableParagraph"/>
              <w:spacing w:line="275" w:lineRule="exact" w:before="31"/>
              <w:ind w:left="107"/>
              <w:rPr>
                <w:sz w:val="24"/>
              </w:rPr>
            </w:pPr>
            <w:r>
              <w:rPr>
                <w:sz w:val="24"/>
              </w:rPr>
              <w:t>Aspecto</w:t>
            </w:r>
            <w:r>
              <w:rPr>
                <w:spacing w:val="-7"/>
                <w:sz w:val="24"/>
              </w:rPr>
              <w:t> </w:t>
            </w:r>
            <w:r>
              <w:rPr>
                <w:sz w:val="24"/>
              </w:rPr>
              <w:t>de</w:t>
            </w:r>
            <w:r>
              <w:rPr>
                <w:spacing w:val="-6"/>
                <w:sz w:val="24"/>
              </w:rPr>
              <w:t> </w:t>
            </w:r>
            <w:r>
              <w:rPr>
                <w:spacing w:val="-2"/>
                <w:sz w:val="24"/>
              </w:rPr>
              <w:t>mejora</w:t>
            </w:r>
          </w:p>
        </w:tc>
        <w:tc>
          <w:tcPr>
            <w:tcW w:w="4105" w:type="dxa"/>
          </w:tcPr>
          <w:p>
            <w:pPr>
              <w:pStyle w:val="TableParagraph"/>
              <w:spacing w:line="275" w:lineRule="exact" w:before="31"/>
              <w:ind w:left="107"/>
              <w:rPr>
                <w:sz w:val="24"/>
              </w:rPr>
            </w:pPr>
            <w:r>
              <w:rPr>
                <w:spacing w:val="-2"/>
                <w:sz w:val="24"/>
              </w:rPr>
              <w:t>Diseño</w:t>
            </w:r>
          </w:p>
        </w:tc>
      </w:tr>
      <w:tr>
        <w:trPr>
          <w:trHeight w:val="1962" w:hRule="atLeast"/>
        </w:trPr>
        <w:tc>
          <w:tcPr>
            <w:tcW w:w="8495" w:type="dxa"/>
            <w:gridSpan w:val="2"/>
          </w:tcPr>
          <w:p>
            <w:pPr>
              <w:pStyle w:val="TableParagraph"/>
              <w:spacing w:before="34"/>
              <w:ind w:left="107"/>
              <w:rPr>
                <w:rFonts w:ascii="Arial" w:hAnsi="Arial"/>
                <w:i/>
                <w:sz w:val="24"/>
              </w:rPr>
            </w:pPr>
            <w:r>
              <w:rPr>
                <w:rFonts w:ascii="Arial" w:hAnsi="Arial"/>
                <w:i/>
                <w:spacing w:val="-2"/>
                <w:sz w:val="24"/>
              </w:rPr>
              <w:t>Recomendación:</w:t>
            </w:r>
          </w:p>
          <w:p>
            <w:pPr>
              <w:pStyle w:val="TableParagraph"/>
              <w:spacing w:line="283" w:lineRule="auto" w:before="50"/>
              <w:ind w:left="107"/>
              <w:rPr>
                <w:sz w:val="24"/>
              </w:rPr>
            </w:pPr>
            <w:r>
              <w:rPr>
                <w:sz w:val="24"/>
              </w:rPr>
              <w:t>Crear</w:t>
            </w:r>
            <w:r>
              <w:rPr>
                <w:spacing w:val="-6"/>
                <w:sz w:val="24"/>
              </w:rPr>
              <w:t> </w:t>
            </w:r>
            <w:r>
              <w:rPr>
                <w:sz w:val="24"/>
              </w:rPr>
              <w:t>un</w:t>
            </w:r>
            <w:r>
              <w:rPr>
                <w:spacing w:val="-6"/>
                <w:sz w:val="24"/>
              </w:rPr>
              <w:t> </w:t>
            </w:r>
            <w:r>
              <w:rPr>
                <w:sz w:val="24"/>
              </w:rPr>
              <w:t>grupo</w:t>
            </w:r>
            <w:r>
              <w:rPr>
                <w:spacing w:val="-5"/>
                <w:sz w:val="24"/>
              </w:rPr>
              <w:t> </w:t>
            </w:r>
            <w:r>
              <w:rPr>
                <w:sz w:val="24"/>
              </w:rPr>
              <w:t>de</w:t>
            </w:r>
            <w:r>
              <w:rPr>
                <w:spacing w:val="-6"/>
                <w:sz w:val="24"/>
              </w:rPr>
              <w:t> </w:t>
            </w:r>
            <w:r>
              <w:rPr>
                <w:sz w:val="24"/>
              </w:rPr>
              <w:t>trabajo</w:t>
            </w:r>
            <w:r>
              <w:rPr>
                <w:spacing w:val="-7"/>
                <w:sz w:val="24"/>
              </w:rPr>
              <w:t> </w:t>
            </w:r>
            <w:r>
              <w:rPr>
                <w:sz w:val="24"/>
              </w:rPr>
              <w:t>integrado</w:t>
            </w:r>
            <w:r>
              <w:rPr>
                <w:spacing w:val="-5"/>
                <w:sz w:val="24"/>
              </w:rPr>
              <w:t> </w:t>
            </w:r>
            <w:r>
              <w:rPr>
                <w:sz w:val="24"/>
              </w:rPr>
              <w:t>por</w:t>
            </w:r>
            <w:r>
              <w:rPr>
                <w:spacing w:val="-2"/>
                <w:sz w:val="24"/>
              </w:rPr>
              <w:t> </w:t>
            </w:r>
            <w:r>
              <w:rPr>
                <w:sz w:val="24"/>
              </w:rPr>
              <w:t>DPIGND,</w:t>
            </w:r>
            <w:r>
              <w:rPr>
                <w:spacing w:val="-4"/>
                <w:sz w:val="24"/>
              </w:rPr>
              <w:t> </w:t>
            </w:r>
            <w:r>
              <w:rPr>
                <w:sz w:val="24"/>
              </w:rPr>
              <w:t>OP</w:t>
            </w:r>
            <w:r>
              <w:rPr>
                <w:spacing w:val="-5"/>
                <w:sz w:val="24"/>
              </w:rPr>
              <w:t> </w:t>
            </w:r>
            <w:r>
              <w:rPr>
                <w:sz w:val="24"/>
              </w:rPr>
              <w:t>y</w:t>
            </w:r>
            <w:r>
              <w:rPr>
                <w:spacing w:val="-6"/>
                <w:sz w:val="24"/>
              </w:rPr>
              <w:t> </w:t>
            </w:r>
            <w:r>
              <w:rPr>
                <w:sz w:val="24"/>
              </w:rPr>
              <w:t>OMEP,</w:t>
            </w:r>
            <w:r>
              <w:rPr>
                <w:spacing w:val="-3"/>
                <w:sz w:val="24"/>
              </w:rPr>
              <w:t> </w:t>
            </w:r>
            <w:r>
              <w:rPr>
                <w:sz w:val="24"/>
              </w:rPr>
              <w:t>el</w:t>
            </w:r>
            <w:r>
              <w:rPr>
                <w:spacing w:val="-7"/>
                <w:sz w:val="24"/>
              </w:rPr>
              <w:t> </w:t>
            </w:r>
            <w:r>
              <w:rPr>
                <w:sz w:val="24"/>
              </w:rPr>
              <w:t>cual</w:t>
            </w:r>
            <w:r>
              <w:rPr>
                <w:spacing w:val="-5"/>
                <w:sz w:val="24"/>
              </w:rPr>
              <w:t> </w:t>
            </w:r>
            <w:r>
              <w:rPr>
                <w:sz w:val="24"/>
              </w:rPr>
              <w:t>tendrá por objetivo definir el alcance de la actualización de la PNIG. Posterior a ello este grupo de trabajo elaborará un plan de trabajo para implementar la </w:t>
            </w:r>
            <w:r>
              <w:rPr>
                <w:spacing w:val="-2"/>
                <w:sz w:val="24"/>
              </w:rPr>
              <w:t>actualización.</w:t>
            </w:r>
          </w:p>
        </w:tc>
      </w:tr>
      <w:tr>
        <w:trPr>
          <w:trHeight w:val="325" w:hRule="atLeast"/>
        </w:trPr>
        <w:tc>
          <w:tcPr>
            <w:tcW w:w="4390" w:type="dxa"/>
          </w:tcPr>
          <w:p>
            <w:pPr>
              <w:pStyle w:val="TableParagraph"/>
              <w:spacing w:line="275" w:lineRule="exact" w:before="31"/>
              <w:ind w:left="107"/>
              <w:rPr>
                <w:sz w:val="24"/>
              </w:rPr>
            </w:pPr>
            <w:r>
              <w:rPr>
                <w:spacing w:val="-4"/>
                <w:sz w:val="24"/>
              </w:rPr>
              <w:t>Plazo</w:t>
            </w:r>
          </w:p>
        </w:tc>
        <w:tc>
          <w:tcPr>
            <w:tcW w:w="4105" w:type="dxa"/>
          </w:tcPr>
          <w:p>
            <w:pPr>
              <w:pStyle w:val="TableParagraph"/>
              <w:spacing w:line="275" w:lineRule="exact" w:before="31"/>
              <w:ind w:left="107"/>
              <w:rPr>
                <w:sz w:val="24"/>
              </w:rPr>
            </w:pPr>
            <w:r>
              <w:rPr>
                <w:spacing w:val="-2"/>
                <w:w w:val="105"/>
                <w:sz w:val="24"/>
              </w:rPr>
              <w:t>Primer</w:t>
            </w:r>
            <w:r>
              <w:rPr>
                <w:spacing w:val="-8"/>
                <w:w w:val="105"/>
                <w:sz w:val="24"/>
              </w:rPr>
              <w:t> </w:t>
            </w:r>
            <w:r>
              <w:rPr>
                <w:spacing w:val="-2"/>
                <w:w w:val="105"/>
                <w:sz w:val="24"/>
              </w:rPr>
              <w:t>trimestre</w:t>
            </w:r>
            <w:r>
              <w:rPr>
                <w:spacing w:val="-8"/>
                <w:w w:val="105"/>
                <w:sz w:val="24"/>
              </w:rPr>
              <w:t> </w:t>
            </w:r>
            <w:r>
              <w:rPr>
                <w:spacing w:val="-2"/>
                <w:w w:val="105"/>
                <w:sz w:val="24"/>
              </w:rPr>
              <w:t>del</w:t>
            </w:r>
            <w:r>
              <w:rPr>
                <w:spacing w:val="-9"/>
                <w:w w:val="105"/>
                <w:sz w:val="24"/>
              </w:rPr>
              <w:t> </w:t>
            </w:r>
            <w:r>
              <w:rPr>
                <w:spacing w:val="-2"/>
                <w:w w:val="105"/>
                <w:sz w:val="24"/>
              </w:rPr>
              <w:t>2025.</w:t>
            </w:r>
          </w:p>
        </w:tc>
      </w:tr>
    </w:tbl>
    <w:sectPr>
      <w:pgSz w:w="11910" w:h="16840"/>
      <w:pgMar w:header="713" w:footer="1000" w:top="1420" w:bottom="1200" w:left="1559" w:right="992"/>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Calibri">
    <w:altName w:val="Calibri"/>
    <w:charset w:val="1"/>
    <w:family w:val="roman"/>
    <w:pitch w:val="variable"/>
  </w:font>
  <w:font w:name="Courier New">
    <w:altName w:val="Courier New"/>
    <w:charset w:val="1"/>
    <w:family w:val="modern"/>
    <w:pitch w:val="default"/>
  </w:font>
  <w:font w:name="Verdana">
    <w:altName w:val="Verdana"/>
    <w:charset w:val="1"/>
    <w:family w:val="swiss"/>
    <w:pitch w:val="variable"/>
  </w:font>
  <w:font w:name="Arial">
    <w:altName w:val="Arial"/>
    <w:charset w:val="1"/>
    <w:family w:val="swiss"/>
    <w:pitch w:val="variable"/>
  </w:font>
  <w:font w:name="Symbol">
    <w:altName w:val="Symbol"/>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238336">
              <wp:simplePos x="0" y="0"/>
              <wp:positionH relativeFrom="page">
                <wp:posOffset>6326885</wp:posOffset>
              </wp:positionH>
              <wp:positionV relativeFrom="page">
                <wp:posOffset>9917379</wp:posOffset>
              </wp:positionV>
              <wp:extent cx="207010" cy="165735"/>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20701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498.179993pt;margin-top:780.895996pt;width:16.3pt;height:13.05pt;mso-position-horizontal-relative:page;mso-position-vertical-relative:page;z-index:-19078144" type="#_x0000_t202" id="docshape1" filled="false" stroked="false">
              <v:textbox inset="0,0,0,0">
                <w:txbxContent>
                  <w:p>
                    <w:pPr>
                      <w:spacing w:line="245" w:lineRule="exact" w:before="0"/>
                      <w:ind w:left="2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4237312">
          <wp:simplePos x="0" y="0"/>
          <wp:positionH relativeFrom="page">
            <wp:posOffset>5413770</wp:posOffset>
          </wp:positionH>
          <wp:positionV relativeFrom="page">
            <wp:posOffset>453013</wp:posOffset>
          </wp:positionV>
          <wp:extent cx="1025212" cy="399680"/>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1025212" cy="399680"/>
                  </a:xfrm>
                  <a:prstGeom prst="rect">
                    <a:avLst/>
                  </a:prstGeom>
                </pic:spPr>
              </pic:pic>
            </a:graphicData>
          </a:graphic>
        </wp:anchor>
      </w:drawing>
    </w:r>
    <w:r>
      <w:rPr>
        <w:sz w:val="20"/>
      </w:rPr>
      <w:drawing>
        <wp:anchor distT="0" distB="0" distL="0" distR="0" allowOverlap="1" layoutInCell="1" locked="0" behindDoc="1" simplePos="0" relativeHeight="484237824">
          <wp:simplePos x="0" y="0"/>
          <wp:positionH relativeFrom="page">
            <wp:posOffset>1133478</wp:posOffset>
          </wp:positionH>
          <wp:positionV relativeFrom="page">
            <wp:posOffset>454659</wp:posOffset>
          </wp:positionV>
          <wp:extent cx="2051681" cy="434340"/>
          <wp:effectExtent l="0" t="0" r="0" b="0"/>
          <wp:wrapNone/>
          <wp:docPr id="2" name="Image 2"/>
          <wp:cNvGraphicFramePr>
            <a:graphicFrameLocks/>
          </wp:cNvGraphicFramePr>
          <a:graphic>
            <a:graphicData uri="http://schemas.openxmlformats.org/drawingml/2006/picture">
              <pic:pic>
                <pic:nvPicPr>
                  <pic:cNvPr id="2" name="Image 2"/>
                  <pic:cNvPicPr/>
                </pic:nvPicPr>
                <pic:blipFill>
                  <a:blip r:embed="rId2" cstate="print"/>
                  <a:stretch>
                    <a:fillRect/>
                  </a:stretch>
                </pic:blipFill>
                <pic:spPr>
                  <a:xfrm>
                    <a:off x="0" y="0"/>
                    <a:ext cx="2051681" cy="434340"/>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multiLevelType w:val="hybridMultilevel"/>
    <w:lvl w:ilvl="0">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21">
    <w:multiLevelType w:val="hybridMultilevel"/>
    <w:lvl w:ilvl="0">
      <w:start w:val="0"/>
      <w:numFmt w:val="bullet"/>
      <w:lvlText w:val=""/>
      <w:lvlJc w:val="left"/>
      <w:pPr>
        <w:ind w:left="863" w:hanging="360"/>
      </w:pPr>
      <w:rPr>
        <w:rFonts w:hint="default" w:ascii="Symbol" w:hAnsi="Symbol" w:eastAsia="Symbol" w:cs="Symbol"/>
        <w:b w:val="0"/>
        <w:bCs w:val="0"/>
        <w:i w:val="0"/>
        <w:iCs w:val="0"/>
        <w:spacing w:val="0"/>
        <w:w w:val="100"/>
        <w:sz w:val="24"/>
        <w:szCs w:val="24"/>
        <w:lang w:val="es-ES" w:eastAsia="en-US" w:bidi="ar-SA"/>
      </w:rPr>
    </w:lvl>
    <w:lvl w:ilvl="1">
      <w:start w:val="0"/>
      <w:numFmt w:val="bullet"/>
      <w:lvlText w:val=""/>
      <w:lvlJc w:val="left"/>
      <w:pPr>
        <w:ind w:left="1223" w:hanging="360"/>
      </w:pPr>
      <w:rPr>
        <w:rFonts w:hint="default" w:ascii="Symbol" w:hAnsi="Symbol" w:eastAsia="Symbol" w:cs="Symbol"/>
        <w:b w:val="0"/>
        <w:bCs w:val="0"/>
        <w:i w:val="0"/>
        <w:iCs w:val="0"/>
        <w:spacing w:val="0"/>
        <w:w w:val="100"/>
        <w:sz w:val="24"/>
        <w:szCs w:val="24"/>
        <w:lang w:val="es-ES" w:eastAsia="en-US" w:bidi="ar-SA"/>
      </w:rPr>
    </w:lvl>
    <w:lvl w:ilvl="2">
      <w:start w:val="0"/>
      <w:numFmt w:val="bullet"/>
      <w:lvlText w:val="•"/>
      <w:lvlJc w:val="left"/>
      <w:pPr>
        <w:ind w:left="2123" w:hanging="360"/>
      </w:pPr>
      <w:rPr>
        <w:rFonts w:hint="default"/>
        <w:lang w:val="es-ES" w:eastAsia="en-US" w:bidi="ar-SA"/>
      </w:rPr>
    </w:lvl>
    <w:lvl w:ilvl="3">
      <w:start w:val="0"/>
      <w:numFmt w:val="bullet"/>
      <w:lvlText w:val="•"/>
      <w:lvlJc w:val="left"/>
      <w:pPr>
        <w:ind w:left="3027" w:hanging="360"/>
      </w:pPr>
      <w:rPr>
        <w:rFonts w:hint="default"/>
        <w:lang w:val="es-ES" w:eastAsia="en-US" w:bidi="ar-SA"/>
      </w:rPr>
    </w:lvl>
    <w:lvl w:ilvl="4">
      <w:start w:val="0"/>
      <w:numFmt w:val="bullet"/>
      <w:lvlText w:val="•"/>
      <w:lvlJc w:val="left"/>
      <w:pPr>
        <w:ind w:left="3931" w:hanging="360"/>
      </w:pPr>
      <w:rPr>
        <w:rFonts w:hint="default"/>
        <w:lang w:val="es-ES" w:eastAsia="en-US" w:bidi="ar-SA"/>
      </w:rPr>
    </w:lvl>
    <w:lvl w:ilvl="5">
      <w:start w:val="0"/>
      <w:numFmt w:val="bullet"/>
      <w:lvlText w:val="•"/>
      <w:lvlJc w:val="left"/>
      <w:pPr>
        <w:ind w:left="4835" w:hanging="360"/>
      </w:pPr>
      <w:rPr>
        <w:rFonts w:hint="default"/>
        <w:lang w:val="es-ES" w:eastAsia="en-US" w:bidi="ar-SA"/>
      </w:rPr>
    </w:lvl>
    <w:lvl w:ilvl="6">
      <w:start w:val="0"/>
      <w:numFmt w:val="bullet"/>
      <w:lvlText w:val="•"/>
      <w:lvlJc w:val="left"/>
      <w:pPr>
        <w:ind w:left="5739" w:hanging="360"/>
      </w:pPr>
      <w:rPr>
        <w:rFonts w:hint="default"/>
        <w:lang w:val="es-ES" w:eastAsia="en-US" w:bidi="ar-SA"/>
      </w:rPr>
    </w:lvl>
    <w:lvl w:ilvl="7">
      <w:start w:val="0"/>
      <w:numFmt w:val="bullet"/>
      <w:lvlText w:val="•"/>
      <w:lvlJc w:val="left"/>
      <w:pPr>
        <w:ind w:left="6643" w:hanging="360"/>
      </w:pPr>
      <w:rPr>
        <w:rFonts w:hint="default"/>
        <w:lang w:val="es-ES" w:eastAsia="en-US" w:bidi="ar-SA"/>
      </w:rPr>
    </w:lvl>
    <w:lvl w:ilvl="8">
      <w:start w:val="0"/>
      <w:numFmt w:val="bullet"/>
      <w:lvlText w:val="•"/>
      <w:lvlJc w:val="left"/>
      <w:pPr>
        <w:ind w:left="7547" w:hanging="360"/>
      </w:pPr>
      <w:rPr>
        <w:rFonts w:hint="default"/>
        <w:lang w:val="es-ES" w:eastAsia="en-US" w:bidi="ar-SA"/>
      </w:rPr>
    </w:lvl>
  </w:abstractNum>
  <w:abstractNum w:abstractNumId="20">
    <w:multiLevelType w:val="hybridMultilevel"/>
    <w:lvl w:ilvl="0">
      <w:start w:val="0"/>
      <w:numFmt w:val="bullet"/>
      <w:lvlText w:val="o"/>
      <w:lvlJc w:val="left"/>
      <w:pPr>
        <w:ind w:left="1583" w:hanging="360"/>
      </w:pPr>
      <w:rPr>
        <w:rFonts w:hint="default" w:ascii="Courier New" w:hAnsi="Courier New" w:eastAsia="Courier New" w:cs="Courier New"/>
        <w:b w:val="0"/>
        <w:bCs w:val="0"/>
        <w:i w:val="0"/>
        <w:iCs w:val="0"/>
        <w:spacing w:val="0"/>
        <w:w w:val="100"/>
        <w:sz w:val="24"/>
        <w:szCs w:val="24"/>
        <w:lang w:val="es-ES" w:eastAsia="en-US" w:bidi="ar-SA"/>
      </w:rPr>
    </w:lvl>
    <w:lvl w:ilvl="1">
      <w:start w:val="0"/>
      <w:numFmt w:val="bullet"/>
      <w:lvlText w:val="•"/>
      <w:lvlJc w:val="left"/>
      <w:pPr>
        <w:ind w:left="2357" w:hanging="360"/>
      </w:pPr>
      <w:rPr>
        <w:rFonts w:hint="default"/>
        <w:lang w:val="es-ES" w:eastAsia="en-US" w:bidi="ar-SA"/>
      </w:rPr>
    </w:lvl>
    <w:lvl w:ilvl="2">
      <w:start w:val="0"/>
      <w:numFmt w:val="bullet"/>
      <w:lvlText w:val="•"/>
      <w:lvlJc w:val="left"/>
      <w:pPr>
        <w:ind w:left="3135" w:hanging="360"/>
      </w:pPr>
      <w:rPr>
        <w:rFonts w:hint="default"/>
        <w:lang w:val="es-ES" w:eastAsia="en-US" w:bidi="ar-SA"/>
      </w:rPr>
    </w:lvl>
    <w:lvl w:ilvl="3">
      <w:start w:val="0"/>
      <w:numFmt w:val="bullet"/>
      <w:lvlText w:val="•"/>
      <w:lvlJc w:val="left"/>
      <w:pPr>
        <w:ind w:left="3912" w:hanging="360"/>
      </w:pPr>
      <w:rPr>
        <w:rFonts w:hint="default"/>
        <w:lang w:val="es-ES" w:eastAsia="en-US" w:bidi="ar-SA"/>
      </w:rPr>
    </w:lvl>
    <w:lvl w:ilvl="4">
      <w:start w:val="0"/>
      <w:numFmt w:val="bullet"/>
      <w:lvlText w:val="•"/>
      <w:lvlJc w:val="left"/>
      <w:pPr>
        <w:ind w:left="4690" w:hanging="360"/>
      </w:pPr>
      <w:rPr>
        <w:rFonts w:hint="default"/>
        <w:lang w:val="es-ES" w:eastAsia="en-US" w:bidi="ar-SA"/>
      </w:rPr>
    </w:lvl>
    <w:lvl w:ilvl="5">
      <w:start w:val="0"/>
      <w:numFmt w:val="bullet"/>
      <w:lvlText w:val="•"/>
      <w:lvlJc w:val="left"/>
      <w:pPr>
        <w:ind w:left="5467" w:hanging="360"/>
      </w:pPr>
      <w:rPr>
        <w:rFonts w:hint="default"/>
        <w:lang w:val="es-ES" w:eastAsia="en-US" w:bidi="ar-SA"/>
      </w:rPr>
    </w:lvl>
    <w:lvl w:ilvl="6">
      <w:start w:val="0"/>
      <w:numFmt w:val="bullet"/>
      <w:lvlText w:val="•"/>
      <w:lvlJc w:val="left"/>
      <w:pPr>
        <w:ind w:left="6245" w:hanging="360"/>
      </w:pPr>
      <w:rPr>
        <w:rFonts w:hint="default"/>
        <w:lang w:val="es-ES" w:eastAsia="en-US" w:bidi="ar-SA"/>
      </w:rPr>
    </w:lvl>
    <w:lvl w:ilvl="7">
      <w:start w:val="0"/>
      <w:numFmt w:val="bullet"/>
      <w:lvlText w:val="•"/>
      <w:lvlJc w:val="left"/>
      <w:pPr>
        <w:ind w:left="7022" w:hanging="360"/>
      </w:pPr>
      <w:rPr>
        <w:rFonts w:hint="default"/>
        <w:lang w:val="es-ES" w:eastAsia="en-US" w:bidi="ar-SA"/>
      </w:rPr>
    </w:lvl>
    <w:lvl w:ilvl="8">
      <w:start w:val="0"/>
      <w:numFmt w:val="bullet"/>
      <w:lvlText w:val="•"/>
      <w:lvlJc w:val="left"/>
      <w:pPr>
        <w:ind w:left="7800" w:hanging="360"/>
      </w:pPr>
      <w:rPr>
        <w:rFonts w:hint="default"/>
        <w:lang w:val="es-ES" w:eastAsia="en-US" w:bidi="ar-SA"/>
      </w:rPr>
    </w:lvl>
  </w:abstractNum>
  <w:abstractNum w:abstractNumId="19">
    <w:multiLevelType w:val="hybridMultilevel"/>
    <w:lvl w:ilvl="0">
      <w:start w:val="0"/>
      <w:numFmt w:val="bullet"/>
      <w:lvlText w:val=""/>
      <w:lvlJc w:val="left"/>
      <w:pPr>
        <w:ind w:left="863" w:hanging="360"/>
      </w:pPr>
      <w:rPr>
        <w:rFonts w:hint="default" w:ascii="Symbol" w:hAnsi="Symbol" w:eastAsia="Symbol" w:cs="Symbol"/>
        <w:b w:val="0"/>
        <w:bCs w:val="0"/>
        <w:i w:val="0"/>
        <w:iCs w:val="0"/>
        <w:spacing w:val="0"/>
        <w:w w:val="100"/>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18">
    <w:multiLevelType w:val="hybridMultilevel"/>
    <w:lvl w:ilvl="0">
      <w:start w:val="1"/>
      <w:numFmt w:val="decimal"/>
      <w:lvlText w:val="%1."/>
      <w:lvlJc w:val="left"/>
      <w:pPr>
        <w:ind w:left="863" w:hanging="360"/>
        <w:jc w:val="left"/>
      </w:pPr>
      <w:rPr>
        <w:rFonts w:hint="default" w:ascii="Arial MT" w:hAnsi="Arial MT" w:eastAsia="Arial MT" w:cs="Arial MT"/>
        <w:b w:val="0"/>
        <w:bCs w:val="0"/>
        <w:i w:val="0"/>
        <w:iCs w:val="0"/>
        <w:spacing w:val="-1"/>
        <w:w w:val="96"/>
        <w:sz w:val="24"/>
        <w:szCs w:val="24"/>
        <w:lang w:val="es-ES" w:eastAsia="en-US" w:bidi="ar-SA"/>
      </w:rPr>
    </w:lvl>
    <w:lvl w:ilvl="1">
      <w:start w:val="0"/>
      <w:numFmt w:val="bullet"/>
      <w:lvlText w:val=""/>
      <w:lvlJc w:val="left"/>
      <w:pPr>
        <w:ind w:left="863" w:hanging="360"/>
      </w:pPr>
      <w:rPr>
        <w:rFonts w:hint="default" w:ascii="Symbol" w:hAnsi="Symbol" w:eastAsia="Symbol" w:cs="Symbol"/>
        <w:b w:val="0"/>
        <w:bCs w:val="0"/>
        <w:i w:val="0"/>
        <w:iCs w:val="0"/>
        <w:spacing w:val="0"/>
        <w:w w:val="100"/>
        <w:sz w:val="24"/>
        <w:szCs w:val="24"/>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17">
    <w:multiLevelType w:val="hybridMultilevel"/>
    <w:lvl w:ilvl="0">
      <w:start w:val="0"/>
      <w:numFmt w:val="bullet"/>
      <w:lvlText w:val=""/>
      <w:lvlJc w:val="left"/>
      <w:pPr>
        <w:ind w:left="863" w:hanging="360"/>
      </w:pPr>
      <w:rPr>
        <w:rFonts w:hint="default" w:ascii="Symbol" w:hAnsi="Symbol" w:eastAsia="Symbol" w:cs="Symbol"/>
        <w:b w:val="0"/>
        <w:bCs w:val="0"/>
        <w:i w:val="0"/>
        <w:iCs w:val="0"/>
        <w:spacing w:val="0"/>
        <w:w w:val="100"/>
        <w:sz w:val="24"/>
        <w:szCs w:val="24"/>
        <w:lang w:val="es-ES" w:eastAsia="en-US" w:bidi="ar-SA"/>
      </w:rPr>
    </w:lvl>
    <w:lvl w:ilvl="1">
      <w:start w:val="0"/>
      <w:numFmt w:val="bullet"/>
      <w:lvlText w:val="o"/>
      <w:lvlJc w:val="left"/>
      <w:pPr>
        <w:ind w:left="1583" w:hanging="360"/>
      </w:pPr>
      <w:rPr>
        <w:rFonts w:hint="default" w:ascii="Courier New" w:hAnsi="Courier New" w:eastAsia="Courier New" w:cs="Courier New"/>
        <w:b w:val="0"/>
        <w:bCs w:val="0"/>
        <w:i w:val="0"/>
        <w:iCs w:val="0"/>
        <w:spacing w:val="0"/>
        <w:w w:val="100"/>
        <w:sz w:val="24"/>
        <w:szCs w:val="24"/>
        <w:lang w:val="es-ES" w:eastAsia="en-US" w:bidi="ar-SA"/>
      </w:rPr>
    </w:lvl>
    <w:lvl w:ilvl="2">
      <w:start w:val="0"/>
      <w:numFmt w:val="bullet"/>
      <w:lvlText w:val="•"/>
      <w:lvlJc w:val="left"/>
      <w:pPr>
        <w:ind w:left="2443" w:hanging="360"/>
      </w:pPr>
      <w:rPr>
        <w:rFonts w:hint="default"/>
        <w:lang w:val="es-ES" w:eastAsia="en-US" w:bidi="ar-SA"/>
      </w:rPr>
    </w:lvl>
    <w:lvl w:ilvl="3">
      <w:start w:val="0"/>
      <w:numFmt w:val="bullet"/>
      <w:lvlText w:val="•"/>
      <w:lvlJc w:val="left"/>
      <w:pPr>
        <w:ind w:left="3307" w:hanging="360"/>
      </w:pPr>
      <w:rPr>
        <w:rFonts w:hint="default"/>
        <w:lang w:val="es-ES" w:eastAsia="en-US" w:bidi="ar-SA"/>
      </w:rPr>
    </w:lvl>
    <w:lvl w:ilvl="4">
      <w:start w:val="0"/>
      <w:numFmt w:val="bullet"/>
      <w:lvlText w:val="•"/>
      <w:lvlJc w:val="left"/>
      <w:pPr>
        <w:ind w:left="4171" w:hanging="360"/>
      </w:pPr>
      <w:rPr>
        <w:rFonts w:hint="default"/>
        <w:lang w:val="es-ES" w:eastAsia="en-US" w:bidi="ar-SA"/>
      </w:rPr>
    </w:lvl>
    <w:lvl w:ilvl="5">
      <w:start w:val="0"/>
      <w:numFmt w:val="bullet"/>
      <w:lvlText w:val="•"/>
      <w:lvlJc w:val="left"/>
      <w:pPr>
        <w:ind w:left="5035" w:hanging="360"/>
      </w:pPr>
      <w:rPr>
        <w:rFonts w:hint="default"/>
        <w:lang w:val="es-ES" w:eastAsia="en-US" w:bidi="ar-SA"/>
      </w:rPr>
    </w:lvl>
    <w:lvl w:ilvl="6">
      <w:start w:val="0"/>
      <w:numFmt w:val="bullet"/>
      <w:lvlText w:val="•"/>
      <w:lvlJc w:val="left"/>
      <w:pPr>
        <w:ind w:left="5899" w:hanging="360"/>
      </w:pPr>
      <w:rPr>
        <w:rFonts w:hint="default"/>
        <w:lang w:val="es-ES" w:eastAsia="en-US" w:bidi="ar-SA"/>
      </w:rPr>
    </w:lvl>
    <w:lvl w:ilvl="7">
      <w:start w:val="0"/>
      <w:numFmt w:val="bullet"/>
      <w:lvlText w:val="•"/>
      <w:lvlJc w:val="left"/>
      <w:pPr>
        <w:ind w:left="6763" w:hanging="360"/>
      </w:pPr>
      <w:rPr>
        <w:rFonts w:hint="default"/>
        <w:lang w:val="es-ES" w:eastAsia="en-US" w:bidi="ar-SA"/>
      </w:rPr>
    </w:lvl>
    <w:lvl w:ilvl="8">
      <w:start w:val="0"/>
      <w:numFmt w:val="bullet"/>
      <w:lvlText w:val="•"/>
      <w:lvlJc w:val="left"/>
      <w:pPr>
        <w:ind w:left="7627" w:hanging="360"/>
      </w:pPr>
      <w:rPr>
        <w:rFonts w:hint="default"/>
        <w:lang w:val="es-ES" w:eastAsia="en-US" w:bidi="ar-SA"/>
      </w:rPr>
    </w:lvl>
  </w:abstractNum>
  <w:abstractNum w:abstractNumId="16">
    <w:multiLevelType w:val="hybridMultilevel"/>
    <w:lvl w:ilvl="0">
      <w:start w:val="0"/>
      <w:numFmt w:val="bullet"/>
      <w:lvlText w:val=""/>
      <w:lvlJc w:val="left"/>
      <w:pPr>
        <w:ind w:left="863" w:hanging="360"/>
      </w:pPr>
      <w:rPr>
        <w:rFonts w:hint="default" w:ascii="Symbol" w:hAnsi="Symbol" w:eastAsia="Symbol" w:cs="Symbol"/>
        <w:b w:val="0"/>
        <w:bCs w:val="0"/>
        <w:i w:val="0"/>
        <w:iCs w:val="0"/>
        <w:spacing w:val="0"/>
        <w:w w:val="100"/>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15">
    <w:multiLevelType w:val="hybridMultilevel"/>
    <w:lvl w:ilvl="0">
      <w:start w:val="3"/>
      <w:numFmt w:val="decimal"/>
      <w:lvlText w:val="%1"/>
      <w:lvlJc w:val="left"/>
      <w:pPr>
        <w:ind w:left="143" w:hanging="427"/>
        <w:jc w:val="left"/>
      </w:pPr>
      <w:rPr>
        <w:rFonts w:hint="default"/>
        <w:lang w:val="es-ES" w:eastAsia="en-US" w:bidi="ar-SA"/>
      </w:rPr>
    </w:lvl>
    <w:lvl w:ilvl="1">
      <w:start w:val="3"/>
      <w:numFmt w:val="decimal"/>
      <w:lvlText w:val="%1.%2"/>
      <w:lvlJc w:val="left"/>
      <w:pPr>
        <w:ind w:left="143" w:hanging="427"/>
        <w:jc w:val="left"/>
      </w:pPr>
      <w:rPr>
        <w:rFonts w:hint="default" w:ascii="Arial MT" w:hAnsi="Arial MT" w:eastAsia="Arial MT" w:cs="Arial MT"/>
        <w:b w:val="0"/>
        <w:bCs w:val="0"/>
        <w:i w:val="0"/>
        <w:iCs w:val="0"/>
        <w:color w:val="2E5395"/>
        <w:spacing w:val="0"/>
        <w:w w:val="96"/>
        <w:sz w:val="26"/>
        <w:szCs w:val="26"/>
        <w:lang w:val="es-ES" w:eastAsia="en-US" w:bidi="ar-SA"/>
      </w:rPr>
    </w:lvl>
    <w:lvl w:ilvl="2">
      <w:start w:val="0"/>
      <w:numFmt w:val="bullet"/>
      <w:lvlText w:val="•"/>
      <w:lvlJc w:val="left"/>
      <w:pPr>
        <w:ind w:left="1983" w:hanging="427"/>
      </w:pPr>
      <w:rPr>
        <w:rFonts w:hint="default"/>
        <w:lang w:val="es-ES" w:eastAsia="en-US" w:bidi="ar-SA"/>
      </w:rPr>
    </w:lvl>
    <w:lvl w:ilvl="3">
      <w:start w:val="0"/>
      <w:numFmt w:val="bullet"/>
      <w:lvlText w:val="•"/>
      <w:lvlJc w:val="left"/>
      <w:pPr>
        <w:ind w:left="2904" w:hanging="427"/>
      </w:pPr>
      <w:rPr>
        <w:rFonts w:hint="default"/>
        <w:lang w:val="es-ES" w:eastAsia="en-US" w:bidi="ar-SA"/>
      </w:rPr>
    </w:lvl>
    <w:lvl w:ilvl="4">
      <w:start w:val="0"/>
      <w:numFmt w:val="bullet"/>
      <w:lvlText w:val="•"/>
      <w:lvlJc w:val="left"/>
      <w:pPr>
        <w:ind w:left="3826" w:hanging="427"/>
      </w:pPr>
      <w:rPr>
        <w:rFonts w:hint="default"/>
        <w:lang w:val="es-ES" w:eastAsia="en-US" w:bidi="ar-SA"/>
      </w:rPr>
    </w:lvl>
    <w:lvl w:ilvl="5">
      <w:start w:val="0"/>
      <w:numFmt w:val="bullet"/>
      <w:lvlText w:val="•"/>
      <w:lvlJc w:val="left"/>
      <w:pPr>
        <w:ind w:left="4747" w:hanging="427"/>
      </w:pPr>
      <w:rPr>
        <w:rFonts w:hint="default"/>
        <w:lang w:val="es-ES" w:eastAsia="en-US" w:bidi="ar-SA"/>
      </w:rPr>
    </w:lvl>
    <w:lvl w:ilvl="6">
      <w:start w:val="0"/>
      <w:numFmt w:val="bullet"/>
      <w:lvlText w:val="•"/>
      <w:lvlJc w:val="left"/>
      <w:pPr>
        <w:ind w:left="5669" w:hanging="427"/>
      </w:pPr>
      <w:rPr>
        <w:rFonts w:hint="default"/>
        <w:lang w:val="es-ES" w:eastAsia="en-US" w:bidi="ar-SA"/>
      </w:rPr>
    </w:lvl>
    <w:lvl w:ilvl="7">
      <w:start w:val="0"/>
      <w:numFmt w:val="bullet"/>
      <w:lvlText w:val="•"/>
      <w:lvlJc w:val="left"/>
      <w:pPr>
        <w:ind w:left="6590" w:hanging="427"/>
      </w:pPr>
      <w:rPr>
        <w:rFonts w:hint="default"/>
        <w:lang w:val="es-ES" w:eastAsia="en-US" w:bidi="ar-SA"/>
      </w:rPr>
    </w:lvl>
    <w:lvl w:ilvl="8">
      <w:start w:val="0"/>
      <w:numFmt w:val="bullet"/>
      <w:lvlText w:val="•"/>
      <w:lvlJc w:val="left"/>
      <w:pPr>
        <w:ind w:left="7512" w:hanging="427"/>
      </w:pPr>
      <w:rPr>
        <w:rFonts w:hint="default"/>
        <w:lang w:val="es-ES" w:eastAsia="en-US" w:bidi="ar-SA"/>
      </w:rPr>
    </w:lvl>
  </w:abstractNum>
  <w:abstractNum w:abstractNumId="14">
    <w:multiLevelType w:val="hybridMultilevel"/>
    <w:lvl w:ilvl="0">
      <w:start w:val="0"/>
      <w:numFmt w:val="bullet"/>
      <w:lvlText w:val=""/>
      <w:lvlJc w:val="left"/>
      <w:pPr>
        <w:ind w:left="863" w:hanging="360"/>
      </w:pPr>
      <w:rPr>
        <w:rFonts w:hint="default" w:ascii="Symbol" w:hAnsi="Symbol" w:eastAsia="Symbol" w:cs="Symbol"/>
        <w:b w:val="0"/>
        <w:bCs w:val="0"/>
        <w:i w:val="0"/>
        <w:iCs w:val="0"/>
        <w:spacing w:val="0"/>
        <w:w w:val="100"/>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13">
    <w:multiLevelType w:val="hybridMultilevel"/>
    <w:lvl w:ilvl="0">
      <w:start w:val="0"/>
      <w:numFmt w:val="bullet"/>
      <w:lvlText w:val="-"/>
      <w:lvlJc w:val="left"/>
      <w:pPr>
        <w:ind w:left="863" w:hanging="360"/>
      </w:pPr>
      <w:rPr>
        <w:rFonts w:hint="default" w:ascii="Arial MT" w:hAnsi="Arial MT" w:eastAsia="Arial MT" w:cs="Arial MT"/>
        <w:b w:val="0"/>
        <w:bCs w:val="0"/>
        <w:i w:val="0"/>
        <w:iCs w:val="0"/>
        <w:spacing w:val="0"/>
        <w:w w:val="96"/>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12">
    <w:multiLevelType w:val="hybridMultilevel"/>
    <w:lvl w:ilvl="0">
      <w:start w:val="1"/>
      <w:numFmt w:val="decimal"/>
      <w:lvlText w:val="%1)"/>
      <w:lvlJc w:val="left"/>
      <w:pPr>
        <w:ind w:left="143" w:hanging="317"/>
        <w:jc w:val="left"/>
      </w:pPr>
      <w:rPr>
        <w:rFonts w:hint="default" w:ascii="Arial MT" w:hAnsi="Arial MT" w:eastAsia="Arial MT" w:cs="Arial MT"/>
        <w:b w:val="0"/>
        <w:bCs w:val="0"/>
        <w:i w:val="0"/>
        <w:iCs w:val="0"/>
        <w:spacing w:val="0"/>
        <w:w w:val="94"/>
        <w:sz w:val="24"/>
        <w:szCs w:val="24"/>
        <w:lang w:val="es-ES" w:eastAsia="en-US" w:bidi="ar-SA"/>
      </w:rPr>
    </w:lvl>
    <w:lvl w:ilvl="1">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2">
      <w:start w:val="0"/>
      <w:numFmt w:val="bullet"/>
      <w:lvlText w:val="•"/>
      <w:lvlJc w:val="left"/>
      <w:pPr>
        <w:ind w:left="1803" w:hanging="360"/>
      </w:pPr>
      <w:rPr>
        <w:rFonts w:hint="default"/>
        <w:lang w:val="es-ES" w:eastAsia="en-US" w:bidi="ar-SA"/>
      </w:rPr>
    </w:lvl>
    <w:lvl w:ilvl="3">
      <w:start w:val="0"/>
      <w:numFmt w:val="bullet"/>
      <w:lvlText w:val="•"/>
      <w:lvlJc w:val="left"/>
      <w:pPr>
        <w:ind w:left="2747" w:hanging="360"/>
      </w:pPr>
      <w:rPr>
        <w:rFonts w:hint="default"/>
        <w:lang w:val="es-ES" w:eastAsia="en-US" w:bidi="ar-SA"/>
      </w:rPr>
    </w:lvl>
    <w:lvl w:ilvl="4">
      <w:start w:val="0"/>
      <w:numFmt w:val="bullet"/>
      <w:lvlText w:val="•"/>
      <w:lvlJc w:val="left"/>
      <w:pPr>
        <w:ind w:left="3691" w:hanging="360"/>
      </w:pPr>
      <w:rPr>
        <w:rFonts w:hint="default"/>
        <w:lang w:val="es-ES" w:eastAsia="en-US" w:bidi="ar-SA"/>
      </w:rPr>
    </w:lvl>
    <w:lvl w:ilvl="5">
      <w:start w:val="0"/>
      <w:numFmt w:val="bullet"/>
      <w:lvlText w:val="•"/>
      <w:lvlJc w:val="left"/>
      <w:pPr>
        <w:ind w:left="4635" w:hanging="360"/>
      </w:pPr>
      <w:rPr>
        <w:rFonts w:hint="default"/>
        <w:lang w:val="es-ES" w:eastAsia="en-US" w:bidi="ar-SA"/>
      </w:rPr>
    </w:lvl>
    <w:lvl w:ilvl="6">
      <w:start w:val="0"/>
      <w:numFmt w:val="bullet"/>
      <w:lvlText w:val="•"/>
      <w:lvlJc w:val="left"/>
      <w:pPr>
        <w:ind w:left="5579" w:hanging="360"/>
      </w:pPr>
      <w:rPr>
        <w:rFonts w:hint="default"/>
        <w:lang w:val="es-ES" w:eastAsia="en-US" w:bidi="ar-SA"/>
      </w:rPr>
    </w:lvl>
    <w:lvl w:ilvl="7">
      <w:start w:val="0"/>
      <w:numFmt w:val="bullet"/>
      <w:lvlText w:val="•"/>
      <w:lvlJc w:val="left"/>
      <w:pPr>
        <w:ind w:left="6523" w:hanging="360"/>
      </w:pPr>
      <w:rPr>
        <w:rFonts w:hint="default"/>
        <w:lang w:val="es-ES" w:eastAsia="en-US" w:bidi="ar-SA"/>
      </w:rPr>
    </w:lvl>
    <w:lvl w:ilvl="8">
      <w:start w:val="0"/>
      <w:numFmt w:val="bullet"/>
      <w:lvlText w:val="•"/>
      <w:lvlJc w:val="left"/>
      <w:pPr>
        <w:ind w:left="7467" w:hanging="360"/>
      </w:pPr>
      <w:rPr>
        <w:rFonts w:hint="default"/>
        <w:lang w:val="es-ES" w:eastAsia="en-US" w:bidi="ar-SA"/>
      </w:rPr>
    </w:lvl>
  </w:abstractNum>
  <w:abstractNum w:abstractNumId="11">
    <w:multiLevelType w:val="hybridMultilevel"/>
    <w:lvl w:ilvl="0">
      <w:start w:val="1"/>
      <w:numFmt w:val="decimal"/>
      <w:lvlText w:val="%1)"/>
      <w:lvlJc w:val="left"/>
      <w:pPr>
        <w:ind w:left="143" w:hanging="300"/>
        <w:jc w:val="left"/>
      </w:pPr>
      <w:rPr>
        <w:rFonts w:hint="default" w:ascii="Arial MT" w:hAnsi="Arial MT" w:eastAsia="Arial MT" w:cs="Arial MT"/>
        <w:b w:val="0"/>
        <w:bCs w:val="0"/>
        <w:i w:val="0"/>
        <w:iCs w:val="0"/>
        <w:spacing w:val="0"/>
        <w:w w:val="94"/>
        <w:sz w:val="24"/>
        <w:szCs w:val="24"/>
        <w:lang w:val="es-ES" w:eastAsia="en-US" w:bidi="ar-SA"/>
      </w:rPr>
    </w:lvl>
    <w:lvl w:ilvl="1">
      <w:start w:val="0"/>
      <w:numFmt w:val="bullet"/>
      <w:lvlText w:val="•"/>
      <w:lvlJc w:val="left"/>
      <w:pPr>
        <w:ind w:left="1061" w:hanging="300"/>
      </w:pPr>
      <w:rPr>
        <w:rFonts w:hint="default"/>
        <w:lang w:val="es-ES" w:eastAsia="en-US" w:bidi="ar-SA"/>
      </w:rPr>
    </w:lvl>
    <w:lvl w:ilvl="2">
      <w:start w:val="0"/>
      <w:numFmt w:val="bullet"/>
      <w:lvlText w:val="•"/>
      <w:lvlJc w:val="left"/>
      <w:pPr>
        <w:ind w:left="1983" w:hanging="300"/>
      </w:pPr>
      <w:rPr>
        <w:rFonts w:hint="default"/>
        <w:lang w:val="es-ES" w:eastAsia="en-US" w:bidi="ar-SA"/>
      </w:rPr>
    </w:lvl>
    <w:lvl w:ilvl="3">
      <w:start w:val="0"/>
      <w:numFmt w:val="bullet"/>
      <w:lvlText w:val="•"/>
      <w:lvlJc w:val="left"/>
      <w:pPr>
        <w:ind w:left="2904" w:hanging="300"/>
      </w:pPr>
      <w:rPr>
        <w:rFonts w:hint="default"/>
        <w:lang w:val="es-ES" w:eastAsia="en-US" w:bidi="ar-SA"/>
      </w:rPr>
    </w:lvl>
    <w:lvl w:ilvl="4">
      <w:start w:val="0"/>
      <w:numFmt w:val="bullet"/>
      <w:lvlText w:val="•"/>
      <w:lvlJc w:val="left"/>
      <w:pPr>
        <w:ind w:left="3826" w:hanging="300"/>
      </w:pPr>
      <w:rPr>
        <w:rFonts w:hint="default"/>
        <w:lang w:val="es-ES" w:eastAsia="en-US" w:bidi="ar-SA"/>
      </w:rPr>
    </w:lvl>
    <w:lvl w:ilvl="5">
      <w:start w:val="0"/>
      <w:numFmt w:val="bullet"/>
      <w:lvlText w:val="•"/>
      <w:lvlJc w:val="left"/>
      <w:pPr>
        <w:ind w:left="4747" w:hanging="300"/>
      </w:pPr>
      <w:rPr>
        <w:rFonts w:hint="default"/>
        <w:lang w:val="es-ES" w:eastAsia="en-US" w:bidi="ar-SA"/>
      </w:rPr>
    </w:lvl>
    <w:lvl w:ilvl="6">
      <w:start w:val="0"/>
      <w:numFmt w:val="bullet"/>
      <w:lvlText w:val="•"/>
      <w:lvlJc w:val="left"/>
      <w:pPr>
        <w:ind w:left="5669" w:hanging="300"/>
      </w:pPr>
      <w:rPr>
        <w:rFonts w:hint="default"/>
        <w:lang w:val="es-ES" w:eastAsia="en-US" w:bidi="ar-SA"/>
      </w:rPr>
    </w:lvl>
    <w:lvl w:ilvl="7">
      <w:start w:val="0"/>
      <w:numFmt w:val="bullet"/>
      <w:lvlText w:val="•"/>
      <w:lvlJc w:val="left"/>
      <w:pPr>
        <w:ind w:left="6590" w:hanging="300"/>
      </w:pPr>
      <w:rPr>
        <w:rFonts w:hint="default"/>
        <w:lang w:val="es-ES" w:eastAsia="en-US" w:bidi="ar-SA"/>
      </w:rPr>
    </w:lvl>
    <w:lvl w:ilvl="8">
      <w:start w:val="0"/>
      <w:numFmt w:val="bullet"/>
      <w:lvlText w:val="•"/>
      <w:lvlJc w:val="left"/>
      <w:pPr>
        <w:ind w:left="7512" w:hanging="300"/>
      </w:pPr>
      <w:rPr>
        <w:rFonts w:hint="default"/>
        <w:lang w:val="es-ES" w:eastAsia="en-US" w:bidi="ar-SA"/>
      </w:rPr>
    </w:lvl>
  </w:abstractNum>
  <w:abstractNum w:abstractNumId="3">
    <w:multiLevelType w:val="hybridMultilevel"/>
    <w:lvl w:ilvl="0">
      <w:start w:val="1"/>
      <w:numFmt w:val="lowerLetter"/>
      <w:lvlText w:val="%1)"/>
      <w:lvlJc w:val="left"/>
      <w:pPr>
        <w:ind w:left="1211" w:hanging="360"/>
        <w:jc w:val="left"/>
      </w:pPr>
      <w:rPr>
        <w:rFonts w:hint="default" w:ascii="Arial MT" w:hAnsi="Arial MT" w:eastAsia="Arial MT" w:cs="Arial MT"/>
        <w:b w:val="0"/>
        <w:bCs w:val="0"/>
        <w:i w:val="0"/>
        <w:iCs w:val="0"/>
        <w:spacing w:val="0"/>
        <w:w w:val="90"/>
        <w:sz w:val="24"/>
        <w:szCs w:val="24"/>
        <w:lang w:val="es-ES" w:eastAsia="en-US" w:bidi="ar-SA"/>
      </w:rPr>
    </w:lvl>
    <w:lvl w:ilvl="1">
      <w:start w:val="0"/>
      <w:numFmt w:val="bullet"/>
      <w:lvlText w:val="•"/>
      <w:lvlJc w:val="left"/>
      <w:pPr>
        <w:ind w:left="2033" w:hanging="360"/>
      </w:pPr>
      <w:rPr>
        <w:rFonts w:hint="default"/>
        <w:lang w:val="es-ES" w:eastAsia="en-US" w:bidi="ar-SA"/>
      </w:rPr>
    </w:lvl>
    <w:lvl w:ilvl="2">
      <w:start w:val="0"/>
      <w:numFmt w:val="bullet"/>
      <w:lvlText w:val="•"/>
      <w:lvlJc w:val="left"/>
      <w:pPr>
        <w:ind w:left="2847" w:hanging="360"/>
      </w:pPr>
      <w:rPr>
        <w:rFonts w:hint="default"/>
        <w:lang w:val="es-ES" w:eastAsia="en-US" w:bidi="ar-SA"/>
      </w:rPr>
    </w:lvl>
    <w:lvl w:ilvl="3">
      <w:start w:val="0"/>
      <w:numFmt w:val="bullet"/>
      <w:lvlText w:val="•"/>
      <w:lvlJc w:val="left"/>
      <w:pPr>
        <w:ind w:left="3660" w:hanging="360"/>
      </w:pPr>
      <w:rPr>
        <w:rFonts w:hint="default"/>
        <w:lang w:val="es-ES" w:eastAsia="en-US" w:bidi="ar-SA"/>
      </w:rPr>
    </w:lvl>
    <w:lvl w:ilvl="4">
      <w:start w:val="0"/>
      <w:numFmt w:val="bullet"/>
      <w:lvlText w:val="•"/>
      <w:lvlJc w:val="left"/>
      <w:pPr>
        <w:ind w:left="4474" w:hanging="360"/>
      </w:pPr>
      <w:rPr>
        <w:rFonts w:hint="default"/>
        <w:lang w:val="es-ES" w:eastAsia="en-US" w:bidi="ar-SA"/>
      </w:rPr>
    </w:lvl>
    <w:lvl w:ilvl="5">
      <w:start w:val="0"/>
      <w:numFmt w:val="bullet"/>
      <w:lvlText w:val="•"/>
      <w:lvlJc w:val="left"/>
      <w:pPr>
        <w:ind w:left="5287" w:hanging="360"/>
      </w:pPr>
      <w:rPr>
        <w:rFonts w:hint="default"/>
        <w:lang w:val="es-ES" w:eastAsia="en-US" w:bidi="ar-SA"/>
      </w:rPr>
    </w:lvl>
    <w:lvl w:ilvl="6">
      <w:start w:val="0"/>
      <w:numFmt w:val="bullet"/>
      <w:lvlText w:val="•"/>
      <w:lvlJc w:val="left"/>
      <w:pPr>
        <w:ind w:left="6101" w:hanging="360"/>
      </w:pPr>
      <w:rPr>
        <w:rFonts w:hint="default"/>
        <w:lang w:val="es-ES" w:eastAsia="en-US" w:bidi="ar-SA"/>
      </w:rPr>
    </w:lvl>
    <w:lvl w:ilvl="7">
      <w:start w:val="0"/>
      <w:numFmt w:val="bullet"/>
      <w:lvlText w:val="•"/>
      <w:lvlJc w:val="left"/>
      <w:pPr>
        <w:ind w:left="6914" w:hanging="360"/>
      </w:pPr>
      <w:rPr>
        <w:rFonts w:hint="default"/>
        <w:lang w:val="es-ES" w:eastAsia="en-US" w:bidi="ar-SA"/>
      </w:rPr>
    </w:lvl>
    <w:lvl w:ilvl="8">
      <w:start w:val="0"/>
      <w:numFmt w:val="bullet"/>
      <w:lvlText w:val="•"/>
      <w:lvlJc w:val="left"/>
      <w:pPr>
        <w:ind w:left="7728" w:hanging="360"/>
      </w:pPr>
      <w:rPr>
        <w:rFonts w:hint="default"/>
        <w:lang w:val="es-ES" w:eastAsia="en-US" w:bidi="ar-SA"/>
      </w:rPr>
    </w:lvl>
  </w:abstractNum>
  <w:abstractNum w:abstractNumId="10">
    <w:multiLevelType w:val="hybridMultilevel"/>
    <w:lvl w:ilvl="0">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8">
    <w:multiLevelType w:val="hybridMultilevel"/>
    <w:lvl w:ilvl="0">
      <w:start w:val="0"/>
      <w:numFmt w:val="bullet"/>
      <w:lvlText w:val="o"/>
      <w:lvlJc w:val="left"/>
      <w:pPr>
        <w:ind w:left="995" w:hanging="569"/>
      </w:pPr>
      <w:rPr>
        <w:rFonts w:hint="default" w:ascii="Courier New" w:hAnsi="Courier New" w:eastAsia="Courier New" w:cs="Courier New"/>
        <w:b w:val="0"/>
        <w:bCs w:val="0"/>
        <w:i w:val="0"/>
        <w:iCs w:val="0"/>
        <w:spacing w:val="0"/>
        <w:w w:val="100"/>
        <w:sz w:val="24"/>
        <w:szCs w:val="24"/>
        <w:lang w:val="es-ES" w:eastAsia="en-US" w:bidi="ar-SA"/>
      </w:rPr>
    </w:lvl>
    <w:lvl w:ilvl="1">
      <w:start w:val="0"/>
      <w:numFmt w:val="bullet"/>
      <w:lvlText w:val="•"/>
      <w:lvlJc w:val="left"/>
      <w:pPr>
        <w:ind w:left="1835" w:hanging="569"/>
      </w:pPr>
      <w:rPr>
        <w:rFonts w:hint="default"/>
        <w:lang w:val="es-ES" w:eastAsia="en-US" w:bidi="ar-SA"/>
      </w:rPr>
    </w:lvl>
    <w:lvl w:ilvl="2">
      <w:start w:val="0"/>
      <w:numFmt w:val="bullet"/>
      <w:lvlText w:val="•"/>
      <w:lvlJc w:val="left"/>
      <w:pPr>
        <w:ind w:left="2671" w:hanging="569"/>
      </w:pPr>
      <w:rPr>
        <w:rFonts w:hint="default"/>
        <w:lang w:val="es-ES" w:eastAsia="en-US" w:bidi="ar-SA"/>
      </w:rPr>
    </w:lvl>
    <w:lvl w:ilvl="3">
      <w:start w:val="0"/>
      <w:numFmt w:val="bullet"/>
      <w:lvlText w:val="•"/>
      <w:lvlJc w:val="left"/>
      <w:pPr>
        <w:ind w:left="3506" w:hanging="569"/>
      </w:pPr>
      <w:rPr>
        <w:rFonts w:hint="default"/>
        <w:lang w:val="es-ES" w:eastAsia="en-US" w:bidi="ar-SA"/>
      </w:rPr>
    </w:lvl>
    <w:lvl w:ilvl="4">
      <w:start w:val="0"/>
      <w:numFmt w:val="bullet"/>
      <w:lvlText w:val="•"/>
      <w:lvlJc w:val="left"/>
      <w:pPr>
        <w:ind w:left="4342" w:hanging="569"/>
      </w:pPr>
      <w:rPr>
        <w:rFonts w:hint="default"/>
        <w:lang w:val="es-ES" w:eastAsia="en-US" w:bidi="ar-SA"/>
      </w:rPr>
    </w:lvl>
    <w:lvl w:ilvl="5">
      <w:start w:val="0"/>
      <w:numFmt w:val="bullet"/>
      <w:lvlText w:val="•"/>
      <w:lvlJc w:val="left"/>
      <w:pPr>
        <w:ind w:left="5177" w:hanging="569"/>
      </w:pPr>
      <w:rPr>
        <w:rFonts w:hint="default"/>
        <w:lang w:val="es-ES" w:eastAsia="en-US" w:bidi="ar-SA"/>
      </w:rPr>
    </w:lvl>
    <w:lvl w:ilvl="6">
      <w:start w:val="0"/>
      <w:numFmt w:val="bullet"/>
      <w:lvlText w:val="•"/>
      <w:lvlJc w:val="left"/>
      <w:pPr>
        <w:ind w:left="6013" w:hanging="569"/>
      </w:pPr>
      <w:rPr>
        <w:rFonts w:hint="default"/>
        <w:lang w:val="es-ES" w:eastAsia="en-US" w:bidi="ar-SA"/>
      </w:rPr>
    </w:lvl>
    <w:lvl w:ilvl="7">
      <w:start w:val="0"/>
      <w:numFmt w:val="bullet"/>
      <w:lvlText w:val="•"/>
      <w:lvlJc w:val="left"/>
      <w:pPr>
        <w:ind w:left="6848" w:hanging="569"/>
      </w:pPr>
      <w:rPr>
        <w:rFonts w:hint="default"/>
        <w:lang w:val="es-ES" w:eastAsia="en-US" w:bidi="ar-SA"/>
      </w:rPr>
    </w:lvl>
    <w:lvl w:ilvl="8">
      <w:start w:val="0"/>
      <w:numFmt w:val="bullet"/>
      <w:lvlText w:val="•"/>
      <w:lvlJc w:val="left"/>
      <w:pPr>
        <w:ind w:left="7684" w:hanging="569"/>
      </w:pPr>
      <w:rPr>
        <w:rFonts w:hint="default"/>
        <w:lang w:val="es-ES" w:eastAsia="en-US" w:bidi="ar-SA"/>
      </w:rPr>
    </w:lvl>
  </w:abstractNum>
  <w:abstractNum w:abstractNumId="7">
    <w:multiLevelType w:val="hybridMultilevel"/>
    <w:lvl w:ilvl="0">
      <w:start w:val="0"/>
      <w:numFmt w:val="bullet"/>
      <w:lvlText w:val="o"/>
      <w:lvlJc w:val="left"/>
      <w:pPr>
        <w:ind w:left="503" w:hanging="360"/>
      </w:pPr>
      <w:rPr>
        <w:rFonts w:hint="default" w:ascii="Courier New" w:hAnsi="Courier New" w:eastAsia="Courier New" w:cs="Courier New"/>
        <w:b w:val="0"/>
        <w:bCs w:val="0"/>
        <w:i w:val="0"/>
        <w:iCs w:val="0"/>
        <w:spacing w:val="0"/>
        <w:w w:val="100"/>
        <w:sz w:val="24"/>
        <w:szCs w:val="24"/>
        <w:lang w:val="es-ES" w:eastAsia="en-US" w:bidi="ar-SA"/>
      </w:rPr>
    </w:lvl>
    <w:lvl w:ilvl="1">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2">
      <w:start w:val="0"/>
      <w:numFmt w:val="bullet"/>
      <w:lvlText w:val="o"/>
      <w:lvlJc w:val="left"/>
      <w:pPr>
        <w:ind w:left="1583" w:hanging="360"/>
      </w:pPr>
      <w:rPr>
        <w:rFonts w:hint="default" w:ascii="Courier New" w:hAnsi="Courier New" w:eastAsia="Courier New" w:cs="Courier New"/>
        <w:b w:val="0"/>
        <w:bCs w:val="0"/>
        <w:i w:val="0"/>
        <w:iCs w:val="0"/>
        <w:spacing w:val="0"/>
        <w:w w:val="100"/>
        <w:sz w:val="24"/>
        <w:szCs w:val="24"/>
        <w:lang w:val="es-ES" w:eastAsia="en-US" w:bidi="ar-SA"/>
      </w:rPr>
    </w:lvl>
    <w:lvl w:ilvl="3">
      <w:start w:val="0"/>
      <w:numFmt w:val="bullet"/>
      <w:lvlText w:val="•"/>
      <w:lvlJc w:val="left"/>
      <w:pPr>
        <w:ind w:left="2416" w:hanging="360"/>
      </w:pPr>
      <w:rPr>
        <w:rFonts w:hint="default"/>
        <w:lang w:val="es-ES" w:eastAsia="en-US" w:bidi="ar-SA"/>
      </w:rPr>
    </w:lvl>
    <w:lvl w:ilvl="4">
      <w:start w:val="0"/>
      <w:numFmt w:val="bullet"/>
      <w:lvlText w:val="•"/>
      <w:lvlJc w:val="left"/>
      <w:pPr>
        <w:ind w:left="3253" w:hanging="360"/>
      </w:pPr>
      <w:rPr>
        <w:rFonts w:hint="default"/>
        <w:lang w:val="es-ES" w:eastAsia="en-US" w:bidi="ar-SA"/>
      </w:rPr>
    </w:lvl>
    <w:lvl w:ilvl="5">
      <w:start w:val="0"/>
      <w:numFmt w:val="bullet"/>
      <w:lvlText w:val="•"/>
      <w:lvlJc w:val="left"/>
      <w:pPr>
        <w:ind w:left="4090" w:hanging="360"/>
      </w:pPr>
      <w:rPr>
        <w:rFonts w:hint="default"/>
        <w:lang w:val="es-ES" w:eastAsia="en-US" w:bidi="ar-SA"/>
      </w:rPr>
    </w:lvl>
    <w:lvl w:ilvl="6">
      <w:start w:val="0"/>
      <w:numFmt w:val="bullet"/>
      <w:lvlText w:val="•"/>
      <w:lvlJc w:val="left"/>
      <w:pPr>
        <w:ind w:left="4927" w:hanging="360"/>
      </w:pPr>
      <w:rPr>
        <w:rFonts w:hint="default"/>
        <w:lang w:val="es-ES" w:eastAsia="en-US" w:bidi="ar-SA"/>
      </w:rPr>
    </w:lvl>
    <w:lvl w:ilvl="7">
      <w:start w:val="0"/>
      <w:numFmt w:val="bullet"/>
      <w:lvlText w:val="•"/>
      <w:lvlJc w:val="left"/>
      <w:pPr>
        <w:ind w:left="5764" w:hanging="360"/>
      </w:pPr>
      <w:rPr>
        <w:rFonts w:hint="default"/>
        <w:lang w:val="es-ES" w:eastAsia="en-US" w:bidi="ar-SA"/>
      </w:rPr>
    </w:lvl>
    <w:lvl w:ilvl="8">
      <w:start w:val="0"/>
      <w:numFmt w:val="bullet"/>
      <w:lvlText w:val="•"/>
      <w:lvlJc w:val="left"/>
      <w:pPr>
        <w:ind w:left="6601" w:hanging="360"/>
      </w:pPr>
      <w:rPr>
        <w:rFonts w:hint="default"/>
        <w:lang w:val="es-ES" w:eastAsia="en-US" w:bidi="ar-SA"/>
      </w:rPr>
    </w:lvl>
  </w:abstractNum>
  <w:abstractNum w:abstractNumId="6">
    <w:multiLevelType w:val="hybridMultilevel"/>
    <w:lvl w:ilvl="0">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5">
    <w:multiLevelType w:val="hybridMultilevel"/>
    <w:lvl w:ilvl="0">
      <w:start w:val="1"/>
      <w:numFmt w:val="lowerLetter"/>
      <w:lvlText w:val="%1)"/>
      <w:lvlJc w:val="left"/>
      <w:pPr>
        <w:ind w:left="377" w:hanging="235"/>
        <w:jc w:val="left"/>
      </w:pPr>
      <w:rPr>
        <w:rFonts w:hint="default"/>
        <w:spacing w:val="0"/>
        <w:w w:val="90"/>
        <w:lang w:val="es-ES" w:eastAsia="en-US" w:bidi="ar-SA"/>
      </w:rPr>
    </w:lvl>
    <w:lvl w:ilvl="1">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2">
      <w:start w:val="0"/>
      <w:numFmt w:val="bullet"/>
      <w:lvlText w:val="o"/>
      <w:lvlJc w:val="left"/>
      <w:pPr>
        <w:ind w:left="1583" w:hanging="360"/>
      </w:pPr>
      <w:rPr>
        <w:rFonts w:hint="default" w:ascii="Courier New" w:hAnsi="Courier New" w:eastAsia="Courier New" w:cs="Courier New"/>
        <w:b w:val="0"/>
        <w:bCs w:val="0"/>
        <w:i w:val="0"/>
        <w:iCs w:val="0"/>
        <w:spacing w:val="0"/>
        <w:w w:val="100"/>
        <w:sz w:val="24"/>
        <w:szCs w:val="24"/>
        <w:lang w:val="es-ES" w:eastAsia="en-US" w:bidi="ar-SA"/>
      </w:rPr>
    </w:lvl>
    <w:lvl w:ilvl="3">
      <w:start w:val="0"/>
      <w:numFmt w:val="bullet"/>
      <w:lvlText w:val="•"/>
      <w:lvlJc w:val="left"/>
      <w:pPr>
        <w:ind w:left="2551" w:hanging="360"/>
      </w:pPr>
      <w:rPr>
        <w:rFonts w:hint="default"/>
        <w:lang w:val="es-ES" w:eastAsia="en-US" w:bidi="ar-SA"/>
      </w:rPr>
    </w:lvl>
    <w:lvl w:ilvl="4">
      <w:start w:val="0"/>
      <w:numFmt w:val="bullet"/>
      <w:lvlText w:val="•"/>
      <w:lvlJc w:val="left"/>
      <w:pPr>
        <w:ind w:left="3523" w:hanging="360"/>
      </w:pPr>
      <w:rPr>
        <w:rFonts w:hint="default"/>
        <w:lang w:val="es-ES" w:eastAsia="en-US" w:bidi="ar-SA"/>
      </w:rPr>
    </w:lvl>
    <w:lvl w:ilvl="5">
      <w:start w:val="0"/>
      <w:numFmt w:val="bullet"/>
      <w:lvlText w:val="•"/>
      <w:lvlJc w:val="left"/>
      <w:pPr>
        <w:ind w:left="4495" w:hanging="360"/>
      </w:pPr>
      <w:rPr>
        <w:rFonts w:hint="default"/>
        <w:lang w:val="es-ES" w:eastAsia="en-US" w:bidi="ar-SA"/>
      </w:rPr>
    </w:lvl>
    <w:lvl w:ilvl="6">
      <w:start w:val="0"/>
      <w:numFmt w:val="bullet"/>
      <w:lvlText w:val="•"/>
      <w:lvlJc w:val="left"/>
      <w:pPr>
        <w:ind w:left="5467" w:hanging="360"/>
      </w:pPr>
      <w:rPr>
        <w:rFonts w:hint="default"/>
        <w:lang w:val="es-ES" w:eastAsia="en-US" w:bidi="ar-SA"/>
      </w:rPr>
    </w:lvl>
    <w:lvl w:ilvl="7">
      <w:start w:val="0"/>
      <w:numFmt w:val="bullet"/>
      <w:lvlText w:val="•"/>
      <w:lvlJc w:val="left"/>
      <w:pPr>
        <w:ind w:left="6439" w:hanging="360"/>
      </w:pPr>
      <w:rPr>
        <w:rFonts w:hint="default"/>
        <w:lang w:val="es-ES" w:eastAsia="en-US" w:bidi="ar-SA"/>
      </w:rPr>
    </w:lvl>
    <w:lvl w:ilvl="8">
      <w:start w:val="0"/>
      <w:numFmt w:val="bullet"/>
      <w:lvlText w:val="•"/>
      <w:lvlJc w:val="left"/>
      <w:pPr>
        <w:ind w:left="7411" w:hanging="360"/>
      </w:pPr>
      <w:rPr>
        <w:rFonts w:hint="default"/>
        <w:lang w:val="es-ES" w:eastAsia="en-US" w:bidi="ar-SA"/>
      </w:rPr>
    </w:lvl>
  </w:abstractNum>
  <w:abstractNum w:abstractNumId="4">
    <w:multiLevelType w:val="hybridMultilevel"/>
    <w:lvl w:ilvl="0">
      <w:start w:val="0"/>
      <w:numFmt w:val="bullet"/>
      <w:lvlText w:val=""/>
      <w:lvlJc w:val="left"/>
      <w:pPr>
        <w:ind w:left="863" w:hanging="360"/>
      </w:pPr>
      <w:rPr>
        <w:rFonts w:hint="default" w:ascii="Symbol" w:hAnsi="Symbol" w:eastAsia="Symbol" w:cs="Symbol"/>
        <w:b w:val="0"/>
        <w:bCs w:val="0"/>
        <w:i w:val="0"/>
        <w:iCs w:val="0"/>
        <w:spacing w:val="0"/>
        <w:w w:val="100"/>
        <w:sz w:val="22"/>
        <w:szCs w:val="22"/>
        <w:lang w:val="es-ES" w:eastAsia="en-US" w:bidi="ar-SA"/>
      </w:rPr>
    </w:lvl>
    <w:lvl w:ilvl="1">
      <w:start w:val="0"/>
      <w:numFmt w:val="bullet"/>
      <w:lvlText w:val="•"/>
      <w:lvlJc w:val="left"/>
      <w:pPr>
        <w:ind w:left="1709" w:hanging="360"/>
      </w:pPr>
      <w:rPr>
        <w:rFonts w:hint="default"/>
        <w:lang w:val="es-ES" w:eastAsia="en-US" w:bidi="ar-SA"/>
      </w:rPr>
    </w:lvl>
    <w:lvl w:ilvl="2">
      <w:start w:val="0"/>
      <w:numFmt w:val="bullet"/>
      <w:lvlText w:val="•"/>
      <w:lvlJc w:val="left"/>
      <w:pPr>
        <w:ind w:left="2559" w:hanging="360"/>
      </w:pPr>
      <w:rPr>
        <w:rFonts w:hint="default"/>
        <w:lang w:val="es-ES" w:eastAsia="en-US" w:bidi="ar-SA"/>
      </w:rPr>
    </w:lvl>
    <w:lvl w:ilvl="3">
      <w:start w:val="0"/>
      <w:numFmt w:val="bullet"/>
      <w:lvlText w:val="•"/>
      <w:lvlJc w:val="left"/>
      <w:pPr>
        <w:ind w:left="3408" w:hanging="360"/>
      </w:pPr>
      <w:rPr>
        <w:rFonts w:hint="default"/>
        <w:lang w:val="es-ES" w:eastAsia="en-US" w:bidi="ar-SA"/>
      </w:rPr>
    </w:lvl>
    <w:lvl w:ilvl="4">
      <w:start w:val="0"/>
      <w:numFmt w:val="bullet"/>
      <w:lvlText w:val="•"/>
      <w:lvlJc w:val="left"/>
      <w:pPr>
        <w:ind w:left="4258" w:hanging="360"/>
      </w:pPr>
      <w:rPr>
        <w:rFonts w:hint="default"/>
        <w:lang w:val="es-ES" w:eastAsia="en-US" w:bidi="ar-SA"/>
      </w:rPr>
    </w:lvl>
    <w:lvl w:ilvl="5">
      <w:start w:val="0"/>
      <w:numFmt w:val="bullet"/>
      <w:lvlText w:val="•"/>
      <w:lvlJc w:val="left"/>
      <w:pPr>
        <w:ind w:left="5107" w:hanging="360"/>
      </w:pPr>
      <w:rPr>
        <w:rFonts w:hint="default"/>
        <w:lang w:val="es-ES" w:eastAsia="en-US" w:bidi="ar-SA"/>
      </w:rPr>
    </w:lvl>
    <w:lvl w:ilvl="6">
      <w:start w:val="0"/>
      <w:numFmt w:val="bullet"/>
      <w:lvlText w:val="•"/>
      <w:lvlJc w:val="left"/>
      <w:pPr>
        <w:ind w:left="5957" w:hanging="360"/>
      </w:pPr>
      <w:rPr>
        <w:rFonts w:hint="default"/>
        <w:lang w:val="es-ES" w:eastAsia="en-US" w:bidi="ar-SA"/>
      </w:rPr>
    </w:lvl>
    <w:lvl w:ilvl="7">
      <w:start w:val="0"/>
      <w:numFmt w:val="bullet"/>
      <w:lvlText w:val="•"/>
      <w:lvlJc w:val="left"/>
      <w:pPr>
        <w:ind w:left="6806" w:hanging="360"/>
      </w:pPr>
      <w:rPr>
        <w:rFonts w:hint="default"/>
        <w:lang w:val="es-ES" w:eastAsia="en-US" w:bidi="ar-SA"/>
      </w:rPr>
    </w:lvl>
    <w:lvl w:ilvl="8">
      <w:start w:val="0"/>
      <w:numFmt w:val="bullet"/>
      <w:lvlText w:val="•"/>
      <w:lvlJc w:val="left"/>
      <w:pPr>
        <w:ind w:left="7656" w:hanging="360"/>
      </w:pPr>
      <w:rPr>
        <w:rFonts w:hint="default"/>
        <w:lang w:val="es-ES" w:eastAsia="en-US" w:bidi="ar-SA"/>
      </w:rPr>
    </w:lvl>
  </w:abstractNum>
  <w:abstractNum w:abstractNumId="2">
    <w:multiLevelType w:val="hybridMultilevel"/>
    <w:lvl w:ilvl="0">
      <w:start w:val="1"/>
      <w:numFmt w:val="decimal"/>
      <w:lvlText w:val="%1."/>
      <w:lvlJc w:val="left"/>
      <w:pPr>
        <w:ind w:left="570" w:hanging="428"/>
        <w:jc w:val="left"/>
      </w:pPr>
      <w:rPr>
        <w:rFonts w:hint="default" w:ascii="Arial MT" w:hAnsi="Arial MT" w:eastAsia="Arial MT" w:cs="Arial MT"/>
        <w:b w:val="0"/>
        <w:bCs w:val="0"/>
        <w:i w:val="0"/>
        <w:iCs w:val="0"/>
        <w:color w:val="2E5395"/>
        <w:spacing w:val="0"/>
        <w:w w:val="96"/>
        <w:sz w:val="32"/>
        <w:szCs w:val="32"/>
        <w:lang w:val="es-ES" w:eastAsia="en-US" w:bidi="ar-SA"/>
      </w:rPr>
    </w:lvl>
    <w:lvl w:ilvl="1">
      <w:start w:val="1"/>
      <w:numFmt w:val="decimal"/>
      <w:lvlText w:val="%1.%2"/>
      <w:lvlJc w:val="left"/>
      <w:pPr>
        <w:ind w:left="569" w:hanging="427"/>
        <w:jc w:val="left"/>
      </w:pPr>
      <w:rPr>
        <w:rFonts w:hint="default" w:ascii="Arial MT" w:hAnsi="Arial MT" w:eastAsia="Arial MT" w:cs="Arial MT"/>
        <w:b w:val="0"/>
        <w:bCs w:val="0"/>
        <w:i w:val="0"/>
        <w:iCs w:val="0"/>
        <w:color w:val="2E5395"/>
        <w:spacing w:val="0"/>
        <w:w w:val="96"/>
        <w:sz w:val="26"/>
        <w:szCs w:val="26"/>
        <w:lang w:val="es-ES" w:eastAsia="en-US" w:bidi="ar-SA"/>
      </w:rPr>
    </w:lvl>
    <w:lvl w:ilvl="2">
      <w:start w:val="1"/>
      <w:numFmt w:val="decimal"/>
      <w:lvlText w:val="%1.%2.%3"/>
      <w:lvlJc w:val="left"/>
      <w:pPr>
        <w:ind w:left="1223" w:hanging="720"/>
        <w:jc w:val="left"/>
      </w:pPr>
      <w:rPr>
        <w:rFonts w:hint="default" w:ascii="Arial MT" w:hAnsi="Arial MT" w:eastAsia="Arial MT" w:cs="Arial MT"/>
        <w:b w:val="0"/>
        <w:bCs w:val="0"/>
        <w:i w:val="0"/>
        <w:iCs w:val="0"/>
        <w:color w:val="2E5395"/>
        <w:spacing w:val="0"/>
        <w:w w:val="98"/>
        <w:sz w:val="24"/>
        <w:szCs w:val="24"/>
        <w:lang w:val="es-ES" w:eastAsia="en-US" w:bidi="ar-SA"/>
      </w:rPr>
    </w:lvl>
    <w:lvl w:ilvl="3">
      <w:start w:val="0"/>
      <w:numFmt w:val="bullet"/>
      <w:lvlText w:val="●"/>
      <w:lvlJc w:val="left"/>
      <w:pPr>
        <w:ind w:left="863" w:hanging="360"/>
      </w:pPr>
      <w:rPr>
        <w:rFonts w:hint="default" w:ascii="Times New Roman" w:hAnsi="Times New Roman" w:eastAsia="Times New Roman" w:cs="Times New Roman"/>
        <w:b w:val="0"/>
        <w:bCs w:val="0"/>
        <w:i w:val="0"/>
        <w:iCs w:val="0"/>
        <w:spacing w:val="0"/>
        <w:w w:val="100"/>
        <w:sz w:val="24"/>
        <w:szCs w:val="24"/>
        <w:lang w:val="es-ES" w:eastAsia="en-US" w:bidi="ar-SA"/>
      </w:rPr>
    </w:lvl>
    <w:lvl w:ilvl="4">
      <w:start w:val="0"/>
      <w:numFmt w:val="bullet"/>
      <w:lvlText w:val="•"/>
      <w:lvlJc w:val="left"/>
      <w:pPr>
        <w:ind w:left="2382" w:hanging="360"/>
      </w:pPr>
      <w:rPr>
        <w:rFonts w:hint="default"/>
        <w:lang w:val="es-ES" w:eastAsia="en-US" w:bidi="ar-SA"/>
      </w:rPr>
    </w:lvl>
    <w:lvl w:ilvl="5">
      <w:start w:val="0"/>
      <w:numFmt w:val="bullet"/>
      <w:lvlText w:val="•"/>
      <w:lvlJc w:val="left"/>
      <w:pPr>
        <w:ind w:left="3544" w:hanging="360"/>
      </w:pPr>
      <w:rPr>
        <w:rFonts w:hint="default"/>
        <w:lang w:val="es-ES" w:eastAsia="en-US" w:bidi="ar-SA"/>
      </w:rPr>
    </w:lvl>
    <w:lvl w:ilvl="6">
      <w:start w:val="0"/>
      <w:numFmt w:val="bullet"/>
      <w:lvlText w:val="•"/>
      <w:lvlJc w:val="left"/>
      <w:pPr>
        <w:ind w:left="4706" w:hanging="360"/>
      </w:pPr>
      <w:rPr>
        <w:rFonts w:hint="default"/>
        <w:lang w:val="es-ES" w:eastAsia="en-US" w:bidi="ar-SA"/>
      </w:rPr>
    </w:lvl>
    <w:lvl w:ilvl="7">
      <w:start w:val="0"/>
      <w:numFmt w:val="bullet"/>
      <w:lvlText w:val="•"/>
      <w:lvlJc w:val="left"/>
      <w:pPr>
        <w:ind w:left="5868" w:hanging="360"/>
      </w:pPr>
      <w:rPr>
        <w:rFonts w:hint="default"/>
        <w:lang w:val="es-ES" w:eastAsia="en-US" w:bidi="ar-SA"/>
      </w:rPr>
    </w:lvl>
    <w:lvl w:ilvl="8">
      <w:start w:val="0"/>
      <w:numFmt w:val="bullet"/>
      <w:lvlText w:val="•"/>
      <w:lvlJc w:val="left"/>
      <w:pPr>
        <w:ind w:left="7031" w:hanging="360"/>
      </w:pPr>
      <w:rPr>
        <w:rFonts w:hint="default"/>
        <w:lang w:val="es-ES" w:eastAsia="en-US" w:bidi="ar-SA"/>
      </w:rPr>
    </w:lvl>
  </w:abstractNum>
  <w:abstractNum w:abstractNumId="1">
    <w:multiLevelType w:val="hybridMultilevel"/>
    <w:lvl w:ilvl="0">
      <w:start w:val="3"/>
      <w:numFmt w:val="decimal"/>
      <w:lvlText w:val="%1"/>
      <w:lvlJc w:val="left"/>
      <w:pPr>
        <w:ind w:left="363" w:hanging="362"/>
        <w:jc w:val="left"/>
      </w:pPr>
      <w:rPr>
        <w:rFonts w:hint="default"/>
        <w:lang w:val="es-ES" w:eastAsia="en-US" w:bidi="ar-SA"/>
      </w:rPr>
    </w:lvl>
    <w:lvl w:ilvl="1">
      <w:start w:val="3"/>
      <w:numFmt w:val="decimal"/>
      <w:lvlText w:val="%1.%2"/>
      <w:lvlJc w:val="left"/>
      <w:pPr>
        <w:ind w:left="363" w:hanging="362"/>
        <w:jc w:val="left"/>
      </w:pPr>
      <w:rPr>
        <w:rFonts w:hint="default" w:ascii="Arial MT" w:hAnsi="Arial MT" w:eastAsia="Arial MT" w:cs="Arial MT"/>
        <w:b w:val="0"/>
        <w:bCs w:val="0"/>
        <w:i w:val="0"/>
        <w:iCs w:val="0"/>
        <w:spacing w:val="-3"/>
        <w:w w:val="85"/>
        <w:sz w:val="22"/>
        <w:szCs w:val="22"/>
        <w:lang w:val="es-ES" w:eastAsia="en-US" w:bidi="ar-SA"/>
      </w:rPr>
    </w:lvl>
    <w:lvl w:ilvl="2">
      <w:start w:val="0"/>
      <w:numFmt w:val="bullet"/>
      <w:lvlText w:val="•"/>
      <w:lvlJc w:val="left"/>
      <w:pPr>
        <w:ind w:left="2159" w:hanging="362"/>
      </w:pPr>
      <w:rPr>
        <w:rFonts w:hint="default"/>
        <w:lang w:val="es-ES" w:eastAsia="en-US" w:bidi="ar-SA"/>
      </w:rPr>
    </w:lvl>
    <w:lvl w:ilvl="3">
      <w:start w:val="0"/>
      <w:numFmt w:val="bullet"/>
      <w:lvlText w:val="•"/>
      <w:lvlJc w:val="left"/>
      <w:pPr>
        <w:ind w:left="3058" w:hanging="362"/>
      </w:pPr>
      <w:rPr>
        <w:rFonts w:hint="default"/>
        <w:lang w:val="es-ES" w:eastAsia="en-US" w:bidi="ar-SA"/>
      </w:rPr>
    </w:lvl>
    <w:lvl w:ilvl="4">
      <w:start w:val="0"/>
      <w:numFmt w:val="bullet"/>
      <w:lvlText w:val="•"/>
      <w:lvlJc w:val="left"/>
      <w:pPr>
        <w:ind w:left="3958" w:hanging="362"/>
      </w:pPr>
      <w:rPr>
        <w:rFonts w:hint="default"/>
        <w:lang w:val="es-ES" w:eastAsia="en-US" w:bidi="ar-SA"/>
      </w:rPr>
    </w:lvl>
    <w:lvl w:ilvl="5">
      <w:start w:val="0"/>
      <w:numFmt w:val="bullet"/>
      <w:lvlText w:val="•"/>
      <w:lvlJc w:val="left"/>
      <w:pPr>
        <w:ind w:left="4857" w:hanging="362"/>
      </w:pPr>
      <w:rPr>
        <w:rFonts w:hint="default"/>
        <w:lang w:val="es-ES" w:eastAsia="en-US" w:bidi="ar-SA"/>
      </w:rPr>
    </w:lvl>
    <w:lvl w:ilvl="6">
      <w:start w:val="0"/>
      <w:numFmt w:val="bullet"/>
      <w:lvlText w:val="•"/>
      <w:lvlJc w:val="left"/>
      <w:pPr>
        <w:ind w:left="5757" w:hanging="362"/>
      </w:pPr>
      <w:rPr>
        <w:rFonts w:hint="default"/>
        <w:lang w:val="es-ES" w:eastAsia="en-US" w:bidi="ar-SA"/>
      </w:rPr>
    </w:lvl>
    <w:lvl w:ilvl="7">
      <w:start w:val="0"/>
      <w:numFmt w:val="bullet"/>
      <w:lvlText w:val="•"/>
      <w:lvlJc w:val="left"/>
      <w:pPr>
        <w:ind w:left="6656" w:hanging="362"/>
      </w:pPr>
      <w:rPr>
        <w:rFonts w:hint="default"/>
        <w:lang w:val="es-ES" w:eastAsia="en-US" w:bidi="ar-SA"/>
      </w:rPr>
    </w:lvl>
    <w:lvl w:ilvl="8">
      <w:start w:val="0"/>
      <w:numFmt w:val="bullet"/>
      <w:lvlText w:val="•"/>
      <w:lvlJc w:val="left"/>
      <w:pPr>
        <w:ind w:left="7556" w:hanging="362"/>
      </w:pPr>
      <w:rPr>
        <w:rFonts w:hint="default"/>
        <w:lang w:val="es-ES" w:eastAsia="en-US" w:bidi="ar-SA"/>
      </w:rPr>
    </w:lvl>
  </w:abstractNum>
  <w:abstractNum w:abstractNumId="0">
    <w:multiLevelType w:val="hybridMultilevel"/>
    <w:lvl w:ilvl="0">
      <w:start w:val="1"/>
      <w:numFmt w:val="decimal"/>
      <w:lvlText w:val="%1."/>
      <w:lvlJc w:val="left"/>
      <w:pPr>
        <w:ind w:left="582" w:hanging="440"/>
        <w:jc w:val="left"/>
      </w:pPr>
      <w:rPr>
        <w:rFonts w:hint="default" w:ascii="Arial MT" w:hAnsi="Arial MT" w:eastAsia="Arial MT" w:cs="Arial MT"/>
        <w:b w:val="0"/>
        <w:bCs w:val="0"/>
        <w:i w:val="0"/>
        <w:iCs w:val="0"/>
        <w:spacing w:val="0"/>
        <w:w w:val="97"/>
        <w:sz w:val="22"/>
        <w:szCs w:val="22"/>
        <w:lang w:val="es-ES" w:eastAsia="en-US" w:bidi="ar-SA"/>
      </w:rPr>
    </w:lvl>
    <w:lvl w:ilvl="1">
      <w:start w:val="1"/>
      <w:numFmt w:val="decimal"/>
      <w:lvlText w:val="%1.%2"/>
      <w:lvlJc w:val="left"/>
      <w:pPr>
        <w:ind w:left="725" w:hanging="362"/>
        <w:jc w:val="left"/>
      </w:pPr>
      <w:rPr>
        <w:rFonts w:hint="default" w:ascii="Arial MT" w:hAnsi="Arial MT" w:eastAsia="Arial MT" w:cs="Arial MT"/>
        <w:b w:val="0"/>
        <w:bCs w:val="0"/>
        <w:i w:val="0"/>
        <w:iCs w:val="0"/>
        <w:spacing w:val="-3"/>
        <w:w w:val="85"/>
        <w:sz w:val="22"/>
        <w:szCs w:val="22"/>
        <w:lang w:val="es-ES" w:eastAsia="en-US" w:bidi="ar-SA"/>
      </w:rPr>
    </w:lvl>
    <w:lvl w:ilvl="2">
      <w:start w:val="0"/>
      <w:numFmt w:val="bullet"/>
      <w:lvlText w:val="•"/>
      <w:lvlJc w:val="left"/>
      <w:pPr>
        <w:ind w:left="1679" w:hanging="362"/>
      </w:pPr>
      <w:rPr>
        <w:rFonts w:hint="default"/>
        <w:lang w:val="es-ES" w:eastAsia="en-US" w:bidi="ar-SA"/>
      </w:rPr>
    </w:lvl>
    <w:lvl w:ilvl="3">
      <w:start w:val="0"/>
      <w:numFmt w:val="bullet"/>
      <w:lvlText w:val="•"/>
      <w:lvlJc w:val="left"/>
      <w:pPr>
        <w:ind w:left="2638" w:hanging="362"/>
      </w:pPr>
      <w:rPr>
        <w:rFonts w:hint="default"/>
        <w:lang w:val="es-ES" w:eastAsia="en-US" w:bidi="ar-SA"/>
      </w:rPr>
    </w:lvl>
    <w:lvl w:ilvl="4">
      <w:start w:val="0"/>
      <w:numFmt w:val="bullet"/>
      <w:lvlText w:val="•"/>
      <w:lvlJc w:val="left"/>
      <w:pPr>
        <w:ind w:left="3598" w:hanging="362"/>
      </w:pPr>
      <w:rPr>
        <w:rFonts w:hint="default"/>
        <w:lang w:val="es-ES" w:eastAsia="en-US" w:bidi="ar-SA"/>
      </w:rPr>
    </w:lvl>
    <w:lvl w:ilvl="5">
      <w:start w:val="0"/>
      <w:numFmt w:val="bullet"/>
      <w:lvlText w:val="•"/>
      <w:lvlJc w:val="left"/>
      <w:pPr>
        <w:ind w:left="4557" w:hanging="362"/>
      </w:pPr>
      <w:rPr>
        <w:rFonts w:hint="default"/>
        <w:lang w:val="es-ES" w:eastAsia="en-US" w:bidi="ar-SA"/>
      </w:rPr>
    </w:lvl>
    <w:lvl w:ilvl="6">
      <w:start w:val="0"/>
      <w:numFmt w:val="bullet"/>
      <w:lvlText w:val="•"/>
      <w:lvlJc w:val="left"/>
      <w:pPr>
        <w:ind w:left="5517" w:hanging="362"/>
      </w:pPr>
      <w:rPr>
        <w:rFonts w:hint="default"/>
        <w:lang w:val="es-ES" w:eastAsia="en-US" w:bidi="ar-SA"/>
      </w:rPr>
    </w:lvl>
    <w:lvl w:ilvl="7">
      <w:start w:val="0"/>
      <w:numFmt w:val="bullet"/>
      <w:lvlText w:val="•"/>
      <w:lvlJc w:val="left"/>
      <w:pPr>
        <w:ind w:left="6476" w:hanging="362"/>
      </w:pPr>
      <w:rPr>
        <w:rFonts w:hint="default"/>
        <w:lang w:val="es-ES" w:eastAsia="en-US" w:bidi="ar-SA"/>
      </w:rPr>
    </w:lvl>
    <w:lvl w:ilvl="8">
      <w:start w:val="0"/>
      <w:numFmt w:val="bullet"/>
      <w:lvlText w:val="•"/>
      <w:lvlJc w:val="left"/>
      <w:pPr>
        <w:ind w:left="7436" w:hanging="362"/>
      </w:pPr>
      <w:rPr>
        <w:rFonts w:hint="default"/>
        <w:lang w:val="es-ES" w:eastAsia="en-US" w:bidi="ar-SA"/>
      </w:rPr>
    </w:lvl>
  </w:abstractNum>
  <w:num w:numId="10">
    <w:abstractNumId w:val="9"/>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4">
    <w:abstractNumId w:val="3"/>
  </w:num>
  <w:num w:numId="11">
    <w:abstractNumId w:val="10"/>
  </w:num>
  <w:num w:numId="9">
    <w:abstractNumId w:val="8"/>
  </w:num>
  <w:num w:numId="8">
    <w:abstractNumId w:val="7"/>
  </w:num>
  <w:num w:numId="7">
    <w:abstractNumId w:val="6"/>
  </w:num>
  <w:num w:numId="6">
    <w:abstractNumId w:val="5"/>
  </w:num>
  <w:num w:numId="5">
    <w:abstractNumId w:val="4"/>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TOC1" w:type="paragraph">
    <w:name w:val="TOC 1"/>
    <w:basedOn w:val="Normal"/>
    <w:uiPriority w:val="1"/>
    <w:qFormat/>
    <w:pPr>
      <w:spacing w:before="154"/>
      <w:ind w:left="582" w:hanging="439"/>
    </w:pPr>
    <w:rPr>
      <w:rFonts w:ascii="Arial MT" w:hAnsi="Arial MT" w:eastAsia="Arial MT" w:cs="Arial MT"/>
      <w:sz w:val="22"/>
      <w:szCs w:val="22"/>
      <w:lang w:val="es-ES" w:eastAsia="en-US" w:bidi="ar-SA"/>
    </w:rPr>
  </w:style>
  <w:style w:styleId="TOC2" w:type="paragraph">
    <w:name w:val="TOC 2"/>
    <w:basedOn w:val="Normal"/>
    <w:uiPriority w:val="1"/>
    <w:qFormat/>
    <w:pPr>
      <w:spacing w:before="157"/>
      <w:ind w:left="722" w:hanging="359"/>
    </w:pPr>
    <w:rPr>
      <w:rFonts w:ascii="Arial MT" w:hAnsi="Arial MT" w:eastAsia="Arial MT" w:cs="Arial MT"/>
      <w:sz w:val="22"/>
      <w:szCs w:val="22"/>
      <w:lang w:val="es-ES" w:eastAsia="en-US" w:bidi="ar-SA"/>
    </w:rPr>
  </w:style>
  <w:style w:styleId="TOC3" w:type="paragraph">
    <w:name w:val="TOC 3"/>
    <w:basedOn w:val="Normal"/>
    <w:uiPriority w:val="1"/>
    <w:qFormat/>
    <w:pPr>
      <w:spacing w:before="153"/>
      <w:ind w:left="582"/>
    </w:pPr>
    <w:rPr>
      <w:rFonts w:ascii="Arial MT" w:hAnsi="Arial MT" w:eastAsia="Arial MT" w:cs="Arial MT"/>
      <w:sz w:val="22"/>
      <w:szCs w:val="22"/>
      <w:lang w:val="es-ES" w:eastAsia="en-US" w:bidi="ar-SA"/>
    </w:rPr>
  </w:style>
  <w:style w:styleId="BodyText" w:type="paragraph">
    <w:name w:val="Body Text"/>
    <w:basedOn w:val="Normal"/>
    <w:uiPriority w:val="1"/>
    <w:qFormat/>
    <w:pPr/>
    <w:rPr>
      <w:rFonts w:ascii="Arial MT" w:hAnsi="Arial MT" w:eastAsia="Arial MT" w:cs="Arial MT"/>
      <w:sz w:val="24"/>
      <w:szCs w:val="24"/>
      <w:lang w:val="es-ES" w:eastAsia="en-US" w:bidi="ar-SA"/>
    </w:rPr>
  </w:style>
  <w:style w:styleId="Heading1" w:type="paragraph">
    <w:name w:val="Heading 1"/>
    <w:basedOn w:val="Normal"/>
    <w:uiPriority w:val="1"/>
    <w:qFormat/>
    <w:pPr>
      <w:ind w:left="569" w:hanging="426"/>
      <w:outlineLvl w:val="1"/>
    </w:pPr>
    <w:rPr>
      <w:rFonts w:ascii="Arial MT" w:hAnsi="Arial MT" w:eastAsia="Arial MT" w:cs="Arial MT"/>
      <w:sz w:val="32"/>
      <w:szCs w:val="32"/>
      <w:lang w:val="es-ES" w:eastAsia="en-US" w:bidi="ar-SA"/>
    </w:rPr>
  </w:style>
  <w:style w:styleId="Heading2" w:type="paragraph">
    <w:name w:val="Heading 2"/>
    <w:basedOn w:val="Normal"/>
    <w:uiPriority w:val="1"/>
    <w:qFormat/>
    <w:pPr>
      <w:spacing w:before="334"/>
      <w:ind w:left="568" w:hanging="425"/>
      <w:outlineLvl w:val="2"/>
    </w:pPr>
    <w:rPr>
      <w:rFonts w:ascii="Arial MT" w:hAnsi="Arial MT" w:eastAsia="Arial MT" w:cs="Arial MT"/>
      <w:sz w:val="26"/>
      <w:szCs w:val="26"/>
      <w:lang w:val="es-ES" w:eastAsia="en-US" w:bidi="ar-SA"/>
    </w:rPr>
  </w:style>
  <w:style w:styleId="Title" w:type="paragraph">
    <w:name w:val="Title"/>
    <w:basedOn w:val="Normal"/>
    <w:uiPriority w:val="1"/>
    <w:qFormat/>
    <w:pPr>
      <w:ind w:left="565" w:right="1131"/>
      <w:jc w:val="center"/>
    </w:pPr>
    <w:rPr>
      <w:rFonts w:ascii="Verdana" w:hAnsi="Verdana" w:eastAsia="Verdana" w:cs="Verdana"/>
      <w:b/>
      <w:bCs/>
      <w:sz w:val="50"/>
      <w:szCs w:val="50"/>
      <w:lang w:val="es-ES" w:eastAsia="en-US" w:bidi="ar-SA"/>
    </w:rPr>
  </w:style>
  <w:style w:styleId="ListParagraph" w:type="paragraph">
    <w:name w:val="List Paragraph"/>
    <w:basedOn w:val="Normal"/>
    <w:uiPriority w:val="1"/>
    <w:qFormat/>
    <w:pPr>
      <w:ind w:left="862" w:hanging="360"/>
      <w:jc w:val="both"/>
    </w:pPr>
    <w:rPr>
      <w:rFonts w:ascii="Arial MT" w:hAnsi="Arial MT" w:eastAsia="Arial MT" w:cs="Arial MT"/>
      <w:lang w:val="es-ES" w:eastAsia="en-US" w:bidi="ar-SA"/>
    </w:rPr>
  </w:style>
  <w:style w:styleId="TableParagraph" w:type="paragraph">
    <w:name w:val="Table Paragraph"/>
    <w:basedOn w:val="Normal"/>
    <w:uiPriority w:val="1"/>
    <w:qFormat/>
    <w:pPr/>
    <w:rPr>
      <w:rFonts w:ascii="Arial MT" w:hAnsi="Arial MT" w:eastAsia="Arial MT" w:cs="Arial MT"/>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http://www.gob.mx/shcp/documentos/guia-para-el-diseno-de-indicadores-estrategicos" TargetMode="External"/><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image" Target="media/image11.png"/><Relationship Id="rId17" Type="http://schemas.openxmlformats.org/officeDocument/2006/relationships/image" Target="media/image12.png"/><Relationship Id="rId18" Type="http://schemas.openxmlformats.org/officeDocument/2006/relationships/image" Target="media/image13.png"/><Relationship Id="rId19" Type="http://schemas.openxmlformats.org/officeDocument/2006/relationships/image" Target="media/image14.png"/><Relationship Id="rId20" Type="http://schemas.openxmlformats.org/officeDocument/2006/relationships/image" Target="media/image15.png"/><Relationship Id="rId21" Type="http://schemas.openxmlformats.org/officeDocument/2006/relationships/image" Target="media/image16.png"/><Relationship Id="rId22" Type="http://schemas.openxmlformats.org/officeDocument/2006/relationships/image" Target="media/image17.png"/><Relationship Id="rId23" Type="http://schemas.openxmlformats.org/officeDocument/2006/relationships/image" Target="media/image18.png"/><Relationship Id="rId24" Type="http://schemas.openxmlformats.org/officeDocument/2006/relationships/image" Target="media/image19.png"/><Relationship Id="rId25" Type="http://schemas.openxmlformats.org/officeDocument/2006/relationships/image" Target="media/image20.png"/><Relationship Id="rId26" Type="http://schemas.openxmlformats.org/officeDocument/2006/relationships/image" Target="media/image21.png"/><Relationship Id="rId27" Type="http://schemas.openxmlformats.org/officeDocument/2006/relationships/image" Target="media/image22.png"/><Relationship Id="rId28" Type="http://schemas.openxmlformats.org/officeDocument/2006/relationships/image" Target="media/image23.png"/><Relationship Id="rId29" Type="http://schemas.openxmlformats.org/officeDocument/2006/relationships/image" Target="media/image24.png"/><Relationship Id="rId30" Type="http://schemas.openxmlformats.org/officeDocument/2006/relationships/image" Target="media/image25.png"/><Relationship Id="rId31" Type="http://schemas.openxmlformats.org/officeDocument/2006/relationships/image" Target="media/image26.png"/><Relationship Id="rId32" Type="http://schemas.openxmlformats.org/officeDocument/2006/relationships/image" Target="media/image27.png"/><Relationship Id="rId33" Type="http://schemas.openxmlformats.org/officeDocument/2006/relationships/image" Target="media/image28.png"/><Relationship Id="rId34" Type="http://schemas.openxmlformats.org/officeDocument/2006/relationships/image" Target="media/image29.png"/><Relationship Id="rId35" Type="http://schemas.openxmlformats.org/officeDocument/2006/relationships/image" Target="media/image30.png"/><Relationship Id="rId36" Type="http://schemas.openxmlformats.org/officeDocument/2006/relationships/image" Target="media/image31.png"/><Relationship Id="rId37" Type="http://schemas.openxmlformats.org/officeDocument/2006/relationships/image" Target="media/image32.png"/><Relationship Id="rId38" Type="http://schemas.openxmlformats.org/officeDocument/2006/relationships/image" Target="media/image33.png"/><Relationship Id="rId39" Type="http://schemas.openxmlformats.org/officeDocument/2006/relationships/image" Target="media/image34.png"/><Relationship Id="rId40" Type="http://schemas.openxmlformats.org/officeDocument/2006/relationships/image" Target="media/image35.png"/><Relationship Id="rId41" Type="http://schemas.openxmlformats.org/officeDocument/2006/relationships/image" Target="media/image36.png"/><Relationship Id="rId42" Type="http://schemas.openxmlformats.org/officeDocument/2006/relationships/image" Target="media/image37.png"/><Relationship Id="rId43" Type="http://schemas.openxmlformats.org/officeDocument/2006/relationships/image" Target="media/image38.png"/><Relationship Id="rId44"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 Edith Obregon Huaman</dc:creator>
  <dcterms:created xsi:type="dcterms:W3CDTF">2025-01-08T15:09:16Z</dcterms:created>
  <dcterms:modified xsi:type="dcterms:W3CDTF">2025-01-08T15:09:16Z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2024-12-16T00:00:00Z</vt:filetime>
  </property>
  <property fmtid="{D5CDD505-2E9C-101B-9397-08002B2CF9AE}" pid="3" name="Creator">
    <vt:lpwstr>Microsoft® Word 2021</vt:lpwstr>
  </property>
  <property fmtid="{D5CDD505-2E9C-101B-9397-08002B2CF9AE}" pid="4" name="LastSaved">
    <vt:filetime>2025-01-08T00:00:00Z</vt:filetime>
  </property>
  <property fmtid="{D5CDD505-2E9C-101B-9397-08002B2CF9AE}" pid="5" name="Producer">
    <vt:lpwstr>Microsoft® Word 2021</vt:lpwstr>
  </property>
</Properties>
</file>